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2AE9" w:rsidRPr="00A92AE9" w:rsidRDefault="00090709" w:rsidP="00A92AE9">
      <w:pPr>
        <w:tabs>
          <w:tab w:val="left" w:pos="1701"/>
          <w:tab w:val="right" w:pos="9923"/>
        </w:tabs>
        <w:spacing w:before="120"/>
        <w:rPr>
          <w:b/>
          <w:lang w:val="de-DE" w:eastAsia="x-none"/>
        </w:rPr>
      </w:pPr>
      <w:r>
        <w:rPr>
          <w:b/>
          <w:lang w:val="de-DE" w:eastAsia="x-none"/>
        </w:rPr>
        <w:t>3GPP TSG-RAN WG2 Meeting #133</w:t>
      </w:r>
      <w:r w:rsidR="00A92AE9" w:rsidRPr="00A92AE9">
        <w:rPr>
          <w:b/>
          <w:lang w:val="de-DE" w:eastAsia="x-none"/>
        </w:rPr>
        <w:t xml:space="preserve">                     </w:t>
      </w:r>
      <w:r w:rsidR="00A92AE9">
        <w:rPr>
          <w:b/>
          <w:lang w:val="de-DE" w:eastAsia="x-none"/>
        </w:rPr>
        <w:t xml:space="preserve">              </w:t>
      </w:r>
      <w:r w:rsidR="00CF39D2">
        <w:rPr>
          <w:b/>
          <w:lang w:val="de-DE" w:eastAsia="x-none"/>
        </w:rPr>
        <w:t xml:space="preserve">            </w:t>
      </w:r>
      <w:r w:rsidR="00A92AE9">
        <w:rPr>
          <w:b/>
          <w:lang w:val="de-DE" w:eastAsia="x-none"/>
        </w:rPr>
        <w:t xml:space="preserve"> </w:t>
      </w:r>
      <w:r w:rsidR="003D2425">
        <w:rPr>
          <w:b/>
          <w:lang w:val="de-DE" w:eastAsia="x-none"/>
        </w:rPr>
        <w:t>R2-2601031</w:t>
      </w:r>
    </w:p>
    <w:p w:rsidR="00090709" w:rsidRPr="00A9602E" w:rsidRDefault="00090709" w:rsidP="00090709">
      <w:pPr>
        <w:tabs>
          <w:tab w:val="left" w:pos="1701"/>
          <w:tab w:val="right" w:pos="9923"/>
        </w:tabs>
        <w:spacing w:before="120"/>
        <w:rPr>
          <w:b/>
          <w:lang w:val="de-DE" w:eastAsia="x-none"/>
        </w:rPr>
      </w:pPr>
      <w:r w:rsidRPr="00090709">
        <w:rPr>
          <w:b/>
          <w:lang w:val="de-DE" w:eastAsia="x-none"/>
        </w:rPr>
        <w:t>Gothenburg, Sweden, Feb. 9th-13th 2026</w:t>
      </w:r>
    </w:p>
    <w:p w:rsidR="00490509" w:rsidRPr="00A92AE9" w:rsidRDefault="00490509" w:rsidP="00490509">
      <w:pPr>
        <w:overflowPunct w:val="0"/>
        <w:autoSpaceDE w:val="0"/>
        <w:autoSpaceDN w:val="0"/>
        <w:adjustRightInd w:val="0"/>
        <w:snapToGrid w:val="0"/>
        <w:spacing w:beforeLines="50" w:before="120"/>
        <w:textAlignment w:val="baseline"/>
        <w:rPr>
          <w:rFonts w:eastAsia="宋体"/>
          <w:b/>
          <w:szCs w:val="22"/>
          <w:lang w:bidi="ar"/>
        </w:rPr>
      </w:pPr>
    </w:p>
    <w:p w:rsidR="00490509" w:rsidRPr="00490509" w:rsidRDefault="00490509" w:rsidP="00490509">
      <w:pPr>
        <w:overflowPunct w:val="0"/>
        <w:autoSpaceDE w:val="0"/>
        <w:autoSpaceDN w:val="0"/>
        <w:adjustRightInd w:val="0"/>
        <w:snapToGrid w:val="0"/>
        <w:spacing w:beforeLines="50" w:before="120"/>
        <w:textAlignment w:val="baseline"/>
        <w:rPr>
          <w:rFonts w:ascii="Arial" w:eastAsia="宋体" w:hAnsi="Arial" w:cs="Arial"/>
          <w:b/>
          <w:szCs w:val="22"/>
          <w:lang w:bidi="ar"/>
        </w:rPr>
      </w:pPr>
      <w:r w:rsidRPr="00490509">
        <w:rPr>
          <w:rFonts w:ascii="Arial" w:eastAsia="宋体" w:hAnsi="Arial" w:cs="Arial"/>
          <w:b/>
          <w:szCs w:val="22"/>
          <w:lang w:bidi="ar"/>
        </w:rPr>
        <w:t>Source:        ZTE Corporation</w:t>
      </w:r>
    </w:p>
    <w:p w:rsidR="00490509" w:rsidRDefault="00B736E9" w:rsidP="00490509">
      <w:pPr>
        <w:overflowPunct w:val="0"/>
        <w:autoSpaceDE w:val="0"/>
        <w:autoSpaceDN w:val="0"/>
        <w:adjustRightInd w:val="0"/>
        <w:snapToGrid w:val="0"/>
        <w:spacing w:beforeLines="50" w:before="120"/>
        <w:textAlignment w:val="baseline"/>
        <w:rPr>
          <w:rFonts w:ascii="Arial" w:eastAsia="宋体" w:hAnsi="Arial" w:cs="Arial"/>
          <w:b/>
          <w:szCs w:val="22"/>
          <w:lang w:bidi="ar"/>
        </w:rPr>
      </w:pPr>
      <w:r>
        <w:rPr>
          <w:rFonts w:ascii="Arial" w:eastAsia="宋体" w:hAnsi="Arial" w:cs="Arial"/>
          <w:b/>
          <w:szCs w:val="22"/>
          <w:lang w:bidi="ar"/>
        </w:rPr>
        <w:t xml:space="preserve">Title:           </w:t>
      </w:r>
      <w:bookmarkStart w:id="0" w:name="OLE_LINK78"/>
      <w:bookmarkStart w:id="1" w:name="OLE_LINK79"/>
      <w:r w:rsidR="0030142D">
        <w:rPr>
          <w:rFonts w:ascii="Arial" w:eastAsia="宋体" w:hAnsi="Arial" w:cs="Arial"/>
          <w:b/>
          <w:szCs w:val="22"/>
          <w:lang w:bidi="ar"/>
        </w:rPr>
        <w:t>Consideration on the MPR Signaling Enhancement</w:t>
      </w:r>
    </w:p>
    <w:bookmarkEnd w:id="0"/>
    <w:bookmarkEnd w:id="1"/>
    <w:p w:rsidR="00521C86" w:rsidRDefault="00466246">
      <w:pPr>
        <w:overflowPunct w:val="0"/>
        <w:autoSpaceDE w:val="0"/>
        <w:autoSpaceDN w:val="0"/>
        <w:adjustRightInd w:val="0"/>
        <w:snapToGrid w:val="0"/>
        <w:spacing w:beforeLines="50" w:before="120"/>
        <w:textAlignment w:val="baseline"/>
        <w:rPr>
          <w:rFonts w:ascii="Arial" w:eastAsia="宋体" w:hAnsi="Arial" w:cs="Arial"/>
          <w:b/>
          <w:szCs w:val="22"/>
          <w:lang w:bidi="ar"/>
        </w:rPr>
      </w:pPr>
      <w:r>
        <w:rPr>
          <w:rFonts w:ascii="Arial" w:eastAsia="宋体" w:hAnsi="Arial" w:cs="Arial"/>
          <w:b/>
          <w:szCs w:val="22"/>
          <w:lang w:bidi="ar"/>
        </w:rPr>
        <w:t>Agenda item:</w:t>
      </w:r>
      <w:bookmarkStart w:id="2" w:name="Source"/>
      <w:bookmarkEnd w:id="2"/>
      <w:r w:rsidR="00004970">
        <w:rPr>
          <w:rFonts w:ascii="Arial" w:eastAsia="宋体" w:hAnsi="Arial" w:cs="Arial"/>
          <w:b/>
          <w:szCs w:val="22"/>
          <w:lang w:bidi="ar"/>
        </w:rPr>
        <w:t xml:space="preserve">   8.20.1</w:t>
      </w:r>
    </w:p>
    <w:p w:rsidR="00521C86" w:rsidRDefault="00466246">
      <w:pPr>
        <w:overflowPunct w:val="0"/>
        <w:autoSpaceDE w:val="0"/>
        <w:autoSpaceDN w:val="0"/>
        <w:adjustRightInd w:val="0"/>
        <w:snapToGrid w:val="0"/>
        <w:spacing w:beforeLines="50" w:before="120"/>
        <w:textAlignment w:val="baseline"/>
        <w:rPr>
          <w:rFonts w:ascii="Arial" w:eastAsia="宋体" w:hAnsi="Arial" w:cs="Arial"/>
          <w:b/>
          <w:szCs w:val="22"/>
          <w:lang w:bidi="ar"/>
        </w:rPr>
      </w:pPr>
      <w:r>
        <w:rPr>
          <w:rFonts w:ascii="Arial" w:eastAsia="宋体" w:hAnsi="Arial" w:cs="Arial"/>
          <w:b/>
          <w:szCs w:val="22"/>
          <w:lang w:bidi="ar"/>
        </w:rPr>
        <w:t>Document for:</w:t>
      </w:r>
      <w:bookmarkStart w:id="3" w:name="DocumentFor"/>
      <w:bookmarkEnd w:id="3"/>
      <w:r w:rsidR="0041633E">
        <w:rPr>
          <w:rFonts w:ascii="Arial" w:eastAsia="宋体" w:hAnsi="Arial" w:cs="Arial"/>
          <w:b/>
          <w:szCs w:val="22"/>
          <w:lang w:bidi="ar"/>
        </w:rPr>
        <w:t xml:space="preserve">  </w:t>
      </w:r>
      <w:r>
        <w:rPr>
          <w:rFonts w:ascii="Arial" w:eastAsia="宋体" w:hAnsi="Arial" w:cs="Arial"/>
          <w:b/>
          <w:szCs w:val="22"/>
          <w:lang w:bidi="ar"/>
        </w:rPr>
        <w:t>Discussion and Decision</w:t>
      </w:r>
    </w:p>
    <w:p w:rsidR="00A772FA" w:rsidRDefault="00466246" w:rsidP="00FC1FDD">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sz w:val="32"/>
          <w:szCs w:val="36"/>
        </w:rPr>
        <w:t>Introductio</w:t>
      </w:r>
      <w:r>
        <w:rPr>
          <w:rFonts w:cs="Arial" w:hint="eastAsia"/>
          <w:sz w:val="32"/>
          <w:szCs w:val="36"/>
        </w:rPr>
        <w:t>n</w:t>
      </w:r>
    </w:p>
    <w:p w:rsidR="00F4533D" w:rsidRPr="00F4533D" w:rsidRDefault="00004970" w:rsidP="00F4533D">
      <w:pPr>
        <w:jc w:val="both"/>
        <w:rPr>
          <w:sz w:val="22"/>
          <w:szCs w:val="22"/>
        </w:rPr>
      </w:pPr>
      <w:r>
        <w:rPr>
          <w:sz w:val="22"/>
          <w:szCs w:val="22"/>
        </w:rPr>
        <w:t>In the last meeting, a LS [1] was sent from RAN4 on the MPR signaling enhancement.</w:t>
      </w:r>
      <w:r w:rsidR="0076031B">
        <w:rPr>
          <w:sz w:val="22"/>
          <w:szCs w:val="22"/>
        </w:rPr>
        <w:t xml:space="preserve"> A new per band per BC capability is expected to indicate the case that the MPR can only be executed on the old “inner” RBs. In this paper, we share our views on this topic.</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hint="eastAsia"/>
          <w:sz w:val="32"/>
          <w:szCs w:val="36"/>
        </w:rPr>
        <w:t>D</w:t>
      </w:r>
      <w:r>
        <w:rPr>
          <w:rFonts w:cs="Arial"/>
          <w:sz w:val="32"/>
          <w:szCs w:val="36"/>
        </w:rPr>
        <w:t>iscussion</w:t>
      </w:r>
    </w:p>
    <w:p w:rsidR="0076031B" w:rsidRPr="0076031B" w:rsidRDefault="0076031B" w:rsidP="0076031B">
      <w:pPr>
        <w:rPr>
          <w:sz w:val="22"/>
          <w:szCs w:val="22"/>
          <w:lang w:val="en-GB" w:eastAsia="en-US"/>
        </w:rPr>
      </w:pPr>
      <w:r w:rsidRPr="0076031B">
        <w:rPr>
          <w:sz w:val="22"/>
          <w:szCs w:val="22"/>
          <w:lang w:val="en-GB" w:eastAsia="en-US"/>
        </w:rPr>
        <w:t>In this chapter, we first give a short description on the old and new inner RBs allocation, then discuss how to introduce the new capability.</w:t>
      </w:r>
    </w:p>
    <w:p w:rsidR="0076031B" w:rsidRDefault="0076031B" w:rsidP="0076031B">
      <w:pPr>
        <w:rPr>
          <w:sz w:val="22"/>
          <w:szCs w:val="22"/>
          <w:lang w:val="en-GB" w:eastAsia="en-US"/>
        </w:rPr>
      </w:pPr>
    </w:p>
    <w:p w:rsidR="0076031B" w:rsidRPr="0076031B" w:rsidRDefault="0076031B" w:rsidP="0076031B">
      <w:pPr>
        <w:rPr>
          <w:b/>
          <w:i/>
          <w:u w:val="single"/>
        </w:rPr>
      </w:pPr>
      <w:r w:rsidRPr="0076031B">
        <w:rPr>
          <w:b/>
          <w:i/>
          <w:u w:val="single"/>
        </w:rPr>
        <w:t>Old and New Inner RB Allocation</w:t>
      </w:r>
    </w:p>
    <w:p w:rsidR="0076031B" w:rsidRPr="0076031B" w:rsidRDefault="0076031B" w:rsidP="0076031B">
      <w:pPr>
        <w:rPr>
          <w:sz w:val="22"/>
          <w:szCs w:val="22"/>
          <w:lang w:val="en-GB" w:eastAsia="en-US"/>
        </w:rPr>
      </w:pPr>
    </w:p>
    <w:p w:rsidR="0076031B" w:rsidRPr="0076031B" w:rsidRDefault="0076031B" w:rsidP="0076031B">
      <w:pPr>
        <w:rPr>
          <w:sz w:val="22"/>
          <w:szCs w:val="22"/>
          <w:lang w:val="en-GB" w:eastAsia="en-US"/>
        </w:rPr>
      </w:pPr>
      <w:r w:rsidRPr="0076031B">
        <w:rPr>
          <w:sz w:val="22"/>
          <w:szCs w:val="22"/>
          <w:lang w:val="en-GB" w:eastAsia="en-US"/>
        </w:rPr>
        <w:t xml:space="preserve">According to the RAN4 spec, the old </w:t>
      </w:r>
      <w:r>
        <w:rPr>
          <w:sz w:val="22"/>
          <w:szCs w:val="22"/>
          <w:lang w:val="en-GB" w:eastAsia="en-US"/>
        </w:rPr>
        <w:t>and new inner RB allocation are</w:t>
      </w:r>
      <w:r w:rsidRPr="0076031B">
        <w:rPr>
          <w:sz w:val="22"/>
          <w:szCs w:val="22"/>
          <w:lang w:val="en-GB" w:eastAsia="en-US"/>
        </w:rPr>
        <w:t xml:space="preserve"> defined </w:t>
      </w:r>
      <w:r>
        <w:rPr>
          <w:sz w:val="22"/>
          <w:szCs w:val="22"/>
          <w:lang w:val="en-GB" w:eastAsia="en-US"/>
        </w:rPr>
        <w:t xml:space="preserve">separately </w:t>
      </w:r>
      <w:r w:rsidRPr="0076031B">
        <w:rPr>
          <w:sz w:val="22"/>
          <w:szCs w:val="22"/>
          <w:lang w:val="en-GB" w:eastAsia="en-US"/>
        </w:rPr>
        <w:t>as below</w:t>
      </w:r>
      <w:r>
        <w:rPr>
          <w:sz w:val="22"/>
          <w:szCs w:val="22"/>
          <w:lang w:val="en-GB" w:eastAsia="en-US"/>
        </w:rPr>
        <w:t>:</w:t>
      </w:r>
    </w:p>
    <w:p w:rsidR="0076031B" w:rsidRDefault="0076031B" w:rsidP="0076031B">
      <w:pPr>
        <w:rPr>
          <w:lang w:val="en-GB" w:eastAsia="en-US"/>
        </w:rPr>
      </w:pPr>
    </w:p>
    <w:tbl>
      <w:tblPr>
        <w:tblStyle w:val="af"/>
        <w:tblW w:w="0" w:type="auto"/>
        <w:tblLook w:val="04A0" w:firstRow="1" w:lastRow="0" w:firstColumn="1" w:lastColumn="0" w:noHBand="0" w:noVBand="1"/>
      </w:tblPr>
      <w:tblGrid>
        <w:gridCol w:w="10790"/>
      </w:tblGrid>
      <w:tr w:rsidR="0076031B" w:rsidTr="0076031B">
        <w:tc>
          <w:tcPr>
            <w:tcW w:w="10790" w:type="dxa"/>
          </w:tcPr>
          <w:p w:rsidR="0076031B" w:rsidRDefault="0076031B" w:rsidP="0076031B">
            <w:pPr>
              <w:rPr>
                <w:sz w:val="20"/>
                <w:szCs w:val="20"/>
              </w:rPr>
            </w:pPr>
          </w:p>
          <w:p w:rsidR="0076031B" w:rsidRDefault="0076031B" w:rsidP="0076031B">
            <w:pPr>
              <w:pStyle w:val="af5"/>
              <w:numPr>
                <w:ilvl w:val="0"/>
                <w:numId w:val="22"/>
              </w:numPr>
              <w:rPr>
                <w:b/>
                <w:sz w:val="20"/>
                <w:szCs w:val="20"/>
                <w:lang w:eastAsia="sv-SE"/>
              </w:rPr>
            </w:pPr>
            <w:r w:rsidRPr="0076031B">
              <w:rPr>
                <w:b/>
                <w:sz w:val="20"/>
                <w:szCs w:val="20"/>
                <w:lang w:eastAsia="sv-SE"/>
              </w:rPr>
              <w:t>Old Inner RB</w:t>
            </w:r>
          </w:p>
          <w:p w:rsidR="0076031B" w:rsidRPr="0076031B" w:rsidRDefault="0076031B" w:rsidP="0076031B">
            <w:pPr>
              <w:pStyle w:val="EQ"/>
              <w:rPr>
                <w:b/>
                <w:sz w:val="20"/>
                <w:szCs w:val="20"/>
              </w:rPr>
            </w:pPr>
            <w:r w:rsidRPr="0076031B">
              <w:rPr>
                <w:b/>
                <w:sz w:val="20"/>
                <w:szCs w:val="20"/>
              </w:rPr>
              <w:t>38.101-1</w:t>
            </w:r>
            <w:r>
              <w:rPr>
                <w:b/>
                <w:sz w:val="20"/>
                <w:szCs w:val="20"/>
              </w:rPr>
              <w:t xml:space="preserve">  </w:t>
            </w:r>
            <w:r w:rsidRPr="0076031B">
              <w:rPr>
                <w:b/>
                <w:sz w:val="20"/>
                <w:szCs w:val="20"/>
              </w:rPr>
              <w:t>6.2.2 UE maximum output power reduction</w:t>
            </w:r>
          </w:p>
          <w:p w:rsidR="0076031B" w:rsidRPr="0076031B" w:rsidRDefault="0076031B" w:rsidP="0076031B">
            <w:pPr>
              <w:pStyle w:val="af5"/>
              <w:ind w:left="360"/>
              <w:rPr>
                <w:sz w:val="20"/>
                <w:szCs w:val="20"/>
                <w:lang w:eastAsia="sv-SE"/>
              </w:rPr>
            </w:pPr>
          </w:p>
          <w:p w:rsidR="0076031B" w:rsidRDefault="0076031B" w:rsidP="0076031B">
            <w:pPr>
              <w:pStyle w:val="EQ"/>
              <w:rPr>
                <w:sz w:val="20"/>
                <w:szCs w:val="20"/>
              </w:rPr>
            </w:pPr>
            <w:r w:rsidRPr="0076031B">
              <w:rPr>
                <w:sz w:val="20"/>
                <w:szCs w:val="20"/>
              </w:rPr>
              <w:t>N</w:t>
            </w:r>
            <w:r w:rsidRPr="0076031B">
              <w:rPr>
                <w:sz w:val="20"/>
                <w:szCs w:val="20"/>
                <w:vertAlign w:val="subscript"/>
              </w:rPr>
              <w:t xml:space="preserve">RB </w:t>
            </w:r>
            <w:r w:rsidRPr="0076031B">
              <w:rPr>
                <w:sz w:val="20"/>
                <w:szCs w:val="20"/>
              </w:rPr>
              <w:t xml:space="preserve">is the maximum number of RBs for a given Channel bandwidth and sub-carrier spacing defined in Table 5.3.2-1. </w:t>
            </w:r>
          </w:p>
          <w:p w:rsidR="0076031B" w:rsidRPr="0076031B" w:rsidRDefault="0076031B" w:rsidP="0076031B">
            <w:pPr>
              <w:pStyle w:val="EQ"/>
              <w:jc w:val="center"/>
              <w:rPr>
                <w:sz w:val="20"/>
                <w:szCs w:val="20"/>
              </w:rPr>
            </w:pPr>
            <w:r w:rsidRPr="0076031B">
              <w:rPr>
                <w:sz w:val="20"/>
                <w:szCs w:val="20"/>
              </w:rPr>
              <w:t>RB</w:t>
            </w:r>
            <w:r w:rsidRPr="0076031B">
              <w:rPr>
                <w:sz w:val="20"/>
                <w:szCs w:val="20"/>
                <w:vertAlign w:val="subscript"/>
              </w:rPr>
              <w:t>Start,Low</w:t>
            </w:r>
            <w:r w:rsidRPr="0076031B">
              <w:rPr>
                <w:sz w:val="20"/>
                <w:szCs w:val="20"/>
              </w:rPr>
              <w:t xml:space="preserve"> = max(1, floor(L</w:t>
            </w:r>
            <w:r w:rsidRPr="0076031B">
              <w:rPr>
                <w:sz w:val="20"/>
                <w:szCs w:val="20"/>
                <w:vertAlign w:val="subscript"/>
              </w:rPr>
              <w:t>CRB</w:t>
            </w:r>
            <w:r w:rsidRPr="0076031B">
              <w:rPr>
                <w:sz w:val="20"/>
                <w:szCs w:val="20"/>
              </w:rPr>
              <w:t>/2))</w:t>
            </w:r>
          </w:p>
          <w:p w:rsidR="0076031B" w:rsidRPr="0076031B" w:rsidRDefault="0076031B" w:rsidP="0076031B">
            <w:pPr>
              <w:rPr>
                <w:sz w:val="20"/>
                <w:szCs w:val="20"/>
              </w:rPr>
            </w:pPr>
            <w:r w:rsidRPr="0076031B">
              <w:rPr>
                <w:sz w:val="20"/>
                <w:szCs w:val="20"/>
              </w:rPr>
              <w:t>where max() indicates the largest value of all arguments and floor(x) is the greatest integer less than or equal to x.</w:t>
            </w:r>
          </w:p>
          <w:p w:rsidR="0076031B" w:rsidRPr="0076031B" w:rsidRDefault="0076031B" w:rsidP="0076031B">
            <w:pPr>
              <w:pStyle w:val="EQ"/>
              <w:jc w:val="center"/>
              <w:rPr>
                <w:sz w:val="20"/>
                <w:szCs w:val="20"/>
              </w:rPr>
            </w:pPr>
            <w:r w:rsidRPr="0076031B">
              <w:rPr>
                <w:sz w:val="20"/>
                <w:szCs w:val="20"/>
              </w:rPr>
              <w:t>RB</w:t>
            </w:r>
            <w:r w:rsidRPr="0076031B">
              <w:rPr>
                <w:sz w:val="20"/>
                <w:szCs w:val="20"/>
                <w:vertAlign w:val="subscript"/>
              </w:rPr>
              <w:t>Start,High</w:t>
            </w:r>
            <w:r w:rsidRPr="0076031B">
              <w:rPr>
                <w:sz w:val="20"/>
                <w:szCs w:val="20"/>
              </w:rPr>
              <w:t xml:space="preserve"> = N</w:t>
            </w:r>
            <w:r w:rsidRPr="0076031B">
              <w:rPr>
                <w:sz w:val="20"/>
                <w:szCs w:val="20"/>
                <w:vertAlign w:val="subscript"/>
              </w:rPr>
              <w:t>RB</w:t>
            </w:r>
            <w:r w:rsidRPr="0076031B">
              <w:rPr>
                <w:sz w:val="20"/>
                <w:szCs w:val="20"/>
              </w:rPr>
              <w:t xml:space="preserve"> – RB</w:t>
            </w:r>
            <w:r w:rsidRPr="0076031B">
              <w:rPr>
                <w:sz w:val="20"/>
                <w:szCs w:val="20"/>
                <w:vertAlign w:val="subscript"/>
              </w:rPr>
              <w:t>Start,Low</w:t>
            </w:r>
            <w:r w:rsidRPr="0076031B">
              <w:rPr>
                <w:sz w:val="20"/>
                <w:szCs w:val="20"/>
              </w:rPr>
              <w:t xml:space="preserve"> – L</w:t>
            </w:r>
            <w:r w:rsidRPr="0076031B">
              <w:rPr>
                <w:sz w:val="20"/>
                <w:szCs w:val="20"/>
                <w:vertAlign w:val="subscript"/>
              </w:rPr>
              <w:t>CRB</w:t>
            </w:r>
          </w:p>
          <w:p w:rsidR="0076031B" w:rsidRPr="0076031B" w:rsidRDefault="0076031B" w:rsidP="0076031B">
            <w:pPr>
              <w:rPr>
                <w:sz w:val="20"/>
                <w:szCs w:val="20"/>
              </w:rPr>
            </w:pPr>
          </w:p>
          <w:p w:rsidR="0076031B" w:rsidRPr="0076031B" w:rsidRDefault="0076031B" w:rsidP="0076031B">
            <w:pPr>
              <w:rPr>
                <w:sz w:val="20"/>
                <w:szCs w:val="20"/>
              </w:rPr>
            </w:pPr>
            <w:r w:rsidRPr="0076031B">
              <w:rPr>
                <w:sz w:val="20"/>
                <w:szCs w:val="20"/>
              </w:rPr>
              <w:t xml:space="preserve">The RB allocation is </w:t>
            </w:r>
            <w:r w:rsidRPr="0076031B">
              <w:rPr>
                <w:sz w:val="20"/>
                <w:szCs w:val="20"/>
                <w:highlight w:val="yellow"/>
              </w:rPr>
              <w:t>an Inner RB allocat</w:t>
            </w:r>
            <w:r w:rsidRPr="0076031B">
              <w:rPr>
                <w:sz w:val="20"/>
                <w:szCs w:val="20"/>
              </w:rPr>
              <w:t>ion if the following conditions are met</w:t>
            </w:r>
          </w:p>
          <w:p w:rsidR="0076031B" w:rsidRPr="0076031B" w:rsidRDefault="0076031B" w:rsidP="0076031B">
            <w:pPr>
              <w:pStyle w:val="EQ"/>
              <w:jc w:val="center"/>
              <w:rPr>
                <w:sz w:val="20"/>
                <w:szCs w:val="20"/>
              </w:rPr>
            </w:pPr>
            <w:r w:rsidRPr="0076031B">
              <w:rPr>
                <w:sz w:val="20"/>
                <w:szCs w:val="20"/>
              </w:rPr>
              <w:t>RB</w:t>
            </w:r>
            <w:r w:rsidRPr="0076031B">
              <w:rPr>
                <w:sz w:val="20"/>
                <w:szCs w:val="20"/>
                <w:vertAlign w:val="subscript"/>
              </w:rPr>
              <w:t xml:space="preserve">Start,Low  </w:t>
            </w:r>
            <w:r w:rsidRPr="0076031B">
              <w:rPr>
                <w:sz w:val="20"/>
                <w:szCs w:val="20"/>
              </w:rPr>
              <w:t>≤ RB</w:t>
            </w:r>
            <w:r w:rsidRPr="0076031B">
              <w:rPr>
                <w:sz w:val="20"/>
                <w:szCs w:val="20"/>
                <w:vertAlign w:val="subscript"/>
              </w:rPr>
              <w:t xml:space="preserve">Start  </w:t>
            </w:r>
            <w:r w:rsidRPr="0076031B">
              <w:rPr>
                <w:sz w:val="20"/>
                <w:szCs w:val="20"/>
              </w:rPr>
              <w:t>≤ RB</w:t>
            </w:r>
            <w:r w:rsidRPr="0076031B">
              <w:rPr>
                <w:sz w:val="20"/>
                <w:szCs w:val="20"/>
                <w:vertAlign w:val="subscript"/>
              </w:rPr>
              <w:t>Start,High</w:t>
            </w:r>
            <w:r w:rsidRPr="0076031B">
              <w:rPr>
                <w:sz w:val="20"/>
                <w:szCs w:val="20"/>
              </w:rPr>
              <w:t>,</w:t>
            </w:r>
            <w:r w:rsidRPr="0076031B">
              <w:rPr>
                <w:sz w:val="20"/>
                <w:szCs w:val="20"/>
                <w:vertAlign w:val="subscript"/>
              </w:rPr>
              <w:t xml:space="preserve"> </w:t>
            </w:r>
            <w:r w:rsidRPr="0076031B">
              <w:rPr>
                <w:sz w:val="20"/>
                <w:szCs w:val="20"/>
              </w:rPr>
              <w:t>and</w:t>
            </w:r>
          </w:p>
          <w:p w:rsidR="0076031B" w:rsidRPr="0076031B" w:rsidRDefault="0076031B" w:rsidP="0076031B">
            <w:pPr>
              <w:pStyle w:val="EQ"/>
              <w:jc w:val="center"/>
              <w:rPr>
                <w:sz w:val="20"/>
                <w:szCs w:val="20"/>
              </w:rPr>
            </w:pPr>
            <w:r w:rsidRPr="0076031B">
              <w:rPr>
                <w:sz w:val="20"/>
                <w:szCs w:val="20"/>
              </w:rPr>
              <w:t>L</w:t>
            </w:r>
            <w:r w:rsidRPr="0076031B">
              <w:rPr>
                <w:sz w:val="20"/>
                <w:szCs w:val="20"/>
                <w:vertAlign w:val="subscript"/>
              </w:rPr>
              <w:t xml:space="preserve">CRB </w:t>
            </w:r>
            <w:r w:rsidRPr="0076031B">
              <w:rPr>
                <w:sz w:val="20"/>
                <w:szCs w:val="20"/>
              </w:rPr>
              <w:t>≤ ceil(N</w:t>
            </w:r>
            <w:r w:rsidRPr="0076031B">
              <w:rPr>
                <w:sz w:val="20"/>
                <w:szCs w:val="20"/>
                <w:vertAlign w:val="subscript"/>
              </w:rPr>
              <w:t>RB</w:t>
            </w:r>
            <w:r w:rsidRPr="0076031B">
              <w:rPr>
                <w:sz w:val="20"/>
                <w:szCs w:val="20"/>
              </w:rPr>
              <w:t>/2)</w:t>
            </w:r>
          </w:p>
          <w:p w:rsidR="0076031B" w:rsidRDefault="0076031B" w:rsidP="0076031B">
            <w:pPr>
              <w:rPr>
                <w:sz w:val="20"/>
                <w:szCs w:val="20"/>
              </w:rPr>
            </w:pPr>
            <w:r w:rsidRPr="0076031B">
              <w:rPr>
                <w:sz w:val="20"/>
                <w:szCs w:val="20"/>
              </w:rPr>
              <w:t>where ceil(x) is the smallest integer greater than or equal to x.</w:t>
            </w:r>
          </w:p>
          <w:p w:rsidR="0076031B" w:rsidRDefault="0076031B" w:rsidP="0076031B">
            <w:pPr>
              <w:rPr>
                <w:sz w:val="20"/>
                <w:szCs w:val="20"/>
              </w:rPr>
            </w:pPr>
          </w:p>
          <w:p w:rsidR="0076031B" w:rsidRPr="0076031B" w:rsidRDefault="0076031B" w:rsidP="0076031B">
            <w:pPr>
              <w:pStyle w:val="af5"/>
              <w:numPr>
                <w:ilvl w:val="0"/>
                <w:numId w:val="22"/>
              </w:numPr>
              <w:rPr>
                <w:b/>
                <w:sz w:val="20"/>
                <w:szCs w:val="20"/>
                <w:lang w:eastAsia="sv-SE"/>
              </w:rPr>
            </w:pPr>
            <w:r>
              <w:rPr>
                <w:b/>
                <w:sz w:val="20"/>
                <w:szCs w:val="20"/>
                <w:lang w:eastAsia="sv-SE"/>
              </w:rPr>
              <w:t>New</w:t>
            </w:r>
            <w:r w:rsidRPr="0076031B">
              <w:rPr>
                <w:b/>
                <w:sz w:val="20"/>
                <w:szCs w:val="20"/>
                <w:lang w:eastAsia="sv-SE"/>
              </w:rPr>
              <w:t xml:space="preserve"> Inner RB</w:t>
            </w:r>
          </w:p>
          <w:p w:rsidR="0076031B" w:rsidRDefault="0076031B" w:rsidP="0076031B">
            <w:pPr>
              <w:pStyle w:val="EQ"/>
              <w:rPr>
                <w:b/>
                <w:sz w:val="20"/>
                <w:szCs w:val="20"/>
              </w:rPr>
            </w:pPr>
            <w:r w:rsidRPr="0076031B">
              <w:rPr>
                <w:b/>
                <w:sz w:val="20"/>
                <w:szCs w:val="20"/>
              </w:rPr>
              <w:t>38.101-1</w:t>
            </w:r>
            <w:r>
              <w:rPr>
                <w:b/>
                <w:sz w:val="20"/>
                <w:szCs w:val="20"/>
              </w:rPr>
              <w:t xml:space="preserve">  </w:t>
            </w:r>
            <w:r w:rsidRPr="0076031B">
              <w:rPr>
                <w:b/>
                <w:sz w:val="20"/>
                <w:szCs w:val="20"/>
              </w:rPr>
              <w:t>6.2.2 UE maximum output power reduction</w:t>
            </w:r>
          </w:p>
          <w:p w:rsidR="0076031B" w:rsidRPr="0076031B" w:rsidRDefault="0076031B" w:rsidP="0076031B">
            <w:pPr>
              <w:rPr>
                <w:lang w:eastAsia="ja-JP"/>
              </w:rPr>
            </w:pPr>
          </w:p>
          <w:p w:rsidR="0076031B" w:rsidRPr="0076031B" w:rsidRDefault="0076031B" w:rsidP="0076031B">
            <w:pPr>
              <w:rPr>
                <w:sz w:val="20"/>
                <w:szCs w:val="20"/>
              </w:rPr>
            </w:pPr>
            <w:r w:rsidRPr="0076031B">
              <w:rPr>
                <w:sz w:val="20"/>
                <w:szCs w:val="20"/>
              </w:rPr>
              <w:t>If all of the following conditions are simultaneously met:</w:t>
            </w:r>
          </w:p>
          <w:p w:rsidR="0076031B" w:rsidRPr="0076031B" w:rsidRDefault="0076031B" w:rsidP="0076031B">
            <w:pPr>
              <w:pStyle w:val="B1"/>
              <w:rPr>
                <w:sz w:val="20"/>
                <w:szCs w:val="20"/>
              </w:rPr>
            </w:pPr>
            <w:r w:rsidRPr="0076031B">
              <w:rPr>
                <w:sz w:val="20"/>
                <w:szCs w:val="20"/>
              </w:rPr>
              <w:t>-</w:t>
            </w:r>
            <w:r w:rsidRPr="0076031B">
              <w:rPr>
                <w:sz w:val="20"/>
                <w:szCs w:val="20"/>
              </w:rPr>
              <w:tab/>
              <w:t>The UE is a PC3 or PC2 UE operating in any channel bandwidth except 3MHz or 7MHz.</w:t>
            </w:r>
          </w:p>
          <w:p w:rsidR="0076031B" w:rsidRPr="0076031B" w:rsidRDefault="0076031B" w:rsidP="0076031B">
            <w:pPr>
              <w:pStyle w:val="B1"/>
              <w:rPr>
                <w:sz w:val="20"/>
                <w:szCs w:val="20"/>
              </w:rPr>
            </w:pPr>
            <w:bookmarkStart w:id="4" w:name="OLE_LINK65"/>
            <w:bookmarkStart w:id="5" w:name="OLE_LINK66"/>
            <w:r w:rsidRPr="0076031B">
              <w:rPr>
                <w:sz w:val="20"/>
                <w:szCs w:val="20"/>
              </w:rPr>
              <w:t>-</w:t>
            </w:r>
            <w:r w:rsidRPr="0076031B">
              <w:rPr>
                <w:sz w:val="20"/>
                <w:szCs w:val="20"/>
              </w:rPr>
              <w:tab/>
              <w:t xml:space="preserve">The UE indicates support for </w:t>
            </w:r>
            <w:r w:rsidRPr="0076031B">
              <w:rPr>
                <w:i/>
                <w:sz w:val="20"/>
                <w:szCs w:val="20"/>
              </w:rPr>
              <w:t>mpr-SingleCC-SingleValue-r19</w:t>
            </w:r>
            <w:r w:rsidRPr="0076031B">
              <w:rPr>
                <w:iCs/>
                <w:sz w:val="20"/>
                <w:szCs w:val="20"/>
              </w:rPr>
              <w:t xml:space="preserve"> </w:t>
            </w:r>
            <w:r w:rsidRPr="0076031B">
              <w:rPr>
                <w:sz w:val="20"/>
                <w:szCs w:val="20"/>
              </w:rPr>
              <w:t xml:space="preserve">or </w:t>
            </w:r>
            <w:r w:rsidRPr="0076031B">
              <w:rPr>
                <w:i/>
                <w:sz w:val="20"/>
                <w:szCs w:val="20"/>
              </w:rPr>
              <w:t>mpr-SingleCC-MultipleValue-r19</w:t>
            </w:r>
            <w:r w:rsidRPr="0076031B">
              <w:rPr>
                <w:sz w:val="20"/>
                <w:szCs w:val="20"/>
              </w:rPr>
              <w:t xml:space="preserve">, and is configured with the IE </w:t>
            </w:r>
            <w:r w:rsidRPr="0076031B">
              <w:rPr>
                <w:i/>
                <w:sz w:val="20"/>
                <w:szCs w:val="20"/>
              </w:rPr>
              <w:t>mprReductionExtensionRatio-r19.</w:t>
            </w:r>
          </w:p>
          <w:bookmarkEnd w:id="4"/>
          <w:bookmarkEnd w:id="5"/>
          <w:p w:rsidR="0076031B" w:rsidRPr="0076031B" w:rsidRDefault="0076031B" w:rsidP="0076031B">
            <w:pPr>
              <w:pStyle w:val="B1"/>
              <w:rPr>
                <w:sz w:val="20"/>
                <w:szCs w:val="20"/>
              </w:rPr>
            </w:pPr>
            <w:r w:rsidRPr="0076031B">
              <w:rPr>
                <w:sz w:val="20"/>
                <w:szCs w:val="20"/>
              </w:rPr>
              <w:t>-</w:t>
            </w:r>
            <w:r w:rsidRPr="0076031B">
              <w:rPr>
                <w:sz w:val="20"/>
                <w:szCs w:val="20"/>
              </w:rPr>
              <w:tab/>
              <w:t>The uplink modulation order is either QPSK or 16QAM</w:t>
            </w:r>
          </w:p>
          <w:p w:rsidR="0076031B" w:rsidRPr="0076031B" w:rsidRDefault="0076031B" w:rsidP="0076031B">
            <w:pPr>
              <w:pStyle w:val="B1"/>
              <w:rPr>
                <w:sz w:val="20"/>
                <w:szCs w:val="20"/>
              </w:rPr>
            </w:pPr>
            <w:r w:rsidRPr="0076031B">
              <w:rPr>
                <w:sz w:val="20"/>
                <w:szCs w:val="20"/>
              </w:rPr>
              <w:t>-</w:t>
            </w:r>
            <w:r w:rsidRPr="0076031B">
              <w:rPr>
                <w:sz w:val="20"/>
                <w:szCs w:val="20"/>
              </w:rPr>
              <w:tab/>
              <w:t>When no A-MPR is applicable to the configured channel</w:t>
            </w:r>
          </w:p>
          <w:p w:rsidR="0076031B" w:rsidRPr="0076031B" w:rsidRDefault="0076031B" w:rsidP="0076031B">
            <w:pPr>
              <w:rPr>
                <w:sz w:val="20"/>
                <w:szCs w:val="20"/>
              </w:rPr>
            </w:pPr>
            <w:r w:rsidRPr="0076031B">
              <w:rPr>
                <w:sz w:val="20"/>
                <w:szCs w:val="20"/>
              </w:rPr>
              <w:t>then:</w:t>
            </w:r>
          </w:p>
          <w:p w:rsidR="0076031B" w:rsidRPr="0076031B" w:rsidRDefault="0076031B" w:rsidP="0076031B">
            <w:pPr>
              <w:pStyle w:val="B1"/>
              <w:rPr>
                <w:sz w:val="20"/>
                <w:szCs w:val="20"/>
              </w:rPr>
            </w:pPr>
            <w:r w:rsidRPr="0076031B">
              <w:rPr>
                <w:sz w:val="20"/>
                <w:szCs w:val="20"/>
              </w:rPr>
              <w:t>-</w:t>
            </w:r>
            <w:r w:rsidRPr="0076031B">
              <w:rPr>
                <w:sz w:val="20"/>
                <w:szCs w:val="20"/>
              </w:rPr>
              <w:tab/>
              <w:t>T</w:t>
            </w:r>
            <w:r w:rsidRPr="0076031B">
              <w:rPr>
                <w:sz w:val="20"/>
                <w:szCs w:val="20"/>
                <w:lang w:eastAsia="zh-CN"/>
              </w:rPr>
              <w:t xml:space="preserve">he RB allocation is </w:t>
            </w:r>
            <w:r w:rsidRPr="0076031B">
              <w:rPr>
                <w:sz w:val="20"/>
                <w:szCs w:val="20"/>
                <w:highlight w:val="yellow"/>
                <w:lang w:eastAsia="zh-CN"/>
              </w:rPr>
              <w:t>an Inner RB allocation</w:t>
            </w:r>
            <w:r w:rsidRPr="0076031B">
              <w:rPr>
                <w:sz w:val="20"/>
                <w:szCs w:val="20"/>
                <w:lang w:eastAsia="zh-CN"/>
              </w:rPr>
              <w:t xml:space="preserve"> if the </w:t>
            </w:r>
            <w:r w:rsidRPr="0076031B">
              <w:rPr>
                <w:sz w:val="20"/>
                <w:szCs w:val="20"/>
              </w:rPr>
              <w:t>following conditions are met</w:t>
            </w:r>
            <w:r w:rsidRPr="0076031B">
              <w:rPr>
                <w:kern w:val="2"/>
                <w:sz w:val="20"/>
                <w:szCs w:val="20"/>
                <w:lang w:val="en-US" w:eastAsia="zh-CN"/>
              </w:rPr>
              <w:t>:</w:t>
            </w:r>
          </w:p>
          <w:p w:rsidR="0076031B" w:rsidRPr="0076031B" w:rsidRDefault="0076031B" w:rsidP="0076031B">
            <w:pPr>
              <w:spacing w:after="120"/>
              <w:ind w:firstLine="284"/>
              <w:jc w:val="center"/>
              <w:rPr>
                <w:sz w:val="20"/>
                <w:szCs w:val="20"/>
              </w:rPr>
            </w:pPr>
            <w:r w:rsidRPr="0076031B">
              <w:rPr>
                <w:rFonts w:eastAsia="MS Mincho"/>
                <w:bCs/>
                <w:iCs/>
                <w:sz w:val="20"/>
                <w:szCs w:val="20"/>
              </w:rPr>
              <w:t xml:space="preserve">max(0, </w:t>
            </w:r>
            <w:r w:rsidRPr="0076031B">
              <w:rPr>
                <w:sz w:val="20"/>
                <w:szCs w:val="20"/>
              </w:rPr>
              <w:t>RB</w:t>
            </w:r>
            <w:r w:rsidRPr="0076031B">
              <w:rPr>
                <w:sz w:val="20"/>
                <w:szCs w:val="20"/>
                <w:vertAlign w:val="subscript"/>
              </w:rPr>
              <w:t>Start,Low</w:t>
            </w:r>
            <w:r w:rsidRPr="0076031B">
              <w:rPr>
                <w:rFonts w:eastAsia="MS Mincho"/>
                <w:bCs/>
                <w:iCs/>
                <w:sz w:val="20"/>
                <w:szCs w:val="20"/>
              </w:rPr>
              <w:t xml:space="preserve"> – </w:t>
            </w:r>
            <w:r w:rsidRPr="0076031B">
              <w:rPr>
                <w:sz w:val="20"/>
                <w:szCs w:val="20"/>
              </w:rPr>
              <w:t>ceil(</w:t>
            </w:r>
            <w:r w:rsidRPr="0076031B">
              <w:rPr>
                <w:sz w:val="20"/>
                <w:szCs w:val="20"/>
                <w:lang w:val="en-US" w:eastAsia="zh-CN"/>
              </w:rPr>
              <w:t>R</w:t>
            </w:r>
            <w:r w:rsidRPr="0076031B">
              <w:rPr>
                <w:sz w:val="20"/>
                <w:szCs w:val="20"/>
                <w:vertAlign w:val="subscript"/>
                <w:lang w:eastAsia="zh-CN"/>
              </w:rPr>
              <w:t>ext_low</w:t>
            </w:r>
            <w:r w:rsidRPr="0076031B">
              <w:rPr>
                <w:sz w:val="20"/>
                <w:szCs w:val="20"/>
              </w:rPr>
              <w:t xml:space="preserve"> * N</w:t>
            </w:r>
            <w:r w:rsidRPr="0076031B">
              <w:rPr>
                <w:sz w:val="20"/>
                <w:szCs w:val="20"/>
                <w:vertAlign w:val="subscript"/>
              </w:rPr>
              <w:t xml:space="preserve">RB </w:t>
            </w:r>
            <w:r w:rsidRPr="0076031B">
              <w:rPr>
                <w:sz w:val="20"/>
                <w:szCs w:val="20"/>
              </w:rPr>
              <w:t>)</w:t>
            </w:r>
            <w:r w:rsidRPr="0076031B">
              <w:rPr>
                <w:rFonts w:eastAsia="MS Mincho"/>
                <w:bCs/>
                <w:iCs/>
                <w:sz w:val="20"/>
                <w:szCs w:val="20"/>
              </w:rPr>
              <w:t>)</w:t>
            </w:r>
            <w:r w:rsidRPr="0076031B">
              <w:rPr>
                <w:rFonts w:eastAsia="仿宋_GB2312"/>
                <w:bCs/>
                <w:iCs/>
                <w:sz w:val="20"/>
                <w:szCs w:val="20"/>
              </w:rPr>
              <w:t xml:space="preserve"> ≤ RB</w:t>
            </w:r>
            <w:r w:rsidRPr="0076031B">
              <w:rPr>
                <w:rFonts w:eastAsia="仿宋_GB2312"/>
                <w:bCs/>
                <w:iCs/>
                <w:sz w:val="20"/>
                <w:szCs w:val="20"/>
                <w:vertAlign w:val="subscript"/>
              </w:rPr>
              <w:t>Start</w:t>
            </w:r>
            <w:r w:rsidRPr="0076031B">
              <w:rPr>
                <w:rFonts w:eastAsia="仿宋_GB2312"/>
                <w:bCs/>
                <w:iCs/>
                <w:sz w:val="20"/>
                <w:szCs w:val="20"/>
              </w:rPr>
              <w:t xml:space="preserve"> ≤ </w:t>
            </w:r>
            <w:r w:rsidRPr="0076031B">
              <w:rPr>
                <w:sz w:val="20"/>
                <w:szCs w:val="20"/>
              </w:rPr>
              <w:t>min(N</w:t>
            </w:r>
            <w:r w:rsidRPr="0076031B">
              <w:rPr>
                <w:rFonts w:eastAsia="仿宋_GB2312"/>
                <w:bCs/>
                <w:iCs/>
                <w:sz w:val="20"/>
                <w:szCs w:val="20"/>
                <w:vertAlign w:val="subscript"/>
              </w:rPr>
              <w:t>RB</w:t>
            </w:r>
            <w:r w:rsidRPr="0076031B">
              <w:rPr>
                <w:sz w:val="20"/>
                <w:szCs w:val="20"/>
              </w:rPr>
              <w:t xml:space="preserve"> – L</w:t>
            </w:r>
            <w:r w:rsidRPr="0076031B">
              <w:rPr>
                <w:sz w:val="20"/>
                <w:szCs w:val="20"/>
                <w:vertAlign w:val="subscript"/>
              </w:rPr>
              <w:t>CRB</w:t>
            </w:r>
            <w:r w:rsidRPr="0076031B">
              <w:rPr>
                <w:sz w:val="20"/>
                <w:szCs w:val="20"/>
              </w:rPr>
              <w:t>, N</w:t>
            </w:r>
            <w:r w:rsidRPr="0076031B">
              <w:rPr>
                <w:rFonts w:eastAsia="仿宋_GB2312"/>
                <w:bCs/>
                <w:iCs/>
                <w:sz w:val="20"/>
                <w:szCs w:val="20"/>
                <w:vertAlign w:val="subscript"/>
              </w:rPr>
              <w:t>RB</w:t>
            </w:r>
            <w:r w:rsidRPr="0076031B">
              <w:rPr>
                <w:sz w:val="20"/>
                <w:szCs w:val="20"/>
              </w:rPr>
              <w:t xml:space="preserve"> + ceil(</w:t>
            </w:r>
            <w:r w:rsidRPr="0076031B">
              <w:rPr>
                <w:sz w:val="20"/>
                <w:szCs w:val="20"/>
                <w:lang w:val="en-US" w:eastAsia="zh-CN"/>
              </w:rPr>
              <w:t>R</w:t>
            </w:r>
            <w:r w:rsidRPr="0076031B">
              <w:rPr>
                <w:sz w:val="20"/>
                <w:szCs w:val="20"/>
                <w:vertAlign w:val="subscript"/>
                <w:lang w:eastAsia="zh-CN"/>
              </w:rPr>
              <w:t>ext_high</w:t>
            </w:r>
            <w:r w:rsidRPr="0076031B">
              <w:rPr>
                <w:sz w:val="20"/>
                <w:szCs w:val="20"/>
              </w:rPr>
              <w:t xml:space="preserve"> * N</w:t>
            </w:r>
            <w:r w:rsidRPr="0076031B">
              <w:rPr>
                <w:sz w:val="20"/>
                <w:szCs w:val="20"/>
                <w:vertAlign w:val="subscript"/>
              </w:rPr>
              <w:t xml:space="preserve">RB </w:t>
            </w:r>
            <w:r w:rsidRPr="0076031B">
              <w:rPr>
                <w:sz w:val="20"/>
                <w:szCs w:val="20"/>
              </w:rPr>
              <w:t>) – RB</w:t>
            </w:r>
            <w:r w:rsidRPr="0076031B">
              <w:rPr>
                <w:sz w:val="20"/>
                <w:szCs w:val="20"/>
                <w:vertAlign w:val="subscript"/>
              </w:rPr>
              <w:t xml:space="preserve">Start,Low </w:t>
            </w:r>
            <w:r w:rsidRPr="0076031B">
              <w:rPr>
                <w:sz w:val="20"/>
                <w:szCs w:val="20"/>
              </w:rPr>
              <w:t>– L</w:t>
            </w:r>
            <w:r w:rsidRPr="0076031B">
              <w:rPr>
                <w:sz w:val="20"/>
                <w:szCs w:val="20"/>
                <w:vertAlign w:val="subscript"/>
              </w:rPr>
              <w:t>CRB</w:t>
            </w:r>
            <w:r w:rsidRPr="0076031B">
              <w:rPr>
                <w:sz w:val="20"/>
                <w:szCs w:val="20"/>
              </w:rPr>
              <w:t>)</w:t>
            </w:r>
          </w:p>
          <w:p w:rsidR="0076031B" w:rsidRPr="0076031B" w:rsidRDefault="0076031B" w:rsidP="0076031B">
            <w:pPr>
              <w:pStyle w:val="EQ"/>
              <w:rPr>
                <w:rFonts w:eastAsiaTheme="minorEastAsia"/>
                <w:sz w:val="20"/>
                <w:szCs w:val="20"/>
                <w:lang w:eastAsia="zh-TW"/>
              </w:rPr>
            </w:pPr>
            <w:r w:rsidRPr="0076031B">
              <w:rPr>
                <w:rFonts w:eastAsia="MS Mincho"/>
                <w:bCs/>
                <w:iCs/>
                <w:sz w:val="20"/>
                <w:szCs w:val="20"/>
              </w:rPr>
              <w:tab/>
              <w:t xml:space="preserve">and </w:t>
            </w:r>
            <w:r w:rsidRPr="0076031B">
              <w:rPr>
                <w:rFonts w:eastAsia="仿宋_GB2312"/>
                <w:bCs/>
                <w:iCs/>
                <w:sz w:val="20"/>
                <w:szCs w:val="20"/>
              </w:rPr>
              <w:t>L</w:t>
            </w:r>
            <w:r w:rsidRPr="0076031B">
              <w:rPr>
                <w:rFonts w:eastAsia="仿宋_GB2312"/>
                <w:bCs/>
                <w:iCs/>
                <w:sz w:val="20"/>
                <w:szCs w:val="20"/>
                <w:vertAlign w:val="subscript"/>
              </w:rPr>
              <w:t>CRB</w:t>
            </w:r>
            <w:r w:rsidRPr="0076031B">
              <w:rPr>
                <w:rFonts w:eastAsia="仿宋_GB2312"/>
                <w:bCs/>
                <w:iCs/>
                <w:sz w:val="20"/>
                <w:szCs w:val="20"/>
              </w:rPr>
              <w:t xml:space="preserve"> ≤ ceil((N</w:t>
            </w:r>
            <w:r w:rsidRPr="0076031B">
              <w:rPr>
                <w:rFonts w:eastAsia="仿宋_GB2312"/>
                <w:bCs/>
                <w:iCs/>
                <w:sz w:val="20"/>
                <w:szCs w:val="20"/>
                <w:vertAlign w:val="subscript"/>
              </w:rPr>
              <w:t>RB</w:t>
            </w:r>
            <w:r w:rsidRPr="0076031B">
              <w:rPr>
                <w:rFonts w:eastAsia="仿宋_GB2312"/>
                <w:bCs/>
                <w:iCs/>
                <w:sz w:val="20"/>
                <w:szCs w:val="20"/>
              </w:rPr>
              <w:t>+</w:t>
            </w:r>
            <w:r w:rsidRPr="0076031B">
              <w:rPr>
                <w:sz w:val="20"/>
                <w:szCs w:val="20"/>
              </w:rPr>
              <w:t xml:space="preserve"> ceil(</w:t>
            </w:r>
            <w:r w:rsidRPr="0076031B">
              <w:rPr>
                <w:sz w:val="20"/>
                <w:szCs w:val="20"/>
                <w:lang w:val="en-US" w:eastAsia="zh-CN"/>
              </w:rPr>
              <w:t>R</w:t>
            </w:r>
            <w:r w:rsidRPr="0076031B">
              <w:rPr>
                <w:sz w:val="20"/>
                <w:szCs w:val="20"/>
                <w:vertAlign w:val="subscript"/>
                <w:lang w:eastAsia="zh-CN"/>
              </w:rPr>
              <w:t>ext_low</w:t>
            </w:r>
            <w:r w:rsidRPr="0076031B">
              <w:rPr>
                <w:sz w:val="20"/>
                <w:szCs w:val="20"/>
              </w:rPr>
              <w:t xml:space="preserve"> * N</w:t>
            </w:r>
            <w:r w:rsidRPr="0076031B">
              <w:rPr>
                <w:sz w:val="20"/>
                <w:szCs w:val="20"/>
                <w:vertAlign w:val="subscript"/>
              </w:rPr>
              <w:t xml:space="preserve">RB </w:t>
            </w:r>
            <w:r w:rsidRPr="0076031B">
              <w:rPr>
                <w:sz w:val="20"/>
                <w:szCs w:val="20"/>
              </w:rPr>
              <w:t>)</w:t>
            </w:r>
            <w:r w:rsidRPr="0076031B">
              <w:rPr>
                <w:rFonts w:eastAsia="仿宋_GB2312"/>
                <w:bCs/>
                <w:iCs/>
                <w:sz w:val="20"/>
                <w:szCs w:val="20"/>
              </w:rPr>
              <w:t xml:space="preserve"> +</w:t>
            </w:r>
            <w:r w:rsidRPr="0076031B">
              <w:rPr>
                <w:rFonts w:eastAsia="MS Mincho"/>
                <w:bCs/>
                <w:iCs/>
                <w:sz w:val="20"/>
                <w:szCs w:val="20"/>
              </w:rPr>
              <w:t xml:space="preserve"> </w:t>
            </w:r>
            <w:r w:rsidRPr="0076031B">
              <w:rPr>
                <w:sz w:val="20"/>
                <w:szCs w:val="20"/>
              </w:rPr>
              <w:t>ceil(</w:t>
            </w:r>
            <w:r w:rsidRPr="0076031B">
              <w:rPr>
                <w:sz w:val="20"/>
                <w:szCs w:val="20"/>
                <w:lang w:val="en-US" w:eastAsia="zh-CN"/>
              </w:rPr>
              <w:t>R</w:t>
            </w:r>
            <w:r w:rsidRPr="0076031B">
              <w:rPr>
                <w:sz w:val="20"/>
                <w:szCs w:val="20"/>
                <w:vertAlign w:val="subscript"/>
                <w:lang w:eastAsia="zh-CN"/>
              </w:rPr>
              <w:t>ext_high</w:t>
            </w:r>
            <w:r w:rsidRPr="0076031B">
              <w:rPr>
                <w:sz w:val="20"/>
                <w:szCs w:val="20"/>
              </w:rPr>
              <w:t xml:space="preserve"> * N</w:t>
            </w:r>
            <w:r w:rsidRPr="0076031B">
              <w:rPr>
                <w:sz w:val="20"/>
                <w:szCs w:val="20"/>
                <w:vertAlign w:val="subscript"/>
              </w:rPr>
              <w:t xml:space="preserve">RB </w:t>
            </w:r>
            <w:r w:rsidRPr="0076031B">
              <w:rPr>
                <w:sz w:val="20"/>
                <w:szCs w:val="20"/>
              </w:rPr>
              <w:t>))/2)</w:t>
            </w:r>
          </w:p>
          <w:p w:rsidR="0076031B" w:rsidRPr="0076031B" w:rsidRDefault="0076031B" w:rsidP="0076031B">
            <w:pPr>
              <w:rPr>
                <w:sz w:val="20"/>
                <w:szCs w:val="20"/>
              </w:rPr>
            </w:pPr>
          </w:p>
          <w:p w:rsidR="0076031B" w:rsidRPr="0076031B" w:rsidRDefault="0076031B" w:rsidP="0076031B">
            <w:pPr>
              <w:rPr>
                <w:lang w:eastAsia="en-US"/>
              </w:rPr>
            </w:pPr>
          </w:p>
        </w:tc>
      </w:tr>
    </w:tbl>
    <w:p w:rsidR="0076031B" w:rsidRDefault="0076031B" w:rsidP="0076031B">
      <w:pPr>
        <w:rPr>
          <w:lang w:val="en-GB" w:eastAsia="en-US"/>
        </w:rPr>
      </w:pPr>
    </w:p>
    <w:p w:rsidR="0073433B" w:rsidRPr="0073433B" w:rsidRDefault="0073433B" w:rsidP="0076031B">
      <w:pPr>
        <w:rPr>
          <w:b/>
          <w:lang w:val="en-GB" w:eastAsia="en-US"/>
        </w:rPr>
      </w:pPr>
      <w:r w:rsidRPr="0073433B">
        <w:rPr>
          <w:b/>
          <w:lang w:val="en-GB" w:eastAsia="en-US"/>
        </w:rPr>
        <w:t>Observation 1: The new Inner RB allocation is wider and includes the old Inner RB allocation.</w:t>
      </w:r>
    </w:p>
    <w:p w:rsidR="0076031B" w:rsidRPr="0076031B" w:rsidRDefault="00487D4A" w:rsidP="0076031B">
      <w:pPr>
        <w:rPr>
          <w:b/>
          <w:i/>
          <w:u w:val="single"/>
        </w:rPr>
      </w:pPr>
      <w:r>
        <w:rPr>
          <w:b/>
          <w:i/>
          <w:u w:val="single"/>
        </w:rPr>
        <w:lastRenderedPageBreak/>
        <w:t>Existing Capabilities and Configuration Parameters</w:t>
      </w:r>
    </w:p>
    <w:p w:rsidR="00B2714D" w:rsidRDefault="00B2714D" w:rsidP="00B2714D">
      <w:pPr>
        <w:rPr>
          <w:sz w:val="22"/>
          <w:szCs w:val="22"/>
          <w:lang w:val="en-GB" w:eastAsia="en-US"/>
        </w:rPr>
      </w:pPr>
      <w:r>
        <w:rPr>
          <w:sz w:val="22"/>
          <w:szCs w:val="22"/>
          <w:lang w:val="en-GB" w:eastAsia="en-US"/>
        </w:rPr>
        <w:t>In the R18, there are</w:t>
      </w:r>
      <w:r w:rsidRPr="00B2714D">
        <w:rPr>
          <w:sz w:val="22"/>
          <w:szCs w:val="22"/>
          <w:lang w:val="en-GB" w:eastAsia="en-US"/>
        </w:rPr>
        <w:t xml:space="preserve"> 2 power boosting capabilities</w:t>
      </w:r>
      <w:r>
        <w:rPr>
          <w:sz w:val="22"/>
          <w:szCs w:val="22"/>
          <w:lang w:val="en-GB" w:eastAsia="en-US"/>
        </w:rPr>
        <w:t xml:space="preserve"> and 2 power boosting configurations as below:</w:t>
      </w:r>
    </w:p>
    <w:p w:rsidR="00487D4A" w:rsidRDefault="00487D4A" w:rsidP="00B2714D">
      <w:pPr>
        <w:rPr>
          <w:sz w:val="22"/>
          <w:szCs w:val="22"/>
          <w:lang w:val="en-GB" w:eastAsia="en-US"/>
        </w:rPr>
      </w:pPr>
    </w:p>
    <w:p w:rsidR="00B2714D" w:rsidRPr="00B2714D" w:rsidRDefault="00B2714D" w:rsidP="00B2714D">
      <w:pPr>
        <w:pStyle w:val="af5"/>
        <w:numPr>
          <w:ilvl w:val="0"/>
          <w:numId w:val="25"/>
        </w:numPr>
        <w:rPr>
          <w:sz w:val="22"/>
          <w:szCs w:val="22"/>
          <w:lang w:val="en-GB" w:eastAsia="en-US"/>
        </w:rPr>
      </w:pPr>
      <w:r>
        <w:rPr>
          <w:sz w:val="22"/>
          <w:szCs w:val="22"/>
          <w:lang w:val="en-GB" w:eastAsia="en-US"/>
        </w:rPr>
        <w:t xml:space="preserve">R18 </w:t>
      </w:r>
      <w:r w:rsidRPr="00B2714D">
        <w:rPr>
          <w:sz w:val="22"/>
          <w:szCs w:val="22"/>
          <w:lang w:val="en-GB" w:eastAsia="en-US"/>
        </w:rPr>
        <w:t>Capabilities: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2714D" w:rsidRPr="005A60D1" w:rsidTr="00596F92">
        <w:trPr>
          <w:cantSplit/>
          <w:tblHeader/>
        </w:trPr>
        <w:tc>
          <w:tcPr>
            <w:tcW w:w="6917" w:type="dxa"/>
          </w:tcPr>
          <w:p w:rsidR="00B2714D" w:rsidRPr="005A60D1" w:rsidRDefault="00B2714D" w:rsidP="00596F92">
            <w:pPr>
              <w:pStyle w:val="TAL"/>
              <w:rPr>
                <w:b/>
                <w:i/>
              </w:rPr>
            </w:pPr>
            <w:bookmarkStart w:id="6" w:name="_MCCTEMPBM_CRPT442156___7" w:colFirst="0" w:colLast="0"/>
            <w:bookmarkStart w:id="7" w:name="_MCCTEMPBM_CRPT442157___4" w:colFirst="1" w:colLast="3"/>
            <w:r w:rsidRPr="005A60D1">
              <w:rPr>
                <w:b/>
                <w:i/>
              </w:rPr>
              <w:t>powerBoosting-pi2BPSK-QPSK-r18</w:t>
            </w:r>
          </w:p>
          <w:p w:rsidR="00B2714D" w:rsidRDefault="00B2714D" w:rsidP="00596F92">
            <w:pPr>
              <w:pStyle w:val="TAL"/>
              <w:rPr>
                <w:bCs/>
                <w:iCs/>
              </w:rPr>
            </w:pPr>
            <w:r w:rsidRPr="005A60D1">
              <w:rPr>
                <w:bCs/>
                <w:iCs/>
              </w:rPr>
              <w:t xml:space="preserve">Indicates whether the UE supports power boosting for DFT-s-OFDM pi/2 BPSK and QPSK without modified spectrum flatness requirement for PC3 and PC2 MPR reduction, when applicable as defined in 6.2 of TS 38.101-1 [2]. The power boosting is only enabled when signalled via </w:t>
            </w:r>
            <w:r w:rsidRPr="005A60D1">
              <w:rPr>
                <w:bCs/>
                <w:i/>
              </w:rPr>
              <w:t>powerBoostPi2BPSK-r18</w:t>
            </w:r>
            <w:r w:rsidRPr="005A60D1">
              <w:rPr>
                <w:bCs/>
                <w:iCs/>
              </w:rPr>
              <w:t xml:space="preserve"> for BPSK and </w:t>
            </w:r>
            <w:r w:rsidRPr="005A60D1">
              <w:rPr>
                <w:bCs/>
                <w:i/>
              </w:rPr>
              <w:t>powerBoostQPSK-r18</w:t>
            </w:r>
            <w:r w:rsidRPr="005A60D1">
              <w:rPr>
                <w:bCs/>
                <w:iCs/>
              </w:rPr>
              <w:t xml:space="preserve"> for QPSK.</w:t>
            </w:r>
          </w:p>
          <w:p w:rsidR="00B2714D" w:rsidRPr="00B2714D" w:rsidRDefault="00B2714D" w:rsidP="00596F92">
            <w:pPr>
              <w:pStyle w:val="TAL"/>
              <w:rPr>
                <w:bCs/>
                <w:iCs/>
              </w:rPr>
            </w:pPr>
            <w:r>
              <w:rPr>
                <w:bCs/>
                <w:iCs/>
              </w:rPr>
              <w:t>…</w:t>
            </w:r>
          </w:p>
        </w:tc>
        <w:tc>
          <w:tcPr>
            <w:tcW w:w="709" w:type="dxa"/>
          </w:tcPr>
          <w:p w:rsidR="00B2714D" w:rsidRPr="005A60D1" w:rsidRDefault="00B2714D" w:rsidP="00596F92">
            <w:pPr>
              <w:pStyle w:val="TAL"/>
              <w:jc w:val="center"/>
            </w:pPr>
            <w:r w:rsidRPr="005A60D1">
              <w:t>FS</w:t>
            </w:r>
          </w:p>
        </w:tc>
        <w:tc>
          <w:tcPr>
            <w:tcW w:w="567" w:type="dxa"/>
          </w:tcPr>
          <w:p w:rsidR="00B2714D" w:rsidRPr="005A60D1" w:rsidRDefault="00B2714D" w:rsidP="00596F92">
            <w:pPr>
              <w:pStyle w:val="TAL"/>
              <w:jc w:val="center"/>
            </w:pPr>
            <w:r w:rsidRPr="005A60D1">
              <w:t>No</w:t>
            </w:r>
          </w:p>
        </w:tc>
        <w:tc>
          <w:tcPr>
            <w:tcW w:w="709" w:type="dxa"/>
          </w:tcPr>
          <w:p w:rsidR="00B2714D" w:rsidRPr="005A60D1" w:rsidRDefault="00B2714D" w:rsidP="00596F92">
            <w:pPr>
              <w:pStyle w:val="TAL"/>
              <w:jc w:val="center"/>
              <w:rPr>
                <w:bCs/>
                <w:iCs/>
              </w:rPr>
            </w:pPr>
            <w:r w:rsidRPr="005A60D1">
              <w:rPr>
                <w:bCs/>
                <w:iCs/>
              </w:rPr>
              <w:t>N/A</w:t>
            </w:r>
          </w:p>
        </w:tc>
        <w:tc>
          <w:tcPr>
            <w:tcW w:w="728" w:type="dxa"/>
          </w:tcPr>
          <w:p w:rsidR="00B2714D" w:rsidRPr="005A60D1" w:rsidRDefault="00B2714D" w:rsidP="00596F92">
            <w:pPr>
              <w:pStyle w:val="TAL"/>
              <w:jc w:val="center"/>
              <w:rPr>
                <w:bCs/>
                <w:iCs/>
              </w:rPr>
            </w:pPr>
            <w:r w:rsidRPr="005A60D1">
              <w:rPr>
                <w:bCs/>
                <w:iCs/>
              </w:rPr>
              <w:t>FR1 only</w:t>
            </w:r>
          </w:p>
        </w:tc>
      </w:tr>
      <w:tr w:rsidR="00B2714D" w:rsidRPr="005A60D1" w:rsidTr="00596F92">
        <w:trPr>
          <w:cantSplit/>
          <w:tblHeader/>
        </w:trPr>
        <w:tc>
          <w:tcPr>
            <w:tcW w:w="6917" w:type="dxa"/>
          </w:tcPr>
          <w:p w:rsidR="00B2714D" w:rsidRPr="005A60D1" w:rsidRDefault="00B2714D" w:rsidP="00596F92">
            <w:pPr>
              <w:pStyle w:val="TAL"/>
              <w:rPr>
                <w:b/>
                <w:i/>
              </w:rPr>
            </w:pPr>
            <w:bookmarkStart w:id="8" w:name="_MCCTEMPBM_CRPT442159___4" w:colFirst="1" w:colLast="3"/>
            <w:bookmarkEnd w:id="6"/>
            <w:bookmarkEnd w:id="7"/>
            <w:r w:rsidRPr="005A60D1">
              <w:rPr>
                <w:b/>
                <w:i/>
              </w:rPr>
              <w:t>powerBoosting-pi2BPSK-QPSK-Modified-r18</w:t>
            </w:r>
          </w:p>
          <w:p w:rsidR="00B2714D" w:rsidRPr="005A60D1" w:rsidRDefault="00B2714D" w:rsidP="00596F92">
            <w:pPr>
              <w:pStyle w:val="TAL"/>
              <w:rPr>
                <w:rFonts w:cs="Arial"/>
                <w:szCs w:val="18"/>
                <w:lang w:eastAsia="en-GB"/>
              </w:rPr>
            </w:pPr>
            <w:r w:rsidRPr="005A60D1">
              <w:rPr>
                <w:bCs/>
                <w:iCs/>
              </w:rPr>
              <w:t xml:space="preserve">Indicates whether the UE supports </w:t>
            </w:r>
            <w:r w:rsidRPr="005A60D1">
              <w:rPr>
                <w:rFonts w:cs="Arial"/>
                <w:szCs w:val="18"/>
                <w:lang w:eastAsia="en-GB"/>
              </w:rPr>
              <w:t xml:space="preserve">power boosting for </w:t>
            </w:r>
            <w:r w:rsidRPr="005A60D1">
              <w:rPr>
                <w:rFonts w:cs="Arial"/>
                <w:szCs w:val="18"/>
                <w:lang w:eastAsia="en-GB" w:bidi="hi-IN"/>
              </w:rPr>
              <w:t>DFT-s-OFDM</w:t>
            </w:r>
            <w:r w:rsidRPr="005A60D1">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5A60D1">
              <w:rPr>
                <w:rFonts w:cs="Arial"/>
                <w:i/>
                <w:iCs/>
                <w:szCs w:val="18"/>
                <w:lang w:eastAsia="en-GB"/>
              </w:rPr>
              <w:t>powerBoostPi2BPSK-r18</w:t>
            </w:r>
            <w:r w:rsidRPr="005A60D1">
              <w:rPr>
                <w:rFonts w:cs="Arial"/>
                <w:szCs w:val="18"/>
                <w:lang w:eastAsia="en-GB"/>
              </w:rPr>
              <w:t xml:space="preserve"> for BPSK and </w:t>
            </w:r>
            <w:r w:rsidRPr="005A60D1">
              <w:rPr>
                <w:rFonts w:cs="Arial"/>
                <w:i/>
                <w:iCs/>
                <w:szCs w:val="18"/>
                <w:lang w:eastAsia="en-GB"/>
              </w:rPr>
              <w:t>powerBoostQPSK-r18</w:t>
            </w:r>
            <w:r w:rsidRPr="005A60D1">
              <w:rPr>
                <w:rFonts w:cs="Arial"/>
                <w:szCs w:val="18"/>
                <w:lang w:eastAsia="en-GB"/>
              </w:rPr>
              <w:t xml:space="preserve"> for QPSK.</w:t>
            </w:r>
          </w:p>
          <w:p w:rsidR="00B2714D" w:rsidRPr="005A60D1" w:rsidRDefault="00B2714D" w:rsidP="00596F92">
            <w:pPr>
              <w:pStyle w:val="TAL"/>
              <w:rPr>
                <w:rFonts w:cs="Arial"/>
                <w:b/>
                <w:bCs/>
                <w:i/>
                <w:iCs/>
                <w:szCs w:val="18"/>
              </w:rPr>
            </w:pPr>
            <w:r>
              <w:rPr>
                <w:bCs/>
                <w:iCs/>
              </w:rPr>
              <w:t>…</w:t>
            </w:r>
          </w:p>
        </w:tc>
        <w:tc>
          <w:tcPr>
            <w:tcW w:w="709" w:type="dxa"/>
          </w:tcPr>
          <w:p w:rsidR="00B2714D" w:rsidRPr="005A60D1" w:rsidRDefault="00B2714D" w:rsidP="00596F92">
            <w:pPr>
              <w:pStyle w:val="TAL"/>
              <w:jc w:val="center"/>
            </w:pPr>
            <w:r w:rsidRPr="005A60D1">
              <w:t>FS</w:t>
            </w:r>
          </w:p>
        </w:tc>
        <w:tc>
          <w:tcPr>
            <w:tcW w:w="567" w:type="dxa"/>
          </w:tcPr>
          <w:p w:rsidR="00B2714D" w:rsidRPr="005A60D1" w:rsidRDefault="00B2714D" w:rsidP="00596F92">
            <w:pPr>
              <w:pStyle w:val="TAL"/>
              <w:jc w:val="center"/>
            </w:pPr>
            <w:r w:rsidRPr="005A60D1">
              <w:t>No</w:t>
            </w:r>
          </w:p>
        </w:tc>
        <w:tc>
          <w:tcPr>
            <w:tcW w:w="709" w:type="dxa"/>
          </w:tcPr>
          <w:p w:rsidR="00B2714D" w:rsidRPr="005A60D1" w:rsidRDefault="00B2714D" w:rsidP="00596F92">
            <w:pPr>
              <w:pStyle w:val="TAL"/>
              <w:jc w:val="center"/>
              <w:rPr>
                <w:bCs/>
                <w:iCs/>
              </w:rPr>
            </w:pPr>
            <w:r w:rsidRPr="005A60D1">
              <w:rPr>
                <w:bCs/>
                <w:iCs/>
              </w:rPr>
              <w:t>N/A</w:t>
            </w:r>
          </w:p>
        </w:tc>
        <w:tc>
          <w:tcPr>
            <w:tcW w:w="728" w:type="dxa"/>
          </w:tcPr>
          <w:p w:rsidR="00B2714D" w:rsidRPr="005A60D1" w:rsidRDefault="00B2714D" w:rsidP="00596F92">
            <w:pPr>
              <w:pStyle w:val="TAL"/>
              <w:jc w:val="center"/>
              <w:rPr>
                <w:bCs/>
                <w:iCs/>
              </w:rPr>
            </w:pPr>
            <w:r w:rsidRPr="005A60D1">
              <w:rPr>
                <w:bCs/>
                <w:iCs/>
              </w:rPr>
              <w:t>FR1 only</w:t>
            </w:r>
          </w:p>
        </w:tc>
      </w:tr>
      <w:bookmarkEnd w:id="8"/>
    </w:tbl>
    <w:p w:rsidR="00B2714D" w:rsidRDefault="00B2714D" w:rsidP="00B2714D">
      <w:pPr>
        <w:rPr>
          <w:lang w:eastAsia="en-US"/>
        </w:rPr>
      </w:pPr>
    </w:p>
    <w:p w:rsidR="00B2714D" w:rsidRPr="00B2714D" w:rsidRDefault="00B2714D" w:rsidP="00B2714D">
      <w:pPr>
        <w:pStyle w:val="af5"/>
        <w:numPr>
          <w:ilvl w:val="0"/>
          <w:numId w:val="25"/>
        </w:numPr>
        <w:rPr>
          <w:sz w:val="22"/>
          <w:szCs w:val="22"/>
          <w:lang w:val="en-GB" w:eastAsia="en-US"/>
        </w:rPr>
      </w:pPr>
      <w:r>
        <w:rPr>
          <w:sz w:val="22"/>
          <w:szCs w:val="22"/>
          <w:lang w:val="en-GB" w:eastAsia="en-US"/>
        </w:rPr>
        <w:t>R1</w:t>
      </w:r>
      <w:r w:rsidR="00487D4A">
        <w:rPr>
          <w:sz w:val="22"/>
          <w:szCs w:val="22"/>
          <w:lang w:val="en-GB" w:eastAsia="en-US"/>
        </w:rPr>
        <w:t>8</w:t>
      </w:r>
      <w:r>
        <w:rPr>
          <w:sz w:val="22"/>
          <w:szCs w:val="22"/>
          <w:lang w:val="en-GB" w:eastAsia="en-US"/>
        </w:rPr>
        <w:t xml:space="preserve"> Configuration parameters</w:t>
      </w:r>
    </w:p>
    <w:p w:rsidR="00B2714D" w:rsidRDefault="00B2714D" w:rsidP="0076031B">
      <w:pPr>
        <w:rPr>
          <w:sz w:val="22"/>
          <w:szCs w:val="22"/>
          <w:lang w:val="en-GB" w:eastAsia="en-US"/>
        </w:rPr>
      </w:pPr>
    </w:p>
    <w:p w:rsidR="00B2714D" w:rsidRPr="00606B61" w:rsidRDefault="00B2714D" w:rsidP="00B2714D">
      <w:pPr>
        <w:pStyle w:val="PL"/>
        <w:rPr>
          <w:color w:val="808080"/>
        </w:rPr>
      </w:pPr>
      <w:r w:rsidRPr="00606B61">
        <w:t xml:space="preserve">    powerBoostPi2BPSK-r18               </w:t>
      </w:r>
      <w:r w:rsidRPr="00606B61">
        <w:rPr>
          <w:color w:val="993366"/>
        </w:rPr>
        <w:t>BOOLEAN</w:t>
      </w:r>
      <w:r w:rsidRPr="00606B61">
        <w:t xml:space="preserve">       </w:t>
      </w:r>
      <w:r w:rsidRPr="00606B61">
        <w:rPr>
          <w:color w:val="993366"/>
        </w:rPr>
        <w:t>OPTIONAL</w:t>
      </w:r>
      <w:r w:rsidRPr="00606B61">
        <w:t xml:space="preserve">,   </w:t>
      </w:r>
      <w:r w:rsidRPr="00606B61">
        <w:rPr>
          <w:color w:val="808080"/>
        </w:rPr>
        <w:t>-- Need R</w:t>
      </w:r>
    </w:p>
    <w:p w:rsidR="00B2714D" w:rsidRPr="00606B61" w:rsidRDefault="00B2714D" w:rsidP="00B2714D">
      <w:pPr>
        <w:pStyle w:val="PL"/>
        <w:rPr>
          <w:color w:val="808080"/>
        </w:rPr>
      </w:pPr>
      <w:r w:rsidRPr="00606B61">
        <w:t xml:space="preserve">    powerBoostQPSK-r18                  </w:t>
      </w:r>
      <w:r w:rsidRPr="00606B61">
        <w:rPr>
          <w:color w:val="993366"/>
        </w:rPr>
        <w:t>BOOLEAN</w:t>
      </w:r>
      <w:r w:rsidRPr="00606B61">
        <w:t xml:space="preserve">   </w:t>
      </w:r>
      <w:r>
        <w:t xml:space="preserve"> </w:t>
      </w:r>
      <w:r w:rsidRPr="00606B61">
        <w:t xml:space="preserve">   </w:t>
      </w:r>
      <w:r w:rsidRPr="00606B61">
        <w:rPr>
          <w:color w:val="993366"/>
        </w:rPr>
        <w:t>OPTIONAL</w:t>
      </w:r>
      <w:r w:rsidRPr="00606B61">
        <w:t xml:space="preserve">    </w:t>
      </w:r>
      <w:r w:rsidRPr="00606B61">
        <w:rPr>
          <w:color w:val="808080"/>
        </w:rPr>
        <w:t>-- Need R</w:t>
      </w:r>
    </w:p>
    <w:p w:rsidR="00B2714D" w:rsidRDefault="00B2714D" w:rsidP="0076031B">
      <w:pPr>
        <w:rPr>
          <w:sz w:val="22"/>
          <w:szCs w:val="22"/>
          <w:lang w:val="en-GB"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487D4A" w:rsidRPr="00606B61" w:rsidTr="00487D4A">
        <w:tc>
          <w:tcPr>
            <w:tcW w:w="9634" w:type="dxa"/>
            <w:tcBorders>
              <w:top w:val="single" w:sz="4" w:space="0" w:color="auto"/>
              <w:left w:val="single" w:sz="4" w:space="0" w:color="auto"/>
              <w:bottom w:val="single" w:sz="4" w:space="0" w:color="auto"/>
              <w:right w:val="single" w:sz="4" w:space="0" w:color="auto"/>
            </w:tcBorders>
            <w:hideMark/>
          </w:tcPr>
          <w:p w:rsidR="00487D4A" w:rsidRPr="00606B61" w:rsidRDefault="00487D4A" w:rsidP="00596F92">
            <w:pPr>
              <w:pStyle w:val="TAL"/>
              <w:rPr>
                <w:b/>
                <w:i/>
                <w:szCs w:val="22"/>
                <w:lang w:eastAsia="sv-SE"/>
              </w:rPr>
            </w:pPr>
            <w:r w:rsidRPr="00606B61">
              <w:rPr>
                <w:b/>
                <w:i/>
                <w:szCs w:val="22"/>
                <w:lang w:eastAsia="sv-SE"/>
              </w:rPr>
              <w:t>powerBoostPi2BPSK</w:t>
            </w:r>
          </w:p>
          <w:p w:rsidR="00487D4A" w:rsidRPr="00606B61" w:rsidRDefault="00487D4A" w:rsidP="00596F92">
            <w:pPr>
              <w:pStyle w:val="TAL"/>
              <w:rPr>
                <w:szCs w:val="22"/>
                <w:lang w:eastAsia="sv-SE"/>
              </w:rPr>
            </w:pPr>
            <w:r w:rsidRPr="00606B61">
              <w:rPr>
                <w:szCs w:val="22"/>
                <w:lang w:eastAsia="sv-SE"/>
              </w:rPr>
              <w:t xml:space="preserve">If this field is set to </w:t>
            </w:r>
            <w:r w:rsidRPr="00606B61">
              <w:rPr>
                <w:i/>
                <w:iCs/>
                <w:lang w:eastAsia="en-GB"/>
              </w:rPr>
              <w:t>true</w:t>
            </w:r>
            <w:r w:rsidRPr="00606B61">
              <w:rPr>
                <w:szCs w:val="22"/>
                <w:lang w:eastAsia="sv-SE"/>
              </w:rPr>
              <w:t>, the UE determines the maximum output power for PUCCH/PUSCH transmissions that use pi/2 BPSK modulation according to TS 38.101-1 [15]</w:t>
            </w:r>
            <w:r w:rsidRPr="00606B61">
              <w:rPr>
                <w:rFonts w:eastAsiaTheme="minorEastAsia"/>
                <w:szCs w:val="22"/>
              </w:rPr>
              <w:t xml:space="preserve"> /</w:t>
            </w:r>
            <w:r w:rsidRPr="00606B61">
              <w:rPr>
                <w:szCs w:val="22"/>
                <w:lang w:eastAsia="sv-SE"/>
              </w:rPr>
              <w:t>TS 38.101-5 [75], clause 6.2.4.</w:t>
            </w:r>
            <w:r w:rsidRPr="00606B61">
              <w:t xml:space="preserve"> The network ensures that </w:t>
            </w:r>
            <w:r w:rsidRPr="00606B61">
              <w:rPr>
                <w:i/>
                <w:szCs w:val="22"/>
                <w:lang w:eastAsia="sv-SE"/>
              </w:rPr>
              <w:t>powerBoostPi2BPSK</w:t>
            </w:r>
            <w:r w:rsidRPr="00606B61">
              <w:rPr>
                <w:szCs w:val="22"/>
                <w:lang w:eastAsia="sv-SE"/>
              </w:rPr>
              <w:t xml:space="preserve"> and </w:t>
            </w:r>
            <w:r w:rsidRPr="00606B61">
              <w:rPr>
                <w:i/>
                <w:szCs w:val="22"/>
                <w:lang w:eastAsia="sv-SE"/>
              </w:rPr>
              <w:t>powerBoostPi2BPSK-r18</w:t>
            </w:r>
            <w:r w:rsidRPr="00606B61">
              <w:rPr>
                <w:szCs w:val="22"/>
                <w:lang w:eastAsia="sv-SE"/>
              </w:rPr>
              <w:t xml:space="preserve"> are not configured at the same time for a UE.</w:t>
            </w:r>
          </w:p>
        </w:tc>
      </w:tr>
      <w:tr w:rsidR="00487D4A" w:rsidRPr="00606B61" w:rsidTr="00487D4A">
        <w:tc>
          <w:tcPr>
            <w:tcW w:w="9634" w:type="dxa"/>
            <w:tcBorders>
              <w:top w:val="single" w:sz="4" w:space="0" w:color="auto"/>
              <w:left w:val="single" w:sz="4" w:space="0" w:color="auto"/>
              <w:bottom w:val="single" w:sz="4" w:space="0" w:color="auto"/>
              <w:right w:val="single" w:sz="4" w:space="0" w:color="auto"/>
            </w:tcBorders>
          </w:tcPr>
          <w:p w:rsidR="00487D4A" w:rsidRPr="00606B61" w:rsidRDefault="00487D4A" w:rsidP="00596F92">
            <w:pPr>
              <w:pStyle w:val="TAL"/>
              <w:rPr>
                <w:b/>
                <w:i/>
                <w:szCs w:val="22"/>
                <w:lang w:eastAsia="sv-SE"/>
              </w:rPr>
            </w:pPr>
            <w:r w:rsidRPr="00606B61">
              <w:rPr>
                <w:b/>
                <w:i/>
                <w:szCs w:val="22"/>
                <w:lang w:eastAsia="sv-SE"/>
              </w:rPr>
              <w:t>powerBoostQPSK</w:t>
            </w:r>
          </w:p>
          <w:p w:rsidR="00487D4A" w:rsidRPr="00606B61" w:rsidRDefault="00487D4A" w:rsidP="00596F92">
            <w:pPr>
              <w:pStyle w:val="TAL"/>
              <w:rPr>
                <w:b/>
                <w:i/>
                <w:szCs w:val="22"/>
                <w:lang w:eastAsia="sv-SE"/>
              </w:rPr>
            </w:pPr>
            <w:r w:rsidRPr="00606B61">
              <w:rPr>
                <w:szCs w:val="22"/>
                <w:lang w:eastAsia="sv-SE"/>
              </w:rPr>
              <w:t xml:space="preserve">If this field is set to </w:t>
            </w:r>
            <w:r w:rsidRPr="00606B61">
              <w:rPr>
                <w:i/>
                <w:iCs/>
                <w:lang w:eastAsia="en-GB"/>
              </w:rPr>
              <w:t>true</w:t>
            </w:r>
            <w:r w:rsidRPr="00606B61">
              <w:rPr>
                <w:szCs w:val="22"/>
                <w:lang w:eastAsia="sv-SE"/>
              </w:rPr>
              <w:t>, the UE determines the maximum output power for PUSCH transmissions that use QPSK modulation according to TS 38.101-1 [15], clause 6.2.4.</w:t>
            </w:r>
          </w:p>
        </w:tc>
      </w:tr>
    </w:tbl>
    <w:p w:rsidR="00B2714D" w:rsidRPr="00487D4A" w:rsidRDefault="00B2714D" w:rsidP="0076031B">
      <w:pPr>
        <w:rPr>
          <w:sz w:val="22"/>
          <w:szCs w:val="22"/>
          <w:lang w:eastAsia="en-US"/>
        </w:rPr>
      </w:pPr>
    </w:p>
    <w:p w:rsidR="00B2714D" w:rsidRDefault="00B2714D" w:rsidP="0076031B">
      <w:pPr>
        <w:rPr>
          <w:sz w:val="22"/>
          <w:szCs w:val="22"/>
          <w:lang w:val="en-GB" w:eastAsia="en-US"/>
        </w:rPr>
      </w:pPr>
    </w:p>
    <w:p w:rsidR="0076031B" w:rsidRDefault="0076031B" w:rsidP="0076031B">
      <w:pPr>
        <w:rPr>
          <w:sz w:val="22"/>
          <w:szCs w:val="22"/>
          <w:lang w:val="en-GB" w:eastAsia="en-US"/>
        </w:rPr>
      </w:pPr>
      <w:r>
        <w:rPr>
          <w:sz w:val="22"/>
          <w:szCs w:val="22"/>
          <w:lang w:val="en-GB" w:eastAsia="en-US"/>
        </w:rPr>
        <w:t>In the R19, the f</w:t>
      </w:r>
      <w:r w:rsidR="00B2714D">
        <w:rPr>
          <w:sz w:val="22"/>
          <w:szCs w:val="22"/>
          <w:lang w:val="en-GB" w:eastAsia="en-US"/>
        </w:rPr>
        <w:t>ollowing 2</w:t>
      </w:r>
      <w:r>
        <w:rPr>
          <w:sz w:val="22"/>
          <w:szCs w:val="22"/>
          <w:lang w:val="en-GB" w:eastAsia="en-US"/>
        </w:rPr>
        <w:t xml:space="preserve"> capab</w:t>
      </w:r>
      <w:r w:rsidR="00B2714D">
        <w:rPr>
          <w:sz w:val="22"/>
          <w:szCs w:val="22"/>
          <w:lang w:val="en-GB" w:eastAsia="en-US"/>
        </w:rPr>
        <w:t>il</w:t>
      </w:r>
      <w:r>
        <w:rPr>
          <w:sz w:val="22"/>
          <w:szCs w:val="22"/>
          <w:lang w:val="en-GB" w:eastAsia="en-US"/>
        </w:rPr>
        <w:t xml:space="preserve">ities and 1 </w:t>
      </w:r>
      <w:r w:rsidR="00B2714D">
        <w:rPr>
          <w:sz w:val="22"/>
          <w:szCs w:val="22"/>
          <w:lang w:val="en-GB" w:eastAsia="en-US"/>
        </w:rPr>
        <w:t>configuration</w:t>
      </w:r>
      <w:r>
        <w:rPr>
          <w:sz w:val="22"/>
          <w:szCs w:val="22"/>
          <w:lang w:val="en-GB" w:eastAsia="en-US"/>
        </w:rPr>
        <w:t xml:space="preserve"> parameters were introduce for the MRP enhancement, i.e.</w:t>
      </w:r>
    </w:p>
    <w:p w:rsidR="00B2714D" w:rsidRDefault="00B2714D" w:rsidP="0076031B">
      <w:pPr>
        <w:rPr>
          <w:sz w:val="22"/>
          <w:szCs w:val="22"/>
          <w:lang w:val="en-GB" w:eastAsia="en-US"/>
        </w:rPr>
      </w:pPr>
    </w:p>
    <w:p w:rsidR="00B2714D" w:rsidRPr="00B2714D" w:rsidRDefault="00B2714D" w:rsidP="00B2714D">
      <w:pPr>
        <w:pStyle w:val="af5"/>
        <w:numPr>
          <w:ilvl w:val="0"/>
          <w:numId w:val="25"/>
        </w:numPr>
        <w:rPr>
          <w:sz w:val="22"/>
          <w:szCs w:val="22"/>
          <w:lang w:val="en-GB" w:eastAsia="en-US"/>
        </w:rPr>
      </w:pPr>
      <w:r>
        <w:rPr>
          <w:sz w:val="22"/>
          <w:szCs w:val="22"/>
          <w:lang w:val="en-GB" w:eastAsia="en-US"/>
        </w:rPr>
        <w:t xml:space="preserve">R19 </w:t>
      </w:r>
      <w:r w:rsidRPr="00B2714D">
        <w:rPr>
          <w:sz w:val="22"/>
          <w:szCs w:val="22"/>
          <w:lang w:val="en-GB" w:eastAsia="en-US"/>
        </w:rPr>
        <w:t>Capabilities:</w:t>
      </w:r>
    </w:p>
    <w:p w:rsidR="0076031B" w:rsidRPr="0076031B" w:rsidRDefault="0076031B" w:rsidP="0076031B">
      <w:pPr>
        <w:rPr>
          <w:sz w:val="22"/>
          <w:szCs w:val="22"/>
          <w:lang w:val="en-GB" w:eastAsia="en-US"/>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2714D" w:rsidRPr="005A60D1" w:rsidTr="00596F92">
        <w:trPr>
          <w:cantSplit/>
          <w:tblHeader/>
        </w:trPr>
        <w:tc>
          <w:tcPr>
            <w:tcW w:w="6917" w:type="dxa"/>
          </w:tcPr>
          <w:p w:rsidR="00B2714D" w:rsidRPr="005A60D1" w:rsidRDefault="00B2714D" w:rsidP="00596F92">
            <w:pPr>
              <w:keepNext/>
              <w:keepLines/>
              <w:rPr>
                <w:rFonts w:ascii="Arial" w:hAnsi="Arial"/>
                <w:b/>
                <w:i/>
                <w:sz w:val="18"/>
              </w:rPr>
            </w:pPr>
            <w:bookmarkStart w:id="9" w:name="_MCCTEMPBM_CRPT440771___7"/>
            <w:bookmarkStart w:id="10" w:name="_MCCTEMPBM_CRPT440772___4" w:colFirst="1" w:colLast="3"/>
            <w:r w:rsidRPr="005A60D1">
              <w:rPr>
                <w:rFonts w:ascii="Arial" w:hAnsi="Arial"/>
                <w:b/>
                <w:i/>
                <w:sz w:val="18"/>
              </w:rPr>
              <w:t>mpr-SingleCC-MultipleValue-r19</w:t>
            </w:r>
          </w:p>
          <w:p w:rsidR="00B2714D" w:rsidRPr="005A60D1" w:rsidRDefault="00B2714D" w:rsidP="00596F92">
            <w:pPr>
              <w:keepNext/>
              <w:keepLines/>
              <w:rPr>
                <w:rFonts w:ascii="Arial" w:eastAsiaTheme="minorEastAsia" w:hAnsi="Arial" w:cs="Arial"/>
                <w:sz w:val="18"/>
                <w:szCs w:val="18"/>
              </w:rPr>
            </w:pPr>
            <w:r w:rsidRPr="005A60D1">
              <w:rPr>
                <w:rFonts w:ascii="Arial" w:eastAsia="等线" w:hAnsi="Arial"/>
                <w:bCs/>
                <w:iCs/>
                <w:sz w:val="18"/>
              </w:rPr>
              <w:t xml:space="preserve">Indicates whether the UE supports </w:t>
            </w:r>
            <w:r w:rsidRPr="005A60D1">
              <w:rPr>
                <w:rFonts w:ascii="Arial" w:eastAsiaTheme="minorEastAsia" w:hAnsi="Arial" w:cs="Arial"/>
                <w:sz w:val="18"/>
                <w:szCs w:val="18"/>
              </w:rPr>
              <w:t>MPR reduction for single UL carrier with 1/X*UE CBW and 1/X*N</w:t>
            </w:r>
            <w:r w:rsidRPr="005A60D1">
              <w:rPr>
                <w:rFonts w:ascii="Arial" w:eastAsiaTheme="minorEastAsia" w:hAnsi="Arial" w:cs="Arial"/>
                <w:sz w:val="18"/>
                <w:szCs w:val="18"/>
                <w:vertAlign w:val="subscript"/>
              </w:rPr>
              <w:t>RB</w:t>
            </w:r>
            <w:r w:rsidRPr="005A60D1">
              <w:rPr>
                <w:rFonts w:ascii="Arial" w:eastAsiaTheme="minorEastAsia" w:hAnsi="Arial" w:cs="Arial"/>
                <w:sz w:val="18"/>
                <w:szCs w:val="18"/>
              </w:rPr>
              <w:t xml:space="preserve"> extension for dual-sided symmetric and single-sided case, where 1/X is a set of ratios of {1/2, 1/4}. The supported cases of {ratio value on low side, ratio value on high side} include {1/2, 0}, {0, 1/2}, {1/2, 1/2}, {1/4, 0}, {0,1/4}, and {1/4, 1/4}. This capability is applicable for single UL CC case.</w:t>
            </w:r>
          </w:p>
          <w:bookmarkEnd w:id="9"/>
          <w:p w:rsidR="00B2714D" w:rsidRPr="005A60D1" w:rsidRDefault="00B2714D" w:rsidP="00596F92">
            <w:pPr>
              <w:pStyle w:val="TAN"/>
              <w:rPr>
                <w:b/>
                <w:i/>
              </w:rPr>
            </w:pPr>
            <w:r w:rsidRPr="005A60D1">
              <w:rPr>
                <w:rFonts w:eastAsiaTheme="minorEastAsia"/>
              </w:rPr>
              <w:t>NOTE:</w:t>
            </w:r>
            <w:r w:rsidRPr="005A60D1">
              <w:rPr>
                <w:rFonts w:eastAsiaTheme="minorEastAsia"/>
              </w:rPr>
              <w:tab/>
              <w:t>N</w:t>
            </w:r>
            <w:r w:rsidRPr="005A60D1">
              <w:rPr>
                <w:rFonts w:eastAsiaTheme="minorEastAsia"/>
                <w:vertAlign w:val="subscript"/>
              </w:rPr>
              <w:t>RB</w:t>
            </w:r>
            <w:r w:rsidRPr="005A60D1">
              <w:rPr>
                <w:rFonts w:eastAsiaTheme="minorEastAsia"/>
              </w:rPr>
              <w:t xml:space="preserve"> is the number of RBs defined per channel bandwidth, as specified in TS 38.101-1 [2], Table 5.3.2-1 for FR1.</w:t>
            </w:r>
          </w:p>
        </w:tc>
        <w:tc>
          <w:tcPr>
            <w:tcW w:w="709" w:type="dxa"/>
          </w:tcPr>
          <w:p w:rsidR="00B2714D" w:rsidRPr="005A60D1" w:rsidRDefault="00B2714D" w:rsidP="00596F92">
            <w:pPr>
              <w:pStyle w:val="TAL"/>
              <w:jc w:val="center"/>
            </w:pPr>
            <w:r w:rsidRPr="005A60D1">
              <w:rPr>
                <w:rFonts w:cs="Arial"/>
                <w:bCs/>
                <w:iCs/>
                <w:szCs w:val="16"/>
              </w:rPr>
              <w:t>Band</w:t>
            </w:r>
          </w:p>
        </w:tc>
        <w:tc>
          <w:tcPr>
            <w:tcW w:w="567" w:type="dxa"/>
          </w:tcPr>
          <w:p w:rsidR="00B2714D" w:rsidRPr="005A60D1" w:rsidRDefault="00B2714D" w:rsidP="00596F92">
            <w:pPr>
              <w:pStyle w:val="TAL"/>
              <w:jc w:val="center"/>
            </w:pPr>
            <w:r w:rsidRPr="005A60D1">
              <w:rPr>
                <w:rFonts w:cs="Arial"/>
                <w:bCs/>
                <w:iCs/>
                <w:szCs w:val="16"/>
              </w:rPr>
              <w:t>No</w:t>
            </w:r>
          </w:p>
        </w:tc>
        <w:tc>
          <w:tcPr>
            <w:tcW w:w="709" w:type="dxa"/>
          </w:tcPr>
          <w:p w:rsidR="00B2714D" w:rsidRPr="005A60D1" w:rsidRDefault="00B2714D" w:rsidP="00596F92">
            <w:pPr>
              <w:pStyle w:val="TAL"/>
              <w:jc w:val="center"/>
            </w:pPr>
            <w:r w:rsidRPr="005A60D1">
              <w:rPr>
                <w:rFonts w:cs="Arial"/>
                <w:bCs/>
                <w:iCs/>
                <w:szCs w:val="16"/>
              </w:rPr>
              <w:t>N/A</w:t>
            </w:r>
          </w:p>
        </w:tc>
        <w:tc>
          <w:tcPr>
            <w:tcW w:w="728" w:type="dxa"/>
          </w:tcPr>
          <w:p w:rsidR="00B2714D" w:rsidRPr="005A60D1" w:rsidRDefault="00B2714D" w:rsidP="00596F92">
            <w:pPr>
              <w:pStyle w:val="TAL"/>
              <w:jc w:val="center"/>
            </w:pPr>
            <w:r w:rsidRPr="005A60D1">
              <w:rPr>
                <w:rFonts w:eastAsia="等线"/>
              </w:rPr>
              <w:t>FR1 only</w:t>
            </w:r>
          </w:p>
        </w:tc>
      </w:tr>
      <w:tr w:rsidR="00B2714D" w:rsidRPr="005A60D1" w:rsidTr="00596F92">
        <w:trPr>
          <w:cantSplit/>
          <w:tblHeader/>
        </w:trPr>
        <w:tc>
          <w:tcPr>
            <w:tcW w:w="6917" w:type="dxa"/>
          </w:tcPr>
          <w:p w:rsidR="00B2714D" w:rsidRPr="005A60D1" w:rsidRDefault="00B2714D" w:rsidP="00596F92">
            <w:pPr>
              <w:keepNext/>
              <w:keepLines/>
              <w:rPr>
                <w:rFonts w:ascii="Arial" w:hAnsi="Arial"/>
                <w:b/>
                <w:i/>
                <w:sz w:val="18"/>
              </w:rPr>
            </w:pPr>
            <w:bookmarkStart w:id="11" w:name="OLE_LINK55"/>
            <w:bookmarkStart w:id="12" w:name="OLE_LINK56"/>
            <w:bookmarkStart w:id="13" w:name="_MCCTEMPBM_CRPT440773___7"/>
            <w:bookmarkStart w:id="14" w:name="_MCCTEMPBM_CRPT440774___4" w:colFirst="1" w:colLast="3"/>
            <w:bookmarkEnd w:id="10"/>
            <w:r w:rsidRPr="005A60D1">
              <w:rPr>
                <w:rFonts w:ascii="Arial" w:hAnsi="Arial"/>
                <w:b/>
                <w:i/>
                <w:sz w:val="18"/>
              </w:rPr>
              <w:t>mpr-SingleCC-SingleValue-r19</w:t>
            </w:r>
          </w:p>
          <w:bookmarkEnd w:id="11"/>
          <w:bookmarkEnd w:id="12"/>
          <w:p w:rsidR="00B2714D" w:rsidRPr="005A60D1" w:rsidRDefault="00B2714D" w:rsidP="00596F92">
            <w:pPr>
              <w:keepNext/>
              <w:keepLines/>
              <w:rPr>
                <w:rFonts w:ascii="Arial" w:eastAsia="等线" w:hAnsi="Arial"/>
                <w:bCs/>
                <w:iCs/>
                <w:sz w:val="18"/>
              </w:rPr>
            </w:pPr>
            <w:r w:rsidRPr="005A60D1">
              <w:rPr>
                <w:rFonts w:ascii="Arial" w:eastAsia="等线" w:hAnsi="Arial"/>
                <w:bCs/>
                <w:iCs/>
                <w:sz w:val="18"/>
              </w:rPr>
              <w:t>Indicates whether the UE supports MPR reduction for single UL carrier with 1/2*UE CBW and 1/2*N</w:t>
            </w:r>
            <w:r w:rsidRPr="005A60D1">
              <w:rPr>
                <w:rFonts w:ascii="Arial" w:eastAsia="等线" w:hAnsi="Arial"/>
                <w:bCs/>
                <w:iCs/>
                <w:sz w:val="18"/>
                <w:vertAlign w:val="subscript"/>
              </w:rPr>
              <w:t>RB</w:t>
            </w:r>
            <w:r w:rsidRPr="005A60D1">
              <w:rPr>
                <w:rFonts w:ascii="Arial" w:eastAsia="等线" w:hAnsi="Arial"/>
                <w:bCs/>
                <w:iCs/>
                <w:sz w:val="18"/>
              </w:rPr>
              <w:t xml:space="preserve"> extension for dual-sided symmetric and single-sided case. The supported cases of {ratio value on low side, ratio value on high side} include {1/2, 0}, {0, 1/2} and {1/2, 1/2}. This capability is applicable for single UL CC case.</w:t>
            </w:r>
          </w:p>
          <w:bookmarkEnd w:id="13"/>
          <w:p w:rsidR="00B2714D" w:rsidRPr="005A60D1" w:rsidRDefault="00B2714D" w:rsidP="00596F92">
            <w:pPr>
              <w:pStyle w:val="TAN"/>
              <w:rPr>
                <w:b/>
                <w:i/>
              </w:rPr>
            </w:pPr>
            <w:r w:rsidRPr="005A60D1">
              <w:rPr>
                <w:rFonts w:eastAsia="等线"/>
              </w:rPr>
              <w:t>NOTE:</w:t>
            </w:r>
            <w:r w:rsidRPr="005A60D1">
              <w:rPr>
                <w:rFonts w:eastAsia="等线"/>
              </w:rPr>
              <w:tab/>
              <w:t>N</w:t>
            </w:r>
            <w:r w:rsidRPr="005A60D1">
              <w:rPr>
                <w:rFonts w:eastAsia="等线"/>
                <w:vertAlign w:val="subscript"/>
              </w:rPr>
              <w:t>RB</w:t>
            </w:r>
            <w:r w:rsidRPr="005A60D1">
              <w:rPr>
                <w:rFonts w:eastAsia="等线"/>
              </w:rPr>
              <w:t xml:space="preserve"> is the number of RBs defined per channel bandwidth, as specified in TS 38.101-1 [2], Table 5.3.2-1 for FR1.</w:t>
            </w:r>
          </w:p>
        </w:tc>
        <w:tc>
          <w:tcPr>
            <w:tcW w:w="709" w:type="dxa"/>
          </w:tcPr>
          <w:p w:rsidR="00B2714D" w:rsidRPr="005A60D1" w:rsidRDefault="00B2714D" w:rsidP="00596F92">
            <w:pPr>
              <w:pStyle w:val="TAL"/>
              <w:jc w:val="center"/>
            </w:pPr>
            <w:r w:rsidRPr="005A60D1">
              <w:rPr>
                <w:rFonts w:cs="Arial"/>
                <w:bCs/>
                <w:iCs/>
                <w:szCs w:val="16"/>
              </w:rPr>
              <w:t>Band</w:t>
            </w:r>
          </w:p>
        </w:tc>
        <w:tc>
          <w:tcPr>
            <w:tcW w:w="567" w:type="dxa"/>
          </w:tcPr>
          <w:p w:rsidR="00B2714D" w:rsidRPr="005A60D1" w:rsidRDefault="00B2714D" w:rsidP="00596F92">
            <w:pPr>
              <w:pStyle w:val="TAL"/>
              <w:jc w:val="center"/>
            </w:pPr>
            <w:r w:rsidRPr="005A60D1">
              <w:rPr>
                <w:rFonts w:cs="Arial"/>
                <w:bCs/>
                <w:iCs/>
                <w:szCs w:val="16"/>
              </w:rPr>
              <w:t>No</w:t>
            </w:r>
          </w:p>
        </w:tc>
        <w:tc>
          <w:tcPr>
            <w:tcW w:w="709" w:type="dxa"/>
          </w:tcPr>
          <w:p w:rsidR="00B2714D" w:rsidRPr="005A60D1" w:rsidRDefault="00B2714D" w:rsidP="00596F92">
            <w:pPr>
              <w:pStyle w:val="TAL"/>
              <w:jc w:val="center"/>
            </w:pPr>
            <w:r w:rsidRPr="005A60D1">
              <w:rPr>
                <w:rFonts w:cs="Arial"/>
                <w:bCs/>
                <w:iCs/>
                <w:szCs w:val="16"/>
              </w:rPr>
              <w:t>N/A</w:t>
            </w:r>
          </w:p>
        </w:tc>
        <w:tc>
          <w:tcPr>
            <w:tcW w:w="728" w:type="dxa"/>
          </w:tcPr>
          <w:p w:rsidR="00B2714D" w:rsidRPr="005A60D1" w:rsidRDefault="00B2714D" w:rsidP="00596F92">
            <w:pPr>
              <w:pStyle w:val="TAL"/>
              <w:jc w:val="center"/>
            </w:pPr>
            <w:r w:rsidRPr="005A60D1">
              <w:rPr>
                <w:rFonts w:eastAsia="等线"/>
              </w:rPr>
              <w:t>FR1 only</w:t>
            </w:r>
          </w:p>
        </w:tc>
      </w:tr>
      <w:bookmarkEnd w:id="14"/>
    </w:tbl>
    <w:p w:rsidR="0076031B" w:rsidRDefault="0076031B" w:rsidP="0076031B">
      <w:pPr>
        <w:rPr>
          <w:lang w:val="en-GB" w:eastAsia="en-US"/>
        </w:rPr>
      </w:pPr>
    </w:p>
    <w:p w:rsidR="00B2714D" w:rsidRPr="00B2714D" w:rsidRDefault="00B2714D" w:rsidP="00B2714D">
      <w:pPr>
        <w:pStyle w:val="af5"/>
        <w:numPr>
          <w:ilvl w:val="0"/>
          <w:numId w:val="25"/>
        </w:numPr>
        <w:rPr>
          <w:sz w:val="22"/>
          <w:szCs w:val="22"/>
          <w:lang w:val="en-GB" w:eastAsia="en-US"/>
        </w:rPr>
      </w:pPr>
      <w:r>
        <w:rPr>
          <w:sz w:val="22"/>
          <w:szCs w:val="22"/>
          <w:lang w:val="en-GB" w:eastAsia="en-US"/>
        </w:rPr>
        <w:t>R19 Configuration parameters</w:t>
      </w:r>
    </w:p>
    <w:p w:rsidR="00B2714D" w:rsidRDefault="00B2714D" w:rsidP="0076031B">
      <w:pPr>
        <w:rPr>
          <w:lang w:val="en-GB" w:eastAsia="en-US"/>
        </w:rPr>
      </w:pPr>
    </w:p>
    <w:p w:rsidR="00B2714D" w:rsidRPr="00606B61" w:rsidRDefault="00B2714D" w:rsidP="00B2714D">
      <w:pPr>
        <w:pStyle w:val="PL"/>
        <w:rPr>
          <w:color w:val="808080"/>
        </w:rPr>
      </w:pPr>
      <w:r w:rsidRPr="00606B61">
        <w:t xml:space="preserve">mprReductionExtensionRatio-r19    </w:t>
      </w:r>
      <w:r w:rsidRPr="00606B61">
        <w:rPr>
          <w:color w:val="993366"/>
        </w:rPr>
        <w:t>ENUMERATED</w:t>
      </w:r>
      <w:r w:rsidRPr="00606B61">
        <w:t xml:space="preserve"> {ratio1, ratio2, ratio3, ratio4, ratio5, ratio6, spare2, spare1} </w:t>
      </w:r>
      <w:r w:rsidRPr="00606B61">
        <w:rPr>
          <w:color w:val="993366"/>
        </w:rPr>
        <w:t>OPTIONAL</w:t>
      </w:r>
      <w:r w:rsidRPr="00606B61">
        <w:t xml:space="preserve">    </w:t>
      </w:r>
      <w:r w:rsidRPr="00606B61">
        <w:rPr>
          <w:rFonts w:eastAsiaTheme="minorEastAsia" w:hint="eastAsia"/>
        </w:rPr>
        <w:t xml:space="preserve"> </w:t>
      </w:r>
      <w:r w:rsidRPr="00606B61">
        <w:rPr>
          <w:color w:val="808080"/>
        </w:rPr>
        <w:t>-- Need 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B2714D" w:rsidRPr="00606B61" w:rsidTr="00487D4A">
        <w:tc>
          <w:tcPr>
            <w:tcW w:w="9776" w:type="dxa"/>
            <w:tcBorders>
              <w:top w:val="single" w:sz="4" w:space="0" w:color="auto"/>
              <w:left w:val="single" w:sz="4" w:space="0" w:color="auto"/>
              <w:bottom w:val="single" w:sz="4" w:space="0" w:color="auto"/>
              <w:right w:val="single" w:sz="4" w:space="0" w:color="auto"/>
            </w:tcBorders>
          </w:tcPr>
          <w:p w:rsidR="00B2714D" w:rsidRPr="00606B61" w:rsidRDefault="00B2714D" w:rsidP="00596F92">
            <w:pPr>
              <w:pStyle w:val="TAL"/>
              <w:rPr>
                <w:szCs w:val="22"/>
                <w:lang w:eastAsia="sv-SE"/>
              </w:rPr>
            </w:pPr>
            <w:bookmarkStart w:id="15" w:name="OLE_LINK59"/>
            <w:bookmarkStart w:id="16" w:name="OLE_LINK60"/>
            <w:r w:rsidRPr="00606B61">
              <w:rPr>
                <w:b/>
                <w:i/>
                <w:szCs w:val="22"/>
                <w:lang w:eastAsia="sv-SE"/>
              </w:rPr>
              <w:t>mprReductionExtensionRatio</w:t>
            </w:r>
          </w:p>
          <w:bookmarkEnd w:id="15"/>
          <w:bookmarkEnd w:id="16"/>
          <w:p w:rsidR="00B2714D" w:rsidRPr="00606B61" w:rsidRDefault="00B2714D" w:rsidP="00596F92">
            <w:pPr>
              <w:pStyle w:val="TAL"/>
              <w:rPr>
                <w:rFonts w:eastAsia="Calibri"/>
                <w:b/>
                <w:i/>
                <w:szCs w:val="22"/>
                <w:lang w:eastAsia="sv-SE"/>
              </w:rPr>
            </w:pPr>
            <w:r w:rsidRPr="00606B61">
              <w:rPr>
                <w:lang w:eastAsia="sv-SE"/>
              </w:rPr>
              <w:t xml:space="preserve">Indicates the pair of </w:t>
            </w:r>
            <w:r w:rsidRPr="00606B61">
              <w:t xml:space="preserve">lower-sided and higher-sided extension ratio </w:t>
            </w:r>
            <w:r w:rsidRPr="00606B61">
              <w:rPr>
                <w:lang w:eastAsia="sv-SE"/>
              </w:rPr>
              <w:t xml:space="preserve">as specified </w:t>
            </w:r>
            <w:r w:rsidRPr="00606B61">
              <w:rPr>
                <w:rFonts w:eastAsia="Yu Mincho"/>
              </w:rPr>
              <w:t>in TS 38.101-1 [15]</w:t>
            </w:r>
            <w:r w:rsidRPr="00606B61">
              <w:rPr>
                <w:szCs w:val="22"/>
                <w:lang w:eastAsia="sv-SE"/>
              </w:rPr>
              <w:t xml:space="preserve">. </w:t>
            </w:r>
            <w:r w:rsidRPr="00606B61">
              <w:rPr>
                <w:lang w:eastAsia="en-GB"/>
              </w:rPr>
              <w:t xml:space="preserve">The </w:t>
            </w:r>
            <w:r w:rsidRPr="00606B61">
              <w:rPr>
                <w:i/>
              </w:rPr>
              <w:t>ratio1</w:t>
            </w:r>
            <w:r w:rsidRPr="00606B61">
              <w:rPr>
                <w:lang w:eastAsia="en-GB"/>
              </w:rPr>
              <w:t xml:space="preserve"> represents (1/2, 0), the </w:t>
            </w:r>
            <w:r w:rsidRPr="00606B61">
              <w:rPr>
                <w:i/>
              </w:rPr>
              <w:t>ratio2</w:t>
            </w:r>
            <w:r w:rsidRPr="00606B61">
              <w:rPr>
                <w:lang w:eastAsia="en-GB"/>
              </w:rPr>
              <w:t xml:space="preserve"> represents</w:t>
            </w:r>
            <w:r w:rsidRPr="00606B61">
              <w:t xml:space="preserve"> (0, 1/2)</w:t>
            </w:r>
            <w:r w:rsidRPr="00606B61">
              <w:rPr>
                <w:lang w:eastAsia="en-GB"/>
              </w:rPr>
              <w:t xml:space="preserve">, </w:t>
            </w:r>
            <w:r w:rsidRPr="00606B61">
              <w:rPr>
                <w:i/>
              </w:rPr>
              <w:t>ratio3</w:t>
            </w:r>
            <w:r w:rsidRPr="00606B61">
              <w:rPr>
                <w:lang w:eastAsia="en-GB"/>
              </w:rPr>
              <w:t xml:space="preserve"> represents </w:t>
            </w:r>
            <w:r w:rsidRPr="00606B61">
              <w:t>(1/2, 1/2)</w:t>
            </w:r>
            <w:r w:rsidRPr="00606B61">
              <w:rPr>
                <w:lang w:eastAsia="en-GB"/>
              </w:rPr>
              <w:t xml:space="preserve">, </w:t>
            </w:r>
            <w:r w:rsidRPr="00606B61">
              <w:rPr>
                <w:i/>
              </w:rPr>
              <w:t>ratio4</w:t>
            </w:r>
            <w:r w:rsidRPr="00606B61">
              <w:rPr>
                <w:lang w:eastAsia="en-GB"/>
              </w:rPr>
              <w:t xml:space="preserve"> represents (1/4, 0), </w:t>
            </w:r>
            <w:r w:rsidRPr="00606B61">
              <w:rPr>
                <w:i/>
              </w:rPr>
              <w:t>ratio5</w:t>
            </w:r>
            <w:r w:rsidRPr="00606B61">
              <w:rPr>
                <w:lang w:eastAsia="en-GB"/>
              </w:rPr>
              <w:t xml:space="preserve"> represents </w:t>
            </w:r>
            <w:r w:rsidRPr="00606B61">
              <w:t>(0, 1/4)</w:t>
            </w:r>
            <w:r w:rsidRPr="00606B61">
              <w:rPr>
                <w:lang w:eastAsia="en-GB"/>
              </w:rPr>
              <w:t xml:space="preserve">, </w:t>
            </w:r>
            <w:r w:rsidRPr="00606B61">
              <w:rPr>
                <w:i/>
              </w:rPr>
              <w:t>ratio6</w:t>
            </w:r>
            <w:r w:rsidRPr="00606B61">
              <w:rPr>
                <w:lang w:eastAsia="en-GB"/>
              </w:rPr>
              <w:t xml:space="preserve"> represents </w:t>
            </w:r>
            <w:r w:rsidRPr="00606B61">
              <w:t>(1/4, 1/4)</w:t>
            </w:r>
            <w:r w:rsidRPr="00606B61">
              <w:rPr>
                <w:lang w:eastAsia="en-GB"/>
              </w:rPr>
              <w:t xml:space="preserve">. The first/leftmost value of the pair represents the </w:t>
            </w:r>
            <w:r w:rsidRPr="00606B61">
              <w:t xml:space="preserve">lower-sided extension ratio, the </w:t>
            </w:r>
            <w:r w:rsidRPr="00606B61">
              <w:rPr>
                <w:lang w:eastAsia="en-GB"/>
              </w:rPr>
              <w:t xml:space="preserve">second value of the pair represents the </w:t>
            </w:r>
            <w:r w:rsidRPr="00606B61">
              <w:t xml:space="preserve">higher-sided extension ratio. The </w:t>
            </w:r>
            <w:r w:rsidRPr="00606B61">
              <w:rPr>
                <w:rFonts w:cs="Arial"/>
                <w:szCs w:val="22"/>
                <w:lang w:eastAsia="sv-SE"/>
              </w:rPr>
              <w:t>network can only configure this field in case of non-CA in NR SA.</w:t>
            </w:r>
          </w:p>
        </w:tc>
      </w:tr>
    </w:tbl>
    <w:p w:rsidR="00B2714D" w:rsidRDefault="00B2714D" w:rsidP="0076031B">
      <w:pPr>
        <w:rPr>
          <w:lang w:eastAsia="en-US"/>
        </w:rPr>
      </w:pPr>
    </w:p>
    <w:p w:rsidR="00541249" w:rsidRPr="0076031B" w:rsidRDefault="00541249" w:rsidP="00541249">
      <w:pPr>
        <w:rPr>
          <w:b/>
          <w:i/>
          <w:u w:val="single"/>
        </w:rPr>
      </w:pPr>
      <w:r>
        <w:rPr>
          <w:b/>
          <w:i/>
          <w:u w:val="single"/>
        </w:rPr>
        <w:lastRenderedPageBreak/>
        <w:t xml:space="preserve">New Capability Introducing </w:t>
      </w:r>
    </w:p>
    <w:p w:rsidR="00B2714D" w:rsidRDefault="00B2714D" w:rsidP="0076031B">
      <w:pPr>
        <w:rPr>
          <w:lang w:eastAsia="en-US"/>
        </w:rPr>
      </w:pPr>
    </w:p>
    <w:p w:rsidR="00487D4A" w:rsidRPr="000C4561" w:rsidRDefault="00B2714D" w:rsidP="00920002">
      <w:pPr>
        <w:pStyle w:val="TAL"/>
        <w:jc w:val="both"/>
        <w:rPr>
          <w:rFonts w:ascii="Times New Roman" w:hAnsi="Times New Roman"/>
          <w:b/>
          <w:i/>
          <w:sz w:val="22"/>
          <w:szCs w:val="22"/>
          <w:lang w:eastAsia="sv-SE"/>
        </w:rPr>
      </w:pPr>
      <w:r w:rsidRPr="000C4561">
        <w:rPr>
          <w:rFonts w:ascii="Times New Roman" w:hAnsi="Times New Roman"/>
          <w:sz w:val="22"/>
          <w:szCs w:val="22"/>
          <w:lang w:val="en-GB" w:eastAsia="en-US"/>
        </w:rPr>
        <w:t>Now according to the RAN4 LS, a new capability is needed to distinguish the following 2 cases when the network configure the UE with</w:t>
      </w:r>
      <w:r w:rsidRPr="000C4561">
        <w:rPr>
          <w:rFonts w:ascii="Times New Roman" w:hAnsi="Times New Roman"/>
          <w:i/>
          <w:sz w:val="22"/>
          <w:szCs w:val="22"/>
          <w:lang w:val="en-GB" w:eastAsia="en-US"/>
        </w:rPr>
        <w:t xml:space="preserve"> </w:t>
      </w:r>
      <w:r w:rsidR="00487D4A" w:rsidRPr="000C4561">
        <w:rPr>
          <w:rFonts w:ascii="Times New Roman" w:hAnsi="Times New Roman"/>
          <w:i/>
          <w:sz w:val="22"/>
          <w:szCs w:val="22"/>
          <w:lang w:val="en-GB" w:eastAsia="en-US"/>
        </w:rPr>
        <w:t xml:space="preserve">mprReductionExtensionRatio-r19 </w:t>
      </w:r>
      <w:r w:rsidR="00487D4A" w:rsidRPr="000C4561">
        <w:rPr>
          <w:rFonts w:ascii="Times New Roman" w:hAnsi="Times New Roman"/>
          <w:sz w:val="22"/>
          <w:szCs w:val="22"/>
          <w:lang w:val="en-GB" w:eastAsia="en-US"/>
        </w:rPr>
        <w:t xml:space="preserve">and </w:t>
      </w:r>
      <w:r w:rsidR="00487D4A" w:rsidRPr="000C4561">
        <w:rPr>
          <w:rFonts w:ascii="Times New Roman" w:hAnsi="Times New Roman"/>
          <w:i/>
          <w:sz w:val="22"/>
          <w:szCs w:val="22"/>
          <w:lang w:val="en-GB" w:eastAsia="en-US"/>
        </w:rPr>
        <w:t>powerBoostPi2BPSK-r18/ powerBoostQPSK-r18</w:t>
      </w:r>
      <w:r w:rsidR="00541249" w:rsidRPr="000C4561">
        <w:rPr>
          <w:rFonts w:ascii="Times New Roman" w:hAnsi="Times New Roman"/>
          <w:i/>
          <w:sz w:val="22"/>
          <w:szCs w:val="22"/>
          <w:lang w:val="en-GB" w:eastAsia="en-US"/>
        </w:rPr>
        <w:t>.</w:t>
      </w:r>
    </w:p>
    <w:p w:rsidR="00B2714D" w:rsidRPr="000C4561" w:rsidRDefault="00B2714D" w:rsidP="00920002">
      <w:pPr>
        <w:jc w:val="both"/>
        <w:rPr>
          <w:sz w:val="22"/>
          <w:szCs w:val="22"/>
          <w:lang w:eastAsia="en-US"/>
        </w:rPr>
      </w:pPr>
    </w:p>
    <w:p w:rsidR="00541249" w:rsidRPr="000C4561" w:rsidRDefault="00541249" w:rsidP="00D84292">
      <w:pPr>
        <w:pStyle w:val="af5"/>
        <w:numPr>
          <w:ilvl w:val="0"/>
          <w:numId w:val="27"/>
        </w:numPr>
        <w:jc w:val="both"/>
        <w:rPr>
          <w:sz w:val="22"/>
          <w:szCs w:val="22"/>
          <w:lang w:eastAsia="en-US"/>
        </w:rPr>
      </w:pPr>
      <w:r w:rsidRPr="000C4561">
        <w:rPr>
          <w:sz w:val="22"/>
          <w:szCs w:val="22"/>
          <w:lang w:eastAsia="en-US"/>
        </w:rPr>
        <w:t>Case 1: The UE can support the power boosting in the new inner RB allocations</w:t>
      </w:r>
    </w:p>
    <w:p w:rsidR="00541249" w:rsidRPr="000C4561" w:rsidRDefault="00541249" w:rsidP="00D84292">
      <w:pPr>
        <w:pStyle w:val="af5"/>
        <w:numPr>
          <w:ilvl w:val="0"/>
          <w:numId w:val="27"/>
        </w:numPr>
        <w:jc w:val="both"/>
        <w:rPr>
          <w:sz w:val="22"/>
          <w:szCs w:val="22"/>
          <w:lang w:eastAsia="en-US"/>
        </w:rPr>
      </w:pPr>
      <w:r w:rsidRPr="000C4561">
        <w:rPr>
          <w:sz w:val="22"/>
          <w:szCs w:val="22"/>
          <w:lang w:eastAsia="en-US"/>
        </w:rPr>
        <w:t xml:space="preserve">Case 2: The UE can only support the power boosting in the old inner RB allocations </w:t>
      </w:r>
    </w:p>
    <w:p w:rsidR="00541249" w:rsidRPr="000C4561" w:rsidRDefault="00541249" w:rsidP="00920002">
      <w:pPr>
        <w:jc w:val="both"/>
        <w:rPr>
          <w:sz w:val="22"/>
          <w:szCs w:val="22"/>
          <w:lang w:eastAsia="en-US"/>
        </w:rPr>
      </w:pPr>
    </w:p>
    <w:p w:rsidR="0073433B" w:rsidRPr="000C4561" w:rsidRDefault="0073433B" w:rsidP="00920002">
      <w:pPr>
        <w:jc w:val="both"/>
        <w:rPr>
          <w:sz w:val="22"/>
          <w:szCs w:val="22"/>
          <w:lang w:eastAsia="en-US"/>
        </w:rPr>
      </w:pPr>
      <w:r w:rsidRPr="000C4561">
        <w:rPr>
          <w:sz w:val="22"/>
          <w:szCs w:val="22"/>
          <w:lang w:eastAsia="en-US"/>
        </w:rPr>
        <w:t xml:space="preserve">Obviously the case 2 is the lower capability case, if we introduce a new capability for this lower capability, which also means that there would be NBC issue for the gNB that couldn’t read the new capability. </w:t>
      </w:r>
    </w:p>
    <w:p w:rsidR="0073433B" w:rsidRPr="000C4561" w:rsidRDefault="0073433B" w:rsidP="00920002">
      <w:pPr>
        <w:jc w:val="both"/>
        <w:rPr>
          <w:sz w:val="22"/>
          <w:szCs w:val="22"/>
          <w:lang w:eastAsia="en-US"/>
        </w:rPr>
      </w:pPr>
    </w:p>
    <w:p w:rsidR="0073433B" w:rsidRPr="000C4561" w:rsidRDefault="0073433B" w:rsidP="00920002">
      <w:pPr>
        <w:jc w:val="both"/>
        <w:rPr>
          <w:sz w:val="22"/>
          <w:szCs w:val="22"/>
          <w:lang w:eastAsia="en-US"/>
        </w:rPr>
      </w:pPr>
      <w:r w:rsidRPr="000C4561">
        <w:rPr>
          <w:sz w:val="22"/>
          <w:szCs w:val="22"/>
          <w:lang w:eastAsia="en-US"/>
        </w:rPr>
        <w:t xml:space="preserve">To solve this issue, another method is to take the </w:t>
      </w:r>
      <w:r w:rsidR="00D84292" w:rsidRPr="000C4561">
        <w:rPr>
          <w:sz w:val="22"/>
          <w:szCs w:val="22"/>
          <w:lang w:eastAsia="en-US"/>
        </w:rPr>
        <w:t xml:space="preserve">above </w:t>
      </w:r>
      <w:r w:rsidRPr="000C4561">
        <w:rPr>
          <w:sz w:val="22"/>
          <w:szCs w:val="22"/>
          <w:lang w:eastAsia="en-US"/>
        </w:rPr>
        <w:t>case 2 as a default case while add new capabili</w:t>
      </w:r>
      <w:r w:rsidR="00920002" w:rsidRPr="000C4561">
        <w:rPr>
          <w:sz w:val="22"/>
          <w:szCs w:val="22"/>
          <w:lang w:eastAsia="en-US"/>
        </w:rPr>
        <w:t xml:space="preserve">ty for the case 1. Then when the network configure the UE with </w:t>
      </w:r>
      <w:r w:rsidR="00920002" w:rsidRPr="000C4561">
        <w:rPr>
          <w:i/>
          <w:sz w:val="22"/>
          <w:szCs w:val="22"/>
          <w:lang w:eastAsia="en-US"/>
        </w:rPr>
        <w:t>mprReductionExtensionRatio-r19</w:t>
      </w:r>
      <w:r w:rsidR="00920002" w:rsidRPr="000C4561">
        <w:rPr>
          <w:sz w:val="22"/>
          <w:szCs w:val="22"/>
          <w:lang w:eastAsia="en-US"/>
        </w:rPr>
        <w:t xml:space="preserve"> and </w:t>
      </w:r>
      <w:r w:rsidR="00920002" w:rsidRPr="000C4561">
        <w:rPr>
          <w:i/>
          <w:sz w:val="22"/>
          <w:szCs w:val="22"/>
          <w:lang w:eastAsia="en-US"/>
        </w:rPr>
        <w:t>powerBoostPi2BPSK-r18/ powerBoostQPSK-r18</w:t>
      </w:r>
      <w:r w:rsidR="00920002" w:rsidRPr="000C4561">
        <w:rPr>
          <w:sz w:val="22"/>
          <w:szCs w:val="22"/>
          <w:lang w:eastAsia="en-US"/>
        </w:rPr>
        <w:t>:</w:t>
      </w:r>
    </w:p>
    <w:p w:rsidR="0073433B" w:rsidRPr="000C4561" w:rsidRDefault="0073433B" w:rsidP="00920002">
      <w:pPr>
        <w:pStyle w:val="TAL"/>
        <w:numPr>
          <w:ilvl w:val="0"/>
          <w:numId w:val="26"/>
        </w:numPr>
        <w:jc w:val="both"/>
        <w:rPr>
          <w:rFonts w:ascii="Times New Roman" w:hAnsi="Times New Roman"/>
          <w:sz w:val="22"/>
          <w:szCs w:val="22"/>
          <w:lang w:eastAsia="en-US"/>
        </w:rPr>
      </w:pPr>
      <w:r w:rsidRPr="000C4561">
        <w:rPr>
          <w:rFonts w:ascii="Times New Roman" w:hAnsi="Times New Roman"/>
          <w:sz w:val="22"/>
          <w:szCs w:val="22"/>
          <w:lang w:eastAsia="en-US"/>
        </w:rPr>
        <w:t xml:space="preserve">For the UE that doesn’t support the new capability, it means the UE can only support the power boosting </w:t>
      </w:r>
      <w:r w:rsidR="00920002" w:rsidRPr="000C4561">
        <w:rPr>
          <w:rFonts w:ascii="Times New Roman" w:hAnsi="Times New Roman"/>
          <w:sz w:val="22"/>
          <w:szCs w:val="22"/>
          <w:lang w:eastAsia="en-US"/>
        </w:rPr>
        <w:t>in the old Inner RB allocation.</w:t>
      </w:r>
    </w:p>
    <w:p w:rsidR="00920002" w:rsidRPr="000C4561" w:rsidRDefault="0073433B" w:rsidP="00920002">
      <w:pPr>
        <w:pStyle w:val="TAL"/>
        <w:numPr>
          <w:ilvl w:val="0"/>
          <w:numId w:val="26"/>
        </w:numPr>
        <w:jc w:val="both"/>
        <w:rPr>
          <w:rFonts w:ascii="Times New Roman" w:hAnsi="Times New Roman"/>
          <w:sz w:val="22"/>
          <w:szCs w:val="22"/>
          <w:lang w:eastAsia="en-US"/>
        </w:rPr>
      </w:pPr>
      <w:r w:rsidRPr="000C4561">
        <w:rPr>
          <w:rFonts w:ascii="Times New Roman" w:hAnsi="Times New Roman"/>
          <w:sz w:val="22"/>
          <w:szCs w:val="22"/>
          <w:lang w:eastAsia="en-US"/>
        </w:rPr>
        <w:t xml:space="preserve">For the UE supports the new capability, </w:t>
      </w:r>
      <w:r w:rsidR="00920002" w:rsidRPr="000C4561">
        <w:rPr>
          <w:rFonts w:ascii="Times New Roman" w:hAnsi="Times New Roman"/>
          <w:sz w:val="22"/>
          <w:szCs w:val="22"/>
          <w:lang w:eastAsia="en-US"/>
        </w:rPr>
        <w:t>it means the UE can support the power boosting in the new Inner RB allocation.</w:t>
      </w:r>
    </w:p>
    <w:p w:rsidR="00920002" w:rsidRPr="000C4561" w:rsidRDefault="00920002" w:rsidP="00920002">
      <w:pPr>
        <w:pStyle w:val="TAL"/>
        <w:ind w:left="720"/>
        <w:jc w:val="both"/>
        <w:rPr>
          <w:rFonts w:ascii="Times New Roman" w:hAnsi="Times New Roman"/>
          <w:sz w:val="22"/>
          <w:szCs w:val="22"/>
          <w:lang w:eastAsia="en-US"/>
        </w:rPr>
      </w:pPr>
    </w:p>
    <w:p w:rsidR="00920002" w:rsidRPr="000C4561" w:rsidRDefault="00920002" w:rsidP="00920002">
      <w:pPr>
        <w:jc w:val="both"/>
        <w:rPr>
          <w:b/>
          <w:sz w:val="22"/>
          <w:szCs w:val="22"/>
          <w:lang w:eastAsia="en-US"/>
        </w:rPr>
      </w:pPr>
      <w:r w:rsidRPr="000C4561">
        <w:rPr>
          <w:b/>
          <w:sz w:val="22"/>
          <w:szCs w:val="22"/>
          <w:lang w:eastAsia="en-US"/>
        </w:rPr>
        <w:t>Proposal 1: Introduce a new capability to indicate the UE can support power boosting on the newly Inner RB allocation. If this capability is absent, it means the UE can only support power boosting on the old Inner RB allocation.</w:t>
      </w:r>
    </w:p>
    <w:p w:rsidR="007220FC" w:rsidRPr="000C4561" w:rsidRDefault="007220FC" w:rsidP="00920002">
      <w:pPr>
        <w:jc w:val="both"/>
        <w:rPr>
          <w:b/>
          <w:sz w:val="22"/>
          <w:szCs w:val="22"/>
          <w:lang w:eastAsia="en-US"/>
        </w:rPr>
      </w:pPr>
    </w:p>
    <w:p w:rsidR="007220FC" w:rsidRPr="000C4561" w:rsidRDefault="007220FC" w:rsidP="00920002">
      <w:pPr>
        <w:jc w:val="both"/>
        <w:rPr>
          <w:sz w:val="22"/>
          <w:szCs w:val="22"/>
          <w:lang w:eastAsia="en-US"/>
        </w:rPr>
      </w:pPr>
      <w:r w:rsidRPr="000C4561">
        <w:rPr>
          <w:sz w:val="22"/>
          <w:szCs w:val="22"/>
          <w:lang w:eastAsia="en-US"/>
        </w:rPr>
        <w:t>If the proposal 1 is agreed, send LS to RAN4 to indicate this RAN2 conclusion and then RAN4 can update their specification accordingly.</w:t>
      </w:r>
    </w:p>
    <w:p w:rsidR="007220FC" w:rsidRPr="000C4561" w:rsidRDefault="007220FC" w:rsidP="00920002">
      <w:pPr>
        <w:jc w:val="both"/>
        <w:rPr>
          <w:b/>
          <w:sz w:val="22"/>
          <w:szCs w:val="22"/>
          <w:lang w:eastAsia="en-US"/>
        </w:rPr>
      </w:pPr>
      <w:r w:rsidRPr="000C4561">
        <w:rPr>
          <w:b/>
          <w:sz w:val="22"/>
          <w:szCs w:val="22"/>
          <w:lang w:eastAsia="en-US"/>
        </w:rPr>
        <w:t>Proposal 1a: If the proposal 1 is agreed, send LS to RAN4 to indicate RAN2 conclusion.</w:t>
      </w:r>
      <w:bookmarkStart w:id="17" w:name="_GoBack"/>
      <w:bookmarkEnd w:id="17"/>
    </w:p>
    <w:p w:rsidR="00521C86" w:rsidRPr="00315F89" w:rsidRDefault="00466246" w:rsidP="00315F89">
      <w:pPr>
        <w:pStyle w:val="1"/>
        <w:numPr>
          <w:ilvl w:val="0"/>
          <w:numId w:val="2"/>
        </w:numPr>
        <w:overflowPunct w:val="0"/>
        <w:autoSpaceDE w:val="0"/>
        <w:autoSpaceDN w:val="0"/>
        <w:adjustRightInd w:val="0"/>
        <w:spacing w:beforeLines="50" w:before="120" w:line="240" w:lineRule="auto"/>
        <w:jc w:val="left"/>
        <w:textAlignment w:val="baseline"/>
        <w:rPr>
          <w:rFonts w:cs="Arial"/>
          <w:sz w:val="32"/>
          <w:szCs w:val="36"/>
        </w:rPr>
      </w:pPr>
      <w:r>
        <w:rPr>
          <w:rFonts w:cs="Arial"/>
          <w:sz w:val="32"/>
          <w:szCs w:val="36"/>
        </w:rPr>
        <w:t>C</w:t>
      </w:r>
      <w:r>
        <w:rPr>
          <w:rFonts w:cs="Arial" w:hint="eastAsia"/>
          <w:sz w:val="32"/>
          <w:szCs w:val="36"/>
        </w:rPr>
        <w:t>onclusion</w:t>
      </w:r>
      <w:r>
        <w:rPr>
          <w:rFonts w:cs="Arial"/>
          <w:sz w:val="32"/>
          <w:szCs w:val="36"/>
        </w:rPr>
        <w:t xml:space="preserve"> and proposals</w:t>
      </w:r>
    </w:p>
    <w:p w:rsidR="00521C86" w:rsidRPr="000C4561" w:rsidRDefault="00466246">
      <w:pPr>
        <w:spacing w:beforeLines="50" w:before="120"/>
        <w:rPr>
          <w:sz w:val="22"/>
          <w:szCs w:val="22"/>
        </w:rPr>
      </w:pPr>
      <w:r w:rsidRPr="000C4561">
        <w:rPr>
          <w:rFonts w:hint="eastAsia"/>
          <w:sz w:val="22"/>
          <w:szCs w:val="22"/>
        </w:rPr>
        <w:t xml:space="preserve">With the above analysis, we have the following </w:t>
      </w:r>
      <w:r w:rsidRPr="000C4561">
        <w:rPr>
          <w:sz w:val="22"/>
          <w:szCs w:val="22"/>
        </w:rPr>
        <w:t>proposals</w:t>
      </w:r>
      <w:r w:rsidRPr="000C4561">
        <w:rPr>
          <w:rFonts w:hint="eastAsia"/>
          <w:sz w:val="22"/>
          <w:szCs w:val="22"/>
        </w:rPr>
        <w:t>:</w:t>
      </w:r>
    </w:p>
    <w:p w:rsidR="00124924" w:rsidRPr="000C4561" w:rsidRDefault="00124924">
      <w:pPr>
        <w:spacing w:beforeLines="50" w:before="120"/>
        <w:rPr>
          <w:sz w:val="22"/>
          <w:szCs w:val="22"/>
        </w:rPr>
      </w:pPr>
    </w:p>
    <w:p w:rsidR="0073433B" w:rsidRPr="000C4561" w:rsidRDefault="0073433B" w:rsidP="00920002">
      <w:pPr>
        <w:jc w:val="both"/>
        <w:rPr>
          <w:b/>
          <w:sz w:val="22"/>
          <w:szCs w:val="22"/>
          <w:lang w:val="en-GB" w:eastAsia="en-US"/>
        </w:rPr>
      </w:pPr>
      <w:r w:rsidRPr="000C4561">
        <w:rPr>
          <w:b/>
          <w:sz w:val="22"/>
          <w:szCs w:val="22"/>
          <w:lang w:val="en-GB" w:eastAsia="en-US"/>
        </w:rPr>
        <w:t>Observation 1: The new Inner RB allocation is wider and includes the old Inner RB allocation.</w:t>
      </w:r>
    </w:p>
    <w:p w:rsidR="00124924" w:rsidRPr="000C4561" w:rsidRDefault="00920002" w:rsidP="00920002">
      <w:pPr>
        <w:jc w:val="both"/>
        <w:rPr>
          <w:b/>
          <w:sz w:val="22"/>
          <w:szCs w:val="22"/>
          <w:lang w:eastAsia="en-US"/>
        </w:rPr>
      </w:pPr>
      <w:r w:rsidRPr="000C4561">
        <w:rPr>
          <w:b/>
          <w:sz w:val="22"/>
          <w:szCs w:val="22"/>
          <w:lang w:eastAsia="en-US"/>
        </w:rPr>
        <w:t>Proposal 1: Introduce a new capability to indicate the UE can support power boosting on the newly Inner RB allocation. If this capability is absent, it means the UE can only support power boosting on the old Inner RB allocation.</w:t>
      </w:r>
    </w:p>
    <w:p w:rsidR="007220FC" w:rsidRPr="000C4561" w:rsidRDefault="007220FC" w:rsidP="007220FC">
      <w:pPr>
        <w:jc w:val="both"/>
        <w:rPr>
          <w:b/>
          <w:sz w:val="22"/>
          <w:szCs w:val="22"/>
          <w:lang w:eastAsia="en-US"/>
        </w:rPr>
      </w:pPr>
      <w:r w:rsidRPr="000C4561">
        <w:rPr>
          <w:b/>
          <w:sz w:val="22"/>
          <w:szCs w:val="22"/>
          <w:lang w:eastAsia="en-US"/>
        </w:rPr>
        <w:t>Proposal 1a: If the proposal 1 is agreed, send LS to RAN4 to indicate RAN2 conclusion.</w:t>
      </w:r>
    </w:p>
    <w:p w:rsidR="00C0673C" w:rsidRDefault="00004970" w:rsidP="00004970">
      <w:pPr>
        <w:pStyle w:val="1"/>
        <w:numPr>
          <w:ilvl w:val="0"/>
          <w:numId w:val="2"/>
        </w:numPr>
        <w:overflowPunct w:val="0"/>
        <w:autoSpaceDE w:val="0"/>
        <w:autoSpaceDN w:val="0"/>
        <w:adjustRightInd w:val="0"/>
        <w:spacing w:beforeLines="50" w:before="120" w:line="240" w:lineRule="auto"/>
        <w:jc w:val="left"/>
        <w:textAlignment w:val="baseline"/>
        <w:rPr>
          <w:rFonts w:cs="Arial"/>
          <w:sz w:val="32"/>
          <w:szCs w:val="36"/>
        </w:rPr>
      </w:pPr>
      <w:r>
        <w:rPr>
          <w:rFonts w:cs="Arial"/>
          <w:sz w:val="32"/>
          <w:szCs w:val="36"/>
        </w:rPr>
        <w:t>Reference</w:t>
      </w:r>
    </w:p>
    <w:p w:rsidR="00004970" w:rsidRPr="00004970" w:rsidRDefault="00004970" w:rsidP="00004970">
      <w:pPr>
        <w:jc w:val="both"/>
        <w:rPr>
          <w:sz w:val="22"/>
          <w:szCs w:val="22"/>
        </w:rPr>
      </w:pPr>
      <w:r w:rsidRPr="00004970">
        <w:rPr>
          <w:sz w:val="22"/>
          <w:szCs w:val="22"/>
        </w:rPr>
        <w:t>[1] R4-2522409</w:t>
      </w:r>
      <w:r w:rsidRPr="00004970">
        <w:rPr>
          <w:sz w:val="22"/>
          <w:szCs w:val="22"/>
        </w:rPr>
        <w:tab/>
        <w:t>draft LS on further signaling for MPR enhancement</w:t>
      </w:r>
      <w:r w:rsidRPr="00004970">
        <w:rPr>
          <w:sz w:val="22"/>
          <w:szCs w:val="22"/>
        </w:rPr>
        <w:tab/>
        <w:t>Apple</w:t>
      </w:r>
    </w:p>
    <w:sectPr w:rsidR="00004970" w:rsidRPr="00004970" w:rsidSect="00CF39D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7522" w:rsidRDefault="004B7522">
      <w:r>
        <w:separator/>
      </w:r>
    </w:p>
  </w:endnote>
  <w:endnote w:type="continuationSeparator" w:id="0">
    <w:p w:rsidR="004B7522" w:rsidRDefault="004B7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Yu Mincho">
    <w:altName w:val="MS Gothic"/>
    <w:charset w:val="80"/>
    <w:family w:val="roman"/>
    <w:pitch w:val="default"/>
    <w:sig w:usb0="00000000" w:usb1="2AC7FCFF" w:usb2="00000012" w:usb3="00000000" w:csb0="0002009F" w:csb1="00000000"/>
  </w:font>
  <w:font w:name="仿宋_GB2312">
    <w:altName w:val="仿宋"/>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7522" w:rsidRDefault="004B7522">
      <w:r>
        <w:separator/>
      </w:r>
    </w:p>
  </w:footnote>
  <w:footnote w:type="continuationSeparator" w:id="0">
    <w:p w:rsidR="004B7522" w:rsidRDefault="004B75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569AD1C"/>
    <w:multiLevelType w:val="multilevel"/>
    <w:tmpl w:val="A569AD1C"/>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 w15:restartNumberingAfterBreak="0">
    <w:nsid w:val="00B66401"/>
    <w:multiLevelType w:val="hybridMultilevel"/>
    <w:tmpl w:val="87D0A23E"/>
    <w:lvl w:ilvl="0" w:tplc="0409000D">
      <w:start w:val="1"/>
      <w:numFmt w:val="bullet"/>
      <w:lvlText w:val=""/>
      <w:lvlJc w:val="left"/>
      <w:pPr>
        <w:ind w:left="1211" w:hanging="360"/>
      </w:pPr>
      <w:rPr>
        <w:rFonts w:ascii="Wingdings" w:hAnsi="Wingdings"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039A62EF"/>
    <w:multiLevelType w:val="multilevel"/>
    <w:tmpl w:val="039A62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4A93D27"/>
    <w:multiLevelType w:val="hybridMultilevel"/>
    <w:tmpl w:val="7B04D7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A66536"/>
    <w:multiLevelType w:val="hybridMultilevel"/>
    <w:tmpl w:val="0EA4F6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F043D6"/>
    <w:multiLevelType w:val="multilevel"/>
    <w:tmpl w:val="4E80005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10F6C2C"/>
    <w:multiLevelType w:val="hybridMultilevel"/>
    <w:tmpl w:val="A06020CE"/>
    <w:lvl w:ilvl="0" w:tplc="E2185008">
      <w:start w:val="3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3B148A"/>
    <w:multiLevelType w:val="hybridMultilevel"/>
    <w:tmpl w:val="6BEA5E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BC3C46"/>
    <w:multiLevelType w:val="hybridMultilevel"/>
    <w:tmpl w:val="1F1CB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737F81"/>
    <w:multiLevelType w:val="hybridMultilevel"/>
    <w:tmpl w:val="743A4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106D7"/>
    <w:multiLevelType w:val="hybridMultilevel"/>
    <w:tmpl w:val="44BE8D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33525C"/>
    <w:multiLevelType w:val="multilevel"/>
    <w:tmpl w:val="2C7050BA"/>
    <w:lvl w:ilvl="0">
      <w:start w:val="1"/>
      <w:numFmt w:val="decimal"/>
      <w:pStyle w:val="1st-Proposal-YJ"/>
      <w:lvlText w:val="Proposal %1:"/>
      <w:lvlJc w:val="left"/>
      <w:pPr>
        <w:tabs>
          <w:tab w:val="num" w:pos="0"/>
        </w:tabs>
        <w:ind w:left="0" w:firstLine="0"/>
      </w:pPr>
      <w:rPr>
        <w:rFonts w:ascii="Times New Roman" w:eastAsia="宋体" w:hAnsi="Times New Roman" w:hint="default"/>
        <w:b/>
        <w:i w:val="0"/>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4" w15:restartNumberingAfterBreak="0">
    <w:nsid w:val="352173BA"/>
    <w:multiLevelType w:val="multilevel"/>
    <w:tmpl w:val="CE46E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2E5E8C"/>
    <w:multiLevelType w:val="hybridMultilevel"/>
    <w:tmpl w:val="B4281A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D929A0"/>
    <w:multiLevelType w:val="hybridMultilevel"/>
    <w:tmpl w:val="0F30FD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F6B6D"/>
    <w:multiLevelType w:val="hybridMultilevel"/>
    <w:tmpl w:val="192C0C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F20681"/>
    <w:multiLevelType w:val="hybridMultilevel"/>
    <w:tmpl w:val="79BCA4E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42A7A4E"/>
    <w:multiLevelType w:val="hybridMultilevel"/>
    <w:tmpl w:val="8C0419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110A87"/>
    <w:multiLevelType w:val="hybridMultilevel"/>
    <w:tmpl w:val="1A7C779A"/>
    <w:lvl w:ilvl="0" w:tplc="E3304626">
      <w:start w:val="1"/>
      <w:numFmt w:val="decimal"/>
      <w:lvlText w:val="[%1]"/>
      <w:lvlJc w:val="left"/>
      <w:pPr>
        <w:ind w:left="502" w:hanging="360"/>
      </w:pPr>
      <w:rPr>
        <w:rFonts w:hint="eastAsia"/>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8674B77"/>
    <w:multiLevelType w:val="hybridMultilevel"/>
    <w:tmpl w:val="B52CD97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A893267"/>
    <w:multiLevelType w:val="hybridMultilevel"/>
    <w:tmpl w:val="CC88FAF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4"/>
  </w:num>
  <w:num w:numId="2">
    <w:abstractNumId w:val="3"/>
  </w:num>
  <w:num w:numId="3">
    <w:abstractNumId w:val="23"/>
  </w:num>
  <w:num w:numId="4">
    <w:abstractNumId w:val="13"/>
  </w:num>
  <w:num w:numId="5">
    <w:abstractNumId w:val="20"/>
  </w:num>
  <w:num w:numId="6">
    <w:abstractNumId w:val="15"/>
  </w:num>
  <w:num w:numId="7">
    <w:abstractNumId w:val="22"/>
  </w:num>
  <w:num w:numId="8">
    <w:abstractNumId w:val="8"/>
  </w:num>
  <w:num w:numId="9">
    <w:abstractNumId w:val="17"/>
  </w:num>
  <w:num w:numId="10">
    <w:abstractNumId w:val="4"/>
  </w:num>
  <w:num w:numId="11">
    <w:abstractNumId w:val="11"/>
  </w:num>
  <w:num w:numId="12">
    <w:abstractNumId w:val="1"/>
  </w:num>
  <w:num w:numId="13">
    <w:abstractNumId w:val="12"/>
  </w:num>
  <w:num w:numId="14">
    <w:abstractNumId w:val="10"/>
  </w:num>
  <w:num w:numId="15">
    <w:abstractNumId w:val="19"/>
  </w:num>
  <w:num w:numId="16">
    <w:abstractNumId w:val="9"/>
  </w:num>
  <w:num w:numId="17">
    <w:abstractNumId w:val="16"/>
  </w:num>
  <w:num w:numId="18">
    <w:abstractNumId w:val="14"/>
  </w:num>
  <w:num w:numId="19">
    <w:abstractNumId w:val="26"/>
  </w:num>
  <w:num w:numId="20">
    <w:abstractNumId w:val="7"/>
  </w:num>
  <w:num w:numId="21">
    <w:abstractNumId w:val="2"/>
  </w:num>
  <w:num w:numId="22">
    <w:abstractNumId w:val="25"/>
  </w:num>
  <w:num w:numId="23">
    <w:abstractNumId w:val="0"/>
  </w:num>
  <w:num w:numId="24">
    <w:abstractNumId w:val="6"/>
  </w:num>
  <w:num w:numId="25">
    <w:abstractNumId w:val="21"/>
  </w:num>
  <w:num w:numId="26">
    <w:abstractNumId w:val="5"/>
  </w:num>
  <w:num w:numId="27">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02BF"/>
    <w:rsid w:val="00000793"/>
    <w:rsid w:val="0000158F"/>
    <w:rsid w:val="00001FFC"/>
    <w:rsid w:val="00004460"/>
    <w:rsid w:val="00004915"/>
    <w:rsid w:val="00004970"/>
    <w:rsid w:val="00005755"/>
    <w:rsid w:val="00010397"/>
    <w:rsid w:val="00010B99"/>
    <w:rsid w:val="00011050"/>
    <w:rsid w:val="00014D68"/>
    <w:rsid w:val="000165B8"/>
    <w:rsid w:val="00016B02"/>
    <w:rsid w:val="0001752D"/>
    <w:rsid w:val="00017B08"/>
    <w:rsid w:val="00020CEA"/>
    <w:rsid w:val="0002217E"/>
    <w:rsid w:val="00023749"/>
    <w:rsid w:val="000313A0"/>
    <w:rsid w:val="0003387D"/>
    <w:rsid w:val="0003405C"/>
    <w:rsid w:val="00034E06"/>
    <w:rsid w:val="00035316"/>
    <w:rsid w:val="00035667"/>
    <w:rsid w:val="00036740"/>
    <w:rsid w:val="0003713C"/>
    <w:rsid w:val="00037CBA"/>
    <w:rsid w:val="000404AD"/>
    <w:rsid w:val="00040D29"/>
    <w:rsid w:val="00040F04"/>
    <w:rsid w:val="00042DB3"/>
    <w:rsid w:val="00044480"/>
    <w:rsid w:val="000447F3"/>
    <w:rsid w:val="000449D7"/>
    <w:rsid w:val="00046665"/>
    <w:rsid w:val="00046996"/>
    <w:rsid w:val="00046D9B"/>
    <w:rsid w:val="000478AE"/>
    <w:rsid w:val="0005073F"/>
    <w:rsid w:val="0005183E"/>
    <w:rsid w:val="00052054"/>
    <w:rsid w:val="000523AB"/>
    <w:rsid w:val="000536ED"/>
    <w:rsid w:val="000550B5"/>
    <w:rsid w:val="000553C9"/>
    <w:rsid w:val="00057CE6"/>
    <w:rsid w:val="00057D22"/>
    <w:rsid w:val="000630F3"/>
    <w:rsid w:val="00065F9F"/>
    <w:rsid w:val="000660A5"/>
    <w:rsid w:val="00070409"/>
    <w:rsid w:val="00071A4E"/>
    <w:rsid w:val="00072753"/>
    <w:rsid w:val="00075898"/>
    <w:rsid w:val="00077225"/>
    <w:rsid w:val="000773E1"/>
    <w:rsid w:val="000773F6"/>
    <w:rsid w:val="00077FC4"/>
    <w:rsid w:val="00082748"/>
    <w:rsid w:val="000851E4"/>
    <w:rsid w:val="000866AF"/>
    <w:rsid w:val="00086758"/>
    <w:rsid w:val="000869A9"/>
    <w:rsid w:val="00086B70"/>
    <w:rsid w:val="00087FCB"/>
    <w:rsid w:val="00090709"/>
    <w:rsid w:val="000922B7"/>
    <w:rsid w:val="00093188"/>
    <w:rsid w:val="00093960"/>
    <w:rsid w:val="000949D6"/>
    <w:rsid w:val="000968E3"/>
    <w:rsid w:val="0009692F"/>
    <w:rsid w:val="00097CC6"/>
    <w:rsid w:val="00097E27"/>
    <w:rsid w:val="000A0685"/>
    <w:rsid w:val="000A161E"/>
    <w:rsid w:val="000A29C6"/>
    <w:rsid w:val="000A34F3"/>
    <w:rsid w:val="000A3FBB"/>
    <w:rsid w:val="000A7566"/>
    <w:rsid w:val="000A79E7"/>
    <w:rsid w:val="000B0032"/>
    <w:rsid w:val="000B1E3F"/>
    <w:rsid w:val="000B3CF0"/>
    <w:rsid w:val="000B4301"/>
    <w:rsid w:val="000B60B3"/>
    <w:rsid w:val="000B7010"/>
    <w:rsid w:val="000C0062"/>
    <w:rsid w:val="000C0B82"/>
    <w:rsid w:val="000C1554"/>
    <w:rsid w:val="000C1596"/>
    <w:rsid w:val="000C404E"/>
    <w:rsid w:val="000C4561"/>
    <w:rsid w:val="000C68C0"/>
    <w:rsid w:val="000C71DD"/>
    <w:rsid w:val="000C7435"/>
    <w:rsid w:val="000C7499"/>
    <w:rsid w:val="000D359A"/>
    <w:rsid w:val="000D4375"/>
    <w:rsid w:val="000D4A1D"/>
    <w:rsid w:val="000D517E"/>
    <w:rsid w:val="000E0E50"/>
    <w:rsid w:val="000E2CE1"/>
    <w:rsid w:val="000E54BB"/>
    <w:rsid w:val="000F2C66"/>
    <w:rsid w:val="000F3178"/>
    <w:rsid w:val="000F47BB"/>
    <w:rsid w:val="000F480E"/>
    <w:rsid w:val="00100C36"/>
    <w:rsid w:val="0010125D"/>
    <w:rsid w:val="00102FD9"/>
    <w:rsid w:val="00107413"/>
    <w:rsid w:val="00111DD3"/>
    <w:rsid w:val="00112CA3"/>
    <w:rsid w:val="001140AF"/>
    <w:rsid w:val="001145CD"/>
    <w:rsid w:val="00115184"/>
    <w:rsid w:val="00115FE0"/>
    <w:rsid w:val="00116469"/>
    <w:rsid w:val="0011676E"/>
    <w:rsid w:val="00120667"/>
    <w:rsid w:val="00121721"/>
    <w:rsid w:val="00124924"/>
    <w:rsid w:val="00126BB0"/>
    <w:rsid w:val="00127444"/>
    <w:rsid w:val="001316B7"/>
    <w:rsid w:val="001325E4"/>
    <w:rsid w:val="001328CE"/>
    <w:rsid w:val="0013327E"/>
    <w:rsid w:val="0013354F"/>
    <w:rsid w:val="0013487A"/>
    <w:rsid w:val="001352A4"/>
    <w:rsid w:val="00135906"/>
    <w:rsid w:val="00137B78"/>
    <w:rsid w:val="001403F4"/>
    <w:rsid w:val="00141800"/>
    <w:rsid w:val="00141B7F"/>
    <w:rsid w:val="0014368D"/>
    <w:rsid w:val="0014495F"/>
    <w:rsid w:val="00145E89"/>
    <w:rsid w:val="00146CC5"/>
    <w:rsid w:val="00147293"/>
    <w:rsid w:val="0015037D"/>
    <w:rsid w:val="00151AEA"/>
    <w:rsid w:val="00152D22"/>
    <w:rsid w:val="001531ED"/>
    <w:rsid w:val="0015338D"/>
    <w:rsid w:val="00154011"/>
    <w:rsid w:val="001555F7"/>
    <w:rsid w:val="001578A6"/>
    <w:rsid w:val="00162FA3"/>
    <w:rsid w:val="00166BC5"/>
    <w:rsid w:val="00167A4E"/>
    <w:rsid w:val="0017009D"/>
    <w:rsid w:val="00170F78"/>
    <w:rsid w:val="00172660"/>
    <w:rsid w:val="0017280B"/>
    <w:rsid w:val="00173F86"/>
    <w:rsid w:val="00175394"/>
    <w:rsid w:val="00177486"/>
    <w:rsid w:val="00177767"/>
    <w:rsid w:val="001803B5"/>
    <w:rsid w:val="001803ED"/>
    <w:rsid w:val="00180BB3"/>
    <w:rsid w:val="00184B64"/>
    <w:rsid w:val="00187E82"/>
    <w:rsid w:val="00195B73"/>
    <w:rsid w:val="0019619F"/>
    <w:rsid w:val="00196DBE"/>
    <w:rsid w:val="001A135B"/>
    <w:rsid w:val="001A5BDE"/>
    <w:rsid w:val="001A5BE0"/>
    <w:rsid w:val="001A5E78"/>
    <w:rsid w:val="001A6645"/>
    <w:rsid w:val="001A6FE3"/>
    <w:rsid w:val="001A789F"/>
    <w:rsid w:val="001A7D77"/>
    <w:rsid w:val="001B0749"/>
    <w:rsid w:val="001B2616"/>
    <w:rsid w:val="001B29F3"/>
    <w:rsid w:val="001B357D"/>
    <w:rsid w:val="001B412F"/>
    <w:rsid w:val="001B47AB"/>
    <w:rsid w:val="001B6DDB"/>
    <w:rsid w:val="001C2F62"/>
    <w:rsid w:val="001C3321"/>
    <w:rsid w:val="001C5400"/>
    <w:rsid w:val="001C6BE2"/>
    <w:rsid w:val="001C72F6"/>
    <w:rsid w:val="001C7446"/>
    <w:rsid w:val="001D02BD"/>
    <w:rsid w:val="001D1B96"/>
    <w:rsid w:val="001D23B6"/>
    <w:rsid w:val="001D24A3"/>
    <w:rsid w:val="001D3C21"/>
    <w:rsid w:val="001D3DCF"/>
    <w:rsid w:val="001E197E"/>
    <w:rsid w:val="001E2A36"/>
    <w:rsid w:val="001E435C"/>
    <w:rsid w:val="001E54CD"/>
    <w:rsid w:val="001E5AB3"/>
    <w:rsid w:val="001E5ED4"/>
    <w:rsid w:val="001E71A0"/>
    <w:rsid w:val="001E7359"/>
    <w:rsid w:val="001E7EBA"/>
    <w:rsid w:val="001F0045"/>
    <w:rsid w:val="001F0D5D"/>
    <w:rsid w:val="001F1B30"/>
    <w:rsid w:val="001F458C"/>
    <w:rsid w:val="001F5D94"/>
    <w:rsid w:val="00202026"/>
    <w:rsid w:val="00202E09"/>
    <w:rsid w:val="002037F5"/>
    <w:rsid w:val="00204984"/>
    <w:rsid w:val="00205FF6"/>
    <w:rsid w:val="00206ACD"/>
    <w:rsid w:val="00207134"/>
    <w:rsid w:val="00207802"/>
    <w:rsid w:val="00211535"/>
    <w:rsid w:val="0021241F"/>
    <w:rsid w:val="00213794"/>
    <w:rsid w:val="00213C01"/>
    <w:rsid w:val="00213EE4"/>
    <w:rsid w:val="00215FE3"/>
    <w:rsid w:val="0021631A"/>
    <w:rsid w:val="00217299"/>
    <w:rsid w:val="0021759D"/>
    <w:rsid w:val="002175A7"/>
    <w:rsid w:val="00217ED1"/>
    <w:rsid w:val="00220318"/>
    <w:rsid w:val="00220B97"/>
    <w:rsid w:val="00221512"/>
    <w:rsid w:val="00221781"/>
    <w:rsid w:val="002219FC"/>
    <w:rsid w:val="002224AB"/>
    <w:rsid w:val="00223A40"/>
    <w:rsid w:val="00225789"/>
    <w:rsid w:val="0022651C"/>
    <w:rsid w:val="0022703E"/>
    <w:rsid w:val="00227C61"/>
    <w:rsid w:val="0023230A"/>
    <w:rsid w:val="002333B0"/>
    <w:rsid w:val="0023616A"/>
    <w:rsid w:val="002376E3"/>
    <w:rsid w:val="0024022B"/>
    <w:rsid w:val="00240285"/>
    <w:rsid w:val="00244E1A"/>
    <w:rsid w:val="00245CA9"/>
    <w:rsid w:val="00245EA9"/>
    <w:rsid w:val="00251221"/>
    <w:rsid w:val="00252615"/>
    <w:rsid w:val="00252E0E"/>
    <w:rsid w:val="00253375"/>
    <w:rsid w:val="002536BF"/>
    <w:rsid w:val="00254930"/>
    <w:rsid w:val="002567C5"/>
    <w:rsid w:val="00257635"/>
    <w:rsid w:val="00260B72"/>
    <w:rsid w:val="00261014"/>
    <w:rsid w:val="0026184C"/>
    <w:rsid w:val="00261A08"/>
    <w:rsid w:val="002622DB"/>
    <w:rsid w:val="00263BED"/>
    <w:rsid w:val="002651D4"/>
    <w:rsid w:val="002655EC"/>
    <w:rsid w:val="0026754C"/>
    <w:rsid w:val="0026765B"/>
    <w:rsid w:val="00272314"/>
    <w:rsid w:val="00272382"/>
    <w:rsid w:val="00275E76"/>
    <w:rsid w:val="00275ECF"/>
    <w:rsid w:val="00283BC0"/>
    <w:rsid w:val="00292A71"/>
    <w:rsid w:val="00292D0C"/>
    <w:rsid w:val="00292F72"/>
    <w:rsid w:val="00297928"/>
    <w:rsid w:val="0029795E"/>
    <w:rsid w:val="002A06E8"/>
    <w:rsid w:val="002A08BD"/>
    <w:rsid w:val="002A15E5"/>
    <w:rsid w:val="002A2316"/>
    <w:rsid w:val="002A2835"/>
    <w:rsid w:val="002A4A26"/>
    <w:rsid w:val="002A524D"/>
    <w:rsid w:val="002A5583"/>
    <w:rsid w:val="002A7438"/>
    <w:rsid w:val="002A772B"/>
    <w:rsid w:val="002A7830"/>
    <w:rsid w:val="002B00E4"/>
    <w:rsid w:val="002B1833"/>
    <w:rsid w:val="002B2701"/>
    <w:rsid w:val="002B2824"/>
    <w:rsid w:val="002B4196"/>
    <w:rsid w:val="002B42E3"/>
    <w:rsid w:val="002B4C87"/>
    <w:rsid w:val="002B5367"/>
    <w:rsid w:val="002B5973"/>
    <w:rsid w:val="002B6F69"/>
    <w:rsid w:val="002B7846"/>
    <w:rsid w:val="002C01D6"/>
    <w:rsid w:val="002C31B2"/>
    <w:rsid w:val="002C3AD1"/>
    <w:rsid w:val="002C3E14"/>
    <w:rsid w:val="002C5626"/>
    <w:rsid w:val="002C66AE"/>
    <w:rsid w:val="002C6995"/>
    <w:rsid w:val="002C6BEF"/>
    <w:rsid w:val="002C75A2"/>
    <w:rsid w:val="002D0A8F"/>
    <w:rsid w:val="002D565F"/>
    <w:rsid w:val="002D58EC"/>
    <w:rsid w:val="002E03AF"/>
    <w:rsid w:val="002E2249"/>
    <w:rsid w:val="002E2520"/>
    <w:rsid w:val="002E2B6C"/>
    <w:rsid w:val="002F06BC"/>
    <w:rsid w:val="002F232E"/>
    <w:rsid w:val="002F2AA1"/>
    <w:rsid w:val="002F7D2B"/>
    <w:rsid w:val="0030086D"/>
    <w:rsid w:val="0030142D"/>
    <w:rsid w:val="00302EFF"/>
    <w:rsid w:val="003051E4"/>
    <w:rsid w:val="00307116"/>
    <w:rsid w:val="0030771C"/>
    <w:rsid w:val="00310B76"/>
    <w:rsid w:val="00311077"/>
    <w:rsid w:val="003110A0"/>
    <w:rsid w:val="00312CAE"/>
    <w:rsid w:val="00312EE9"/>
    <w:rsid w:val="00315F89"/>
    <w:rsid w:val="00317B24"/>
    <w:rsid w:val="003222C5"/>
    <w:rsid w:val="003224BE"/>
    <w:rsid w:val="00323491"/>
    <w:rsid w:val="00326354"/>
    <w:rsid w:val="00330055"/>
    <w:rsid w:val="00330074"/>
    <w:rsid w:val="003307E3"/>
    <w:rsid w:val="00331F95"/>
    <w:rsid w:val="00334917"/>
    <w:rsid w:val="00334C68"/>
    <w:rsid w:val="003358DC"/>
    <w:rsid w:val="00336ECB"/>
    <w:rsid w:val="00336ED1"/>
    <w:rsid w:val="003370B2"/>
    <w:rsid w:val="003379A5"/>
    <w:rsid w:val="00341538"/>
    <w:rsid w:val="00343233"/>
    <w:rsid w:val="00343BE2"/>
    <w:rsid w:val="0034419E"/>
    <w:rsid w:val="0034587F"/>
    <w:rsid w:val="00345E6A"/>
    <w:rsid w:val="00347DD9"/>
    <w:rsid w:val="00353C4A"/>
    <w:rsid w:val="00355ED4"/>
    <w:rsid w:val="00356EBF"/>
    <w:rsid w:val="00364314"/>
    <w:rsid w:val="00364B55"/>
    <w:rsid w:val="00365DF9"/>
    <w:rsid w:val="00374185"/>
    <w:rsid w:val="003762C0"/>
    <w:rsid w:val="00377267"/>
    <w:rsid w:val="00377CE4"/>
    <w:rsid w:val="00377E38"/>
    <w:rsid w:val="00382B36"/>
    <w:rsid w:val="003837EA"/>
    <w:rsid w:val="003838EE"/>
    <w:rsid w:val="003841F5"/>
    <w:rsid w:val="00384337"/>
    <w:rsid w:val="003852F9"/>
    <w:rsid w:val="00390C7A"/>
    <w:rsid w:val="00391F09"/>
    <w:rsid w:val="0039281F"/>
    <w:rsid w:val="00392AF9"/>
    <w:rsid w:val="003935ED"/>
    <w:rsid w:val="0039362C"/>
    <w:rsid w:val="0039484B"/>
    <w:rsid w:val="00395677"/>
    <w:rsid w:val="00396A45"/>
    <w:rsid w:val="003A0CB3"/>
    <w:rsid w:val="003A30E7"/>
    <w:rsid w:val="003A5916"/>
    <w:rsid w:val="003A6263"/>
    <w:rsid w:val="003A7CDB"/>
    <w:rsid w:val="003A7D67"/>
    <w:rsid w:val="003B17A5"/>
    <w:rsid w:val="003B1E64"/>
    <w:rsid w:val="003B3457"/>
    <w:rsid w:val="003B39E3"/>
    <w:rsid w:val="003B5EB3"/>
    <w:rsid w:val="003B733F"/>
    <w:rsid w:val="003C04B4"/>
    <w:rsid w:val="003C1F27"/>
    <w:rsid w:val="003C261A"/>
    <w:rsid w:val="003C2FE3"/>
    <w:rsid w:val="003C44CF"/>
    <w:rsid w:val="003C6397"/>
    <w:rsid w:val="003C68BA"/>
    <w:rsid w:val="003D2425"/>
    <w:rsid w:val="003D29FC"/>
    <w:rsid w:val="003D34AE"/>
    <w:rsid w:val="003D35B6"/>
    <w:rsid w:val="003D35FC"/>
    <w:rsid w:val="003D74FA"/>
    <w:rsid w:val="003E05A8"/>
    <w:rsid w:val="003E22FF"/>
    <w:rsid w:val="003E311D"/>
    <w:rsid w:val="003E3203"/>
    <w:rsid w:val="003E3D2F"/>
    <w:rsid w:val="003F0FEA"/>
    <w:rsid w:val="003F1B46"/>
    <w:rsid w:val="003F2690"/>
    <w:rsid w:val="003F3774"/>
    <w:rsid w:val="00401039"/>
    <w:rsid w:val="004021F9"/>
    <w:rsid w:val="004027E2"/>
    <w:rsid w:val="00403AAD"/>
    <w:rsid w:val="00403C3A"/>
    <w:rsid w:val="00404661"/>
    <w:rsid w:val="0040607F"/>
    <w:rsid w:val="004063FE"/>
    <w:rsid w:val="00406979"/>
    <w:rsid w:val="004105BB"/>
    <w:rsid w:val="004117BA"/>
    <w:rsid w:val="00412DB3"/>
    <w:rsid w:val="00413B65"/>
    <w:rsid w:val="004146CD"/>
    <w:rsid w:val="00415B4F"/>
    <w:rsid w:val="00415F9C"/>
    <w:rsid w:val="0041633E"/>
    <w:rsid w:val="00416552"/>
    <w:rsid w:val="00421662"/>
    <w:rsid w:val="0042168F"/>
    <w:rsid w:val="004302DF"/>
    <w:rsid w:val="00430B12"/>
    <w:rsid w:val="0043152C"/>
    <w:rsid w:val="00432558"/>
    <w:rsid w:val="00436FE5"/>
    <w:rsid w:val="0044050A"/>
    <w:rsid w:val="00440BBA"/>
    <w:rsid w:val="00440C67"/>
    <w:rsid w:val="00442206"/>
    <w:rsid w:val="00442E5B"/>
    <w:rsid w:val="00444772"/>
    <w:rsid w:val="00445632"/>
    <w:rsid w:val="00445B8C"/>
    <w:rsid w:val="004461DD"/>
    <w:rsid w:val="00447978"/>
    <w:rsid w:val="00447A5E"/>
    <w:rsid w:val="00450B9C"/>
    <w:rsid w:val="004517F8"/>
    <w:rsid w:val="00451A7F"/>
    <w:rsid w:val="00452AB4"/>
    <w:rsid w:val="0045389E"/>
    <w:rsid w:val="00455644"/>
    <w:rsid w:val="00456F09"/>
    <w:rsid w:val="00461316"/>
    <w:rsid w:val="00461321"/>
    <w:rsid w:val="00463208"/>
    <w:rsid w:val="00463933"/>
    <w:rsid w:val="00464AA7"/>
    <w:rsid w:val="00466246"/>
    <w:rsid w:val="00467616"/>
    <w:rsid w:val="00470B2A"/>
    <w:rsid w:val="0047174F"/>
    <w:rsid w:val="00474ECE"/>
    <w:rsid w:val="00476EA2"/>
    <w:rsid w:val="00477941"/>
    <w:rsid w:val="00477A5D"/>
    <w:rsid w:val="00477FEF"/>
    <w:rsid w:val="00481E73"/>
    <w:rsid w:val="004825F9"/>
    <w:rsid w:val="00483167"/>
    <w:rsid w:val="00483626"/>
    <w:rsid w:val="00484506"/>
    <w:rsid w:val="00487D4A"/>
    <w:rsid w:val="00490509"/>
    <w:rsid w:val="00491BB4"/>
    <w:rsid w:val="00492E11"/>
    <w:rsid w:val="00493172"/>
    <w:rsid w:val="00494729"/>
    <w:rsid w:val="00496E89"/>
    <w:rsid w:val="004A04F2"/>
    <w:rsid w:val="004A31BE"/>
    <w:rsid w:val="004A5B86"/>
    <w:rsid w:val="004B165F"/>
    <w:rsid w:val="004B184F"/>
    <w:rsid w:val="004B26FC"/>
    <w:rsid w:val="004B28F1"/>
    <w:rsid w:val="004B5555"/>
    <w:rsid w:val="004B5E80"/>
    <w:rsid w:val="004B7522"/>
    <w:rsid w:val="004C0281"/>
    <w:rsid w:val="004C45EC"/>
    <w:rsid w:val="004C5A86"/>
    <w:rsid w:val="004C5DCD"/>
    <w:rsid w:val="004C66EB"/>
    <w:rsid w:val="004C6F2A"/>
    <w:rsid w:val="004C7436"/>
    <w:rsid w:val="004D092F"/>
    <w:rsid w:val="004D23B8"/>
    <w:rsid w:val="004D672A"/>
    <w:rsid w:val="004D682C"/>
    <w:rsid w:val="004D77C9"/>
    <w:rsid w:val="004E007D"/>
    <w:rsid w:val="004E34C2"/>
    <w:rsid w:val="004E44CF"/>
    <w:rsid w:val="004E6444"/>
    <w:rsid w:val="004E7382"/>
    <w:rsid w:val="004E7A2A"/>
    <w:rsid w:val="004F0048"/>
    <w:rsid w:val="004F02FD"/>
    <w:rsid w:val="004F07E6"/>
    <w:rsid w:val="004F25AB"/>
    <w:rsid w:val="004F26FC"/>
    <w:rsid w:val="004F36A1"/>
    <w:rsid w:val="004F4235"/>
    <w:rsid w:val="004F4A75"/>
    <w:rsid w:val="004F54A2"/>
    <w:rsid w:val="004F566F"/>
    <w:rsid w:val="004F70CB"/>
    <w:rsid w:val="00501C66"/>
    <w:rsid w:val="00503354"/>
    <w:rsid w:val="005042C6"/>
    <w:rsid w:val="005045FF"/>
    <w:rsid w:val="00504619"/>
    <w:rsid w:val="00504BBA"/>
    <w:rsid w:val="005052AF"/>
    <w:rsid w:val="00505C1D"/>
    <w:rsid w:val="00505CE0"/>
    <w:rsid w:val="005071C5"/>
    <w:rsid w:val="00507A63"/>
    <w:rsid w:val="00512F38"/>
    <w:rsid w:val="0051414D"/>
    <w:rsid w:val="005173CC"/>
    <w:rsid w:val="0051768E"/>
    <w:rsid w:val="005176D2"/>
    <w:rsid w:val="00517C80"/>
    <w:rsid w:val="005209B6"/>
    <w:rsid w:val="00520FCE"/>
    <w:rsid w:val="005218C4"/>
    <w:rsid w:val="00521C86"/>
    <w:rsid w:val="00522067"/>
    <w:rsid w:val="00523E3A"/>
    <w:rsid w:val="0052489B"/>
    <w:rsid w:val="005248D7"/>
    <w:rsid w:val="005274B6"/>
    <w:rsid w:val="00532CE2"/>
    <w:rsid w:val="00533461"/>
    <w:rsid w:val="00533F51"/>
    <w:rsid w:val="00535313"/>
    <w:rsid w:val="0053611E"/>
    <w:rsid w:val="005374D2"/>
    <w:rsid w:val="00540505"/>
    <w:rsid w:val="00541249"/>
    <w:rsid w:val="005428A3"/>
    <w:rsid w:val="0054341D"/>
    <w:rsid w:val="0054391F"/>
    <w:rsid w:val="005461C3"/>
    <w:rsid w:val="00547719"/>
    <w:rsid w:val="005521A7"/>
    <w:rsid w:val="005538A9"/>
    <w:rsid w:val="00556CF4"/>
    <w:rsid w:val="00557FF9"/>
    <w:rsid w:val="005601BB"/>
    <w:rsid w:val="00562C10"/>
    <w:rsid w:val="00562D0A"/>
    <w:rsid w:val="00562F1E"/>
    <w:rsid w:val="00563174"/>
    <w:rsid w:val="00563E18"/>
    <w:rsid w:val="005643A0"/>
    <w:rsid w:val="005645AC"/>
    <w:rsid w:val="00565BDC"/>
    <w:rsid w:val="00571D03"/>
    <w:rsid w:val="00573228"/>
    <w:rsid w:val="0057347F"/>
    <w:rsid w:val="0057373C"/>
    <w:rsid w:val="00574EA9"/>
    <w:rsid w:val="005775BD"/>
    <w:rsid w:val="0058134D"/>
    <w:rsid w:val="005814AE"/>
    <w:rsid w:val="005857D0"/>
    <w:rsid w:val="00586041"/>
    <w:rsid w:val="0058651C"/>
    <w:rsid w:val="00591198"/>
    <w:rsid w:val="0059226A"/>
    <w:rsid w:val="00592774"/>
    <w:rsid w:val="00593302"/>
    <w:rsid w:val="005956BC"/>
    <w:rsid w:val="005968CF"/>
    <w:rsid w:val="00596DE7"/>
    <w:rsid w:val="005A24FC"/>
    <w:rsid w:val="005A491F"/>
    <w:rsid w:val="005B13FF"/>
    <w:rsid w:val="005B14F1"/>
    <w:rsid w:val="005B1B7C"/>
    <w:rsid w:val="005B2D41"/>
    <w:rsid w:val="005B2D7D"/>
    <w:rsid w:val="005B3846"/>
    <w:rsid w:val="005B7ED3"/>
    <w:rsid w:val="005C0913"/>
    <w:rsid w:val="005C3028"/>
    <w:rsid w:val="005C4FA6"/>
    <w:rsid w:val="005C605A"/>
    <w:rsid w:val="005C6D6F"/>
    <w:rsid w:val="005C7C41"/>
    <w:rsid w:val="005D0239"/>
    <w:rsid w:val="005D13D2"/>
    <w:rsid w:val="005D1712"/>
    <w:rsid w:val="005D1D98"/>
    <w:rsid w:val="005D26CC"/>
    <w:rsid w:val="005D347C"/>
    <w:rsid w:val="005D6C85"/>
    <w:rsid w:val="005D6E7E"/>
    <w:rsid w:val="005D705F"/>
    <w:rsid w:val="005D791D"/>
    <w:rsid w:val="005D7EE5"/>
    <w:rsid w:val="005E4519"/>
    <w:rsid w:val="005E5740"/>
    <w:rsid w:val="005E7A96"/>
    <w:rsid w:val="005F0967"/>
    <w:rsid w:val="005F5048"/>
    <w:rsid w:val="005F56E0"/>
    <w:rsid w:val="00601A3D"/>
    <w:rsid w:val="006037AD"/>
    <w:rsid w:val="00603D12"/>
    <w:rsid w:val="006056E2"/>
    <w:rsid w:val="00607B46"/>
    <w:rsid w:val="00611675"/>
    <w:rsid w:val="00611AE2"/>
    <w:rsid w:val="00612ADB"/>
    <w:rsid w:val="00613A33"/>
    <w:rsid w:val="00617058"/>
    <w:rsid w:val="0061717D"/>
    <w:rsid w:val="0062032C"/>
    <w:rsid w:val="0062050B"/>
    <w:rsid w:val="00621449"/>
    <w:rsid w:val="006221A9"/>
    <w:rsid w:val="0062296F"/>
    <w:rsid w:val="00623198"/>
    <w:rsid w:val="0062422F"/>
    <w:rsid w:val="0062471E"/>
    <w:rsid w:val="00642507"/>
    <w:rsid w:val="006439C7"/>
    <w:rsid w:val="00646D17"/>
    <w:rsid w:val="00647342"/>
    <w:rsid w:val="00647E48"/>
    <w:rsid w:val="00653206"/>
    <w:rsid w:val="00653B97"/>
    <w:rsid w:val="00656326"/>
    <w:rsid w:val="00660148"/>
    <w:rsid w:val="00660C5D"/>
    <w:rsid w:val="00661B08"/>
    <w:rsid w:val="006623D8"/>
    <w:rsid w:val="00662BEF"/>
    <w:rsid w:val="00666438"/>
    <w:rsid w:val="0066690D"/>
    <w:rsid w:val="0066781B"/>
    <w:rsid w:val="00667B6F"/>
    <w:rsid w:val="00672894"/>
    <w:rsid w:val="006732DF"/>
    <w:rsid w:val="0067751B"/>
    <w:rsid w:val="00677A16"/>
    <w:rsid w:val="0068015D"/>
    <w:rsid w:val="006801E9"/>
    <w:rsid w:val="006805A9"/>
    <w:rsid w:val="00680AEA"/>
    <w:rsid w:val="00680E12"/>
    <w:rsid w:val="00681034"/>
    <w:rsid w:val="0068155A"/>
    <w:rsid w:val="00681F40"/>
    <w:rsid w:val="00684182"/>
    <w:rsid w:val="00684FC9"/>
    <w:rsid w:val="00685CD5"/>
    <w:rsid w:val="006870DC"/>
    <w:rsid w:val="00690011"/>
    <w:rsid w:val="006905A1"/>
    <w:rsid w:val="00691E78"/>
    <w:rsid w:val="00693458"/>
    <w:rsid w:val="0069409B"/>
    <w:rsid w:val="00695108"/>
    <w:rsid w:val="0069564A"/>
    <w:rsid w:val="006A1366"/>
    <w:rsid w:val="006A1439"/>
    <w:rsid w:val="006A1F0B"/>
    <w:rsid w:val="006A384C"/>
    <w:rsid w:val="006A3A81"/>
    <w:rsid w:val="006A5E2D"/>
    <w:rsid w:val="006B02A6"/>
    <w:rsid w:val="006B0A40"/>
    <w:rsid w:val="006B0E7D"/>
    <w:rsid w:val="006B0F7B"/>
    <w:rsid w:val="006B1CF9"/>
    <w:rsid w:val="006B2DC0"/>
    <w:rsid w:val="006B427D"/>
    <w:rsid w:val="006B4C84"/>
    <w:rsid w:val="006B7AD6"/>
    <w:rsid w:val="006C1952"/>
    <w:rsid w:val="006C2A26"/>
    <w:rsid w:val="006C39CA"/>
    <w:rsid w:val="006C3CCF"/>
    <w:rsid w:val="006C4238"/>
    <w:rsid w:val="006C45D7"/>
    <w:rsid w:val="006C653E"/>
    <w:rsid w:val="006C7868"/>
    <w:rsid w:val="006D11CF"/>
    <w:rsid w:val="006D4DA2"/>
    <w:rsid w:val="006D53E3"/>
    <w:rsid w:val="006D5971"/>
    <w:rsid w:val="006D6113"/>
    <w:rsid w:val="006D646B"/>
    <w:rsid w:val="006D6559"/>
    <w:rsid w:val="006E05BD"/>
    <w:rsid w:val="006E0FFB"/>
    <w:rsid w:val="006E110D"/>
    <w:rsid w:val="006E3553"/>
    <w:rsid w:val="006E35FE"/>
    <w:rsid w:val="006E44A3"/>
    <w:rsid w:val="006F0348"/>
    <w:rsid w:val="006F1834"/>
    <w:rsid w:val="006F3D0B"/>
    <w:rsid w:val="006F4024"/>
    <w:rsid w:val="006F4903"/>
    <w:rsid w:val="006F6101"/>
    <w:rsid w:val="006F6C23"/>
    <w:rsid w:val="006F6F0F"/>
    <w:rsid w:val="006F7DA9"/>
    <w:rsid w:val="007009AC"/>
    <w:rsid w:val="0070133A"/>
    <w:rsid w:val="00702BE7"/>
    <w:rsid w:val="00702EBF"/>
    <w:rsid w:val="00704012"/>
    <w:rsid w:val="0070648E"/>
    <w:rsid w:val="00707712"/>
    <w:rsid w:val="007101B5"/>
    <w:rsid w:val="00710FD8"/>
    <w:rsid w:val="00710FE8"/>
    <w:rsid w:val="007140D7"/>
    <w:rsid w:val="00715078"/>
    <w:rsid w:val="00715295"/>
    <w:rsid w:val="00716696"/>
    <w:rsid w:val="00717D3E"/>
    <w:rsid w:val="00720B23"/>
    <w:rsid w:val="007220FC"/>
    <w:rsid w:val="00724B86"/>
    <w:rsid w:val="007307D9"/>
    <w:rsid w:val="0073164F"/>
    <w:rsid w:val="00731E1B"/>
    <w:rsid w:val="007324FC"/>
    <w:rsid w:val="00733A52"/>
    <w:rsid w:val="0073433B"/>
    <w:rsid w:val="00735F2C"/>
    <w:rsid w:val="00736825"/>
    <w:rsid w:val="00740BA4"/>
    <w:rsid w:val="007505DB"/>
    <w:rsid w:val="0075305D"/>
    <w:rsid w:val="00753127"/>
    <w:rsid w:val="00755B1E"/>
    <w:rsid w:val="00755F6C"/>
    <w:rsid w:val="00756226"/>
    <w:rsid w:val="0076031B"/>
    <w:rsid w:val="00760742"/>
    <w:rsid w:val="00760D2A"/>
    <w:rsid w:val="0076156D"/>
    <w:rsid w:val="0076330B"/>
    <w:rsid w:val="00764485"/>
    <w:rsid w:val="00764DAF"/>
    <w:rsid w:val="0076616B"/>
    <w:rsid w:val="00766633"/>
    <w:rsid w:val="00766851"/>
    <w:rsid w:val="00766989"/>
    <w:rsid w:val="00766B0E"/>
    <w:rsid w:val="0076724D"/>
    <w:rsid w:val="007673EF"/>
    <w:rsid w:val="00770048"/>
    <w:rsid w:val="00772BF9"/>
    <w:rsid w:val="0077411F"/>
    <w:rsid w:val="0077647C"/>
    <w:rsid w:val="00776CC1"/>
    <w:rsid w:val="007801DD"/>
    <w:rsid w:val="007837E0"/>
    <w:rsid w:val="00787672"/>
    <w:rsid w:val="00787767"/>
    <w:rsid w:val="007909A0"/>
    <w:rsid w:val="00792449"/>
    <w:rsid w:val="00793D99"/>
    <w:rsid w:val="00794C3B"/>
    <w:rsid w:val="00794F0A"/>
    <w:rsid w:val="00796941"/>
    <w:rsid w:val="00797525"/>
    <w:rsid w:val="0079768B"/>
    <w:rsid w:val="00797D63"/>
    <w:rsid w:val="007A3A84"/>
    <w:rsid w:val="007A3CBC"/>
    <w:rsid w:val="007A5A5F"/>
    <w:rsid w:val="007A5A66"/>
    <w:rsid w:val="007B0E00"/>
    <w:rsid w:val="007B24BE"/>
    <w:rsid w:val="007B3F40"/>
    <w:rsid w:val="007B47D3"/>
    <w:rsid w:val="007B4DDF"/>
    <w:rsid w:val="007B54DD"/>
    <w:rsid w:val="007B6A70"/>
    <w:rsid w:val="007B72C6"/>
    <w:rsid w:val="007C317F"/>
    <w:rsid w:val="007C508C"/>
    <w:rsid w:val="007C569A"/>
    <w:rsid w:val="007C7B54"/>
    <w:rsid w:val="007D1A52"/>
    <w:rsid w:val="007D5B4A"/>
    <w:rsid w:val="007D689C"/>
    <w:rsid w:val="007E13C4"/>
    <w:rsid w:val="007E4920"/>
    <w:rsid w:val="007F27EF"/>
    <w:rsid w:val="007F2FF4"/>
    <w:rsid w:val="007F44AE"/>
    <w:rsid w:val="007F458B"/>
    <w:rsid w:val="007F4A70"/>
    <w:rsid w:val="007F4E68"/>
    <w:rsid w:val="007F600B"/>
    <w:rsid w:val="007F74B6"/>
    <w:rsid w:val="00800AFF"/>
    <w:rsid w:val="00801863"/>
    <w:rsid w:val="008031A6"/>
    <w:rsid w:val="008039DD"/>
    <w:rsid w:val="00804C70"/>
    <w:rsid w:val="0080606F"/>
    <w:rsid w:val="00810638"/>
    <w:rsid w:val="0081103A"/>
    <w:rsid w:val="0081271D"/>
    <w:rsid w:val="008137A0"/>
    <w:rsid w:val="00815A27"/>
    <w:rsid w:val="008176A0"/>
    <w:rsid w:val="008205F2"/>
    <w:rsid w:val="0082097F"/>
    <w:rsid w:val="00820E2F"/>
    <w:rsid w:val="00822D7B"/>
    <w:rsid w:val="0082376A"/>
    <w:rsid w:val="00825998"/>
    <w:rsid w:val="008266A3"/>
    <w:rsid w:val="00834EF6"/>
    <w:rsid w:val="00836229"/>
    <w:rsid w:val="00840B20"/>
    <w:rsid w:val="00843A51"/>
    <w:rsid w:val="00847B98"/>
    <w:rsid w:val="0085077E"/>
    <w:rsid w:val="00850876"/>
    <w:rsid w:val="00851DE6"/>
    <w:rsid w:val="00852E35"/>
    <w:rsid w:val="00857EC3"/>
    <w:rsid w:val="00860C54"/>
    <w:rsid w:val="0086169A"/>
    <w:rsid w:val="0086197E"/>
    <w:rsid w:val="00861C36"/>
    <w:rsid w:val="00864F95"/>
    <w:rsid w:val="008650E2"/>
    <w:rsid w:val="00865937"/>
    <w:rsid w:val="00866625"/>
    <w:rsid w:val="0086690A"/>
    <w:rsid w:val="00866AA8"/>
    <w:rsid w:val="0087081E"/>
    <w:rsid w:val="008719CE"/>
    <w:rsid w:val="00871E7F"/>
    <w:rsid w:val="008732FE"/>
    <w:rsid w:val="008747A3"/>
    <w:rsid w:val="00874ABB"/>
    <w:rsid w:val="00877668"/>
    <w:rsid w:val="008779FF"/>
    <w:rsid w:val="00877E79"/>
    <w:rsid w:val="00880D3B"/>
    <w:rsid w:val="00881D91"/>
    <w:rsid w:val="0088229F"/>
    <w:rsid w:val="00883085"/>
    <w:rsid w:val="00883DCF"/>
    <w:rsid w:val="008904D2"/>
    <w:rsid w:val="00891826"/>
    <w:rsid w:val="00892CD0"/>
    <w:rsid w:val="00893811"/>
    <w:rsid w:val="00893855"/>
    <w:rsid w:val="0089626B"/>
    <w:rsid w:val="00896C02"/>
    <w:rsid w:val="0089741D"/>
    <w:rsid w:val="008A0C1D"/>
    <w:rsid w:val="008A48B7"/>
    <w:rsid w:val="008A5339"/>
    <w:rsid w:val="008A7450"/>
    <w:rsid w:val="008B0751"/>
    <w:rsid w:val="008B0CEA"/>
    <w:rsid w:val="008B28C3"/>
    <w:rsid w:val="008B2CB6"/>
    <w:rsid w:val="008B315F"/>
    <w:rsid w:val="008B3CE4"/>
    <w:rsid w:val="008B5097"/>
    <w:rsid w:val="008B5221"/>
    <w:rsid w:val="008B5730"/>
    <w:rsid w:val="008C2302"/>
    <w:rsid w:val="008C2D34"/>
    <w:rsid w:val="008C65E9"/>
    <w:rsid w:val="008C6C42"/>
    <w:rsid w:val="008D0111"/>
    <w:rsid w:val="008D09A2"/>
    <w:rsid w:val="008D21D9"/>
    <w:rsid w:val="008D2E4B"/>
    <w:rsid w:val="008D4F6E"/>
    <w:rsid w:val="008D66F2"/>
    <w:rsid w:val="008D704E"/>
    <w:rsid w:val="008E0A85"/>
    <w:rsid w:val="008E0BAD"/>
    <w:rsid w:val="008E10E7"/>
    <w:rsid w:val="008E1131"/>
    <w:rsid w:val="008E130F"/>
    <w:rsid w:val="008E15AF"/>
    <w:rsid w:val="008E1D0C"/>
    <w:rsid w:val="008E208F"/>
    <w:rsid w:val="008E49D5"/>
    <w:rsid w:val="008E61C0"/>
    <w:rsid w:val="008E6237"/>
    <w:rsid w:val="008E6577"/>
    <w:rsid w:val="008E67F7"/>
    <w:rsid w:val="008E7D8D"/>
    <w:rsid w:val="008F068E"/>
    <w:rsid w:val="008F11C8"/>
    <w:rsid w:val="008F32F2"/>
    <w:rsid w:val="008F37D1"/>
    <w:rsid w:val="008F3A63"/>
    <w:rsid w:val="008F5A23"/>
    <w:rsid w:val="008F7EFC"/>
    <w:rsid w:val="009017D4"/>
    <w:rsid w:val="0090280A"/>
    <w:rsid w:val="00902BB4"/>
    <w:rsid w:val="00903DA7"/>
    <w:rsid w:val="00904955"/>
    <w:rsid w:val="00904DF4"/>
    <w:rsid w:val="00905FAB"/>
    <w:rsid w:val="009064EB"/>
    <w:rsid w:val="00913601"/>
    <w:rsid w:val="00914598"/>
    <w:rsid w:val="00920002"/>
    <w:rsid w:val="009200AA"/>
    <w:rsid w:val="00920A69"/>
    <w:rsid w:val="009223C7"/>
    <w:rsid w:val="00922544"/>
    <w:rsid w:val="00922D89"/>
    <w:rsid w:val="00931421"/>
    <w:rsid w:val="00933027"/>
    <w:rsid w:val="00933FCD"/>
    <w:rsid w:val="009353B3"/>
    <w:rsid w:val="0093796F"/>
    <w:rsid w:val="009412DE"/>
    <w:rsid w:val="009448CF"/>
    <w:rsid w:val="00946FCE"/>
    <w:rsid w:val="00951389"/>
    <w:rsid w:val="00952C3A"/>
    <w:rsid w:val="00954387"/>
    <w:rsid w:val="0095464F"/>
    <w:rsid w:val="0095619C"/>
    <w:rsid w:val="00956C40"/>
    <w:rsid w:val="00957432"/>
    <w:rsid w:val="0095746D"/>
    <w:rsid w:val="00957F07"/>
    <w:rsid w:val="00957F0F"/>
    <w:rsid w:val="00960475"/>
    <w:rsid w:val="00962E6B"/>
    <w:rsid w:val="00963C5D"/>
    <w:rsid w:val="009642D6"/>
    <w:rsid w:val="00964541"/>
    <w:rsid w:val="00964E04"/>
    <w:rsid w:val="00965E7C"/>
    <w:rsid w:val="00967685"/>
    <w:rsid w:val="0097059F"/>
    <w:rsid w:val="00971116"/>
    <w:rsid w:val="00971FEA"/>
    <w:rsid w:val="00972F06"/>
    <w:rsid w:val="00972FDE"/>
    <w:rsid w:val="0097301A"/>
    <w:rsid w:val="009730EE"/>
    <w:rsid w:val="00973D2C"/>
    <w:rsid w:val="00980E73"/>
    <w:rsid w:val="0098189C"/>
    <w:rsid w:val="00981A37"/>
    <w:rsid w:val="0098317F"/>
    <w:rsid w:val="009840D6"/>
    <w:rsid w:val="00986688"/>
    <w:rsid w:val="00987E45"/>
    <w:rsid w:val="00987E73"/>
    <w:rsid w:val="00990392"/>
    <w:rsid w:val="00990BA8"/>
    <w:rsid w:val="00994043"/>
    <w:rsid w:val="00994510"/>
    <w:rsid w:val="00995669"/>
    <w:rsid w:val="00996DA9"/>
    <w:rsid w:val="009A192C"/>
    <w:rsid w:val="009A1B72"/>
    <w:rsid w:val="009A5806"/>
    <w:rsid w:val="009A6222"/>
    <w:rsid w:val="009A6629"/>
    <w:rsid w:val="009A772B"/>
    <w:rsid w:val="009B0FF2"/>
    <w:rsid w:val="009B1B69"/>
    <w:rsid w:val="009B28E6"/>
    <w:rsid w:val="009B360B"/>
    <w:rsid w:val="009B6D55"/>
    <w:rsid w:val="009C034E"/>
    <w:rsid w:val="009C03CE"/>
    <w:rsid w:val="009C28E4"/>
    <w:rsid w:val="009C57EE"/>
    <w:rsid w:val="009C7FC3"/>
    <w:rsid w:val="009D1C1D"/>
    <w:rsid w:val="009D65E4"/>
    <w:rsid w:val="009E0EB8"/>
    <w:rsid w:val="009E1AD8"/>
    <w:rsid w:val="009E22FE"/>
    <w:rsid w:val="009F55D1"/>
    <w:rsid w:val="009F5ACC"/>
    <w:rsid w:val="00A02AA3"/>
    <w:rsid w:val="00A03A4B"/>
    <w:rsid w:val="00A04C9C"/>
    <w:rsid w:val="00A05393"/>
    <w:rsid w:val="00A06C32"/>
    <w:rsid w:val="00A10536"/>
    <w:rsid w:val="00A111DD"/>
    <w:rsid w:val="00A11C54"/>
    <w:rsid w:val="00A11C7C"/>
    <w:rsid w:val="00A122AE"/>
    <w:rsid w:val="00A13B35"/>
    <w:rsid w:val="00A143DE"/>
    <w:rsid w:val="00A16041"/>
    <w:rsid w:val="00A2050C"/>
    <w:rsid w:val="00A22455"/>
    <w:rsid w:val="00A2297F"/>
    <w:rsid w:val="00A261A2"/>
    <w:rsid w:val="00A30E39"/>
    <w:rsid w:val="00A30FAD"/>
    <w:rsid w:val="00A3267F"/>
    <w:rsid w:val="00A33BB9"/>
    <w:rsid w:val="00A3463E"/>
    <w:rsid w:val="00A349F1"/>
    <w:rsid w:val="00A36078"/>
    <w:rsid w:val="00A36230"/>
    <w:rsid w:val="00A372EE"/>
    <w:rsid w:val="00A374D1"/>
    <w:rsid w:val="00A3775F"/>
    <w:rsid w:val="00A4369B"/>
    <w:rsid w:val="00A46408"/>
    <w:rsid w:val="00A46EC8"/>
    <w:rsid w:val="00A54B19"/>
    <w:rsid w:val="00A553E1"/>
    <w:rsid w:val="00A57656"/>
    <w:rsid w:val="00A6279A"/>
    <w:rsid w:val="00A63EDE"/>
    <w:rsid w:val="00A64AD0"/>
    <w:rsid w:val="00A67614"/>
    <w:rsid w:val="00A700EA"/>
    <w:rsid w:val="00A71151"/>
    <w:rsid w:val="00A766B5"/>
    <w:rsid w:val="00A768ED"/>
    <w:rsid w:val="00A772FA"/>
    <w:rsid w:val="00A82433"/>
    <w:rsid w:val="00A85F1D"/>
    <w:rsid w:val="00A86398"/>
    <w:rsid w:val="00A87393"/>
    <w:rsid w:val="00A90306"/>
    <w:rsid w:val="00A92AE9"/>
    <w:rsid w:val="00A92E7D"/>
    <w:rsid w:val="00A9398F"/>
    <w:rsid w:val="00A943F5"/>
    <w:rsid w:val="00A94495"/>
    <w:rsid w:val="00A955AC"/>
    <w:rsid w:val="00A9602E"/>
    <w:rsid w:val="00AA0B21"/>
    <w:rsid w:val="00AA15F7"/>
    <w:rsid w:val="00AA3FCF"/>
    <w:rsid w:val="00AA53D2"/>
    <w:rsid w:val="00AA7201"/>
    <w:rsid w:val="00AA7517"/>
    <w:rsid w:val="00AA7599"/>
    <w:rsid w:val="00AB0644"/>
    <w:rsid w:val="00AB0BA7"/>
    <w:rsid w:val="00AB0C7A"/>
    <w:rsid w:val="00AB1A5A"/>
    <w:rsid w:val="00AB34A2"/>
    <w:rsid w:val="00AB3AB4"/>
    <w:rsid w:val="00AB5185"/>
    <w:rsid w:val="00AC13C5"/>
    <w:rsid w:val="00AC196B"/>
    <w:rsid w:val="00AC1B5F"/>
    <w:rsid w:val="00AC21B1"/>
    <w:rsid w:val="00AC2758"/>
    <w:rsid w:val="00AC67F5"/>
    <w:rsid w:val="00AC6E9A"/>
    <w:rsid w:val="00AD11D6"/>
    <w:rsid w:val="00AD1469"/>
    <w:rsid w:val="00AD1E05"/>
    <w:rsid w:val="00AD2EDB"/>
    <w:rsid w:val="00AD31F3"/>
    <w:rsid w:val="00AD377A"/>
    <w:rsid w:val="00AD4541"/>
    <w:rsid w:val="00AD6E74"/>
    <w:rsid w:val="00AD73EC"/>
    <w:rsid w:val="00AD7A51"/>
    <w:rsid w:val="00AE0787"/>
    <w:rsid w:val="00AE0B6E"/>
    <w:rsid w:val="00AE1082"/>
    <w:rsid w:val="00AE16FD"/>
    <w:rsid w:val="00AE1BC7"/>
    <w:rsid w:val="00AE33E6"/>
    <w:rsid w:val="00AF1B00"/>
    <w:rsid w:val="00AF4472"/>
    <w:rsid w:val="00AF6D5F"/>
    <w:rsid w:val="00AF730E"/>
    <w:rsid w:val="00B0059E"/>
    <w:rsid w:val="00B0274E"/>
    <w:rsid w:val="00B0370C"/>
    <w:rsid w:val="00B04B48"/>
    <w:rsid w:val="00B053DD"/>
    <w:rsid w:val="00B05835"/>
    <w:rsid w:val="00B066D2"/>
    <w:rsid w:val="00B07BBE"/>
    <w:rsid w:val="00B07D40"/>
    <w:rsid w:val="00B1158F"/>
    <w:rsid w:val="00B1223B"/>
    <w:rsid w:val="00B138CA"/>
    <w:rsid w:val="00B21A8B"/>
    <w:rsid w:val="00B22974"/>
    <w:rsid w:val="00B23441"/>
    <w:rsid w:val="00B235F0"/>
    <w:rsid w:val="00B23B51"/>
    <w:rsid w:val="00B2495E"/>
    <w:rsid w:val="00B269B5"/>
    <w:rsid w:val="00B26A54"/>
    <w:rsid w:val="00B2714D"/>
    <w:rsid w:val="00B30512"/>
    <w:rsid w:val="00B30742"/>
    <w:rsid w:val="00B3361C"/>
    <w:rsid w:val="00B33A3F"/>
    <w:rsid w:val="00B341F6"/>
    <w:rsid w:val="00B34219"/>
    <w:rsid w:val="00B40C6D"/>
    <w:rsid w:val="00B44DE8"/>
    <w:rsid w:val="00B4609F"/>
    <w:rsid w:val="00B5044B"/>
    <w:rsid w:val="00B51ADC"/>
    <w:rsid w:val="00B52423"/>
    <w:rsid w:val="00B5272C"/>
    <w:rsid w:val="00B53911"/>
    <w:rsid w:val="00B556D1"/>
    <w:rsid w:val="00B57D2E"/>
    <w:rsid w:val="00B607E1"/>
    <w:rsid w:val="00B630B3"/>
    <w:rsid w:val="00B63B97"/>
    <w:rsid w:val="00B6401A"/>
    <w:rsid w:val="00B64F74"/>
    <w:rsid w:val="00B65491"/>
    <w:rsid w:val="00B6564B"/>
    <w:rsid w:val="00B665F4"/>
    <w:rsid w:val="00B6713A"/>
    <w:rsid w:val="00B67E5E"/>
    <w:rsid w:val="00B71D94"/>
    <w:rsid w:val="00B736E9"/>
    <w:rsid w:val="00B7554E"/>
    <w:rsid w:val="00B7685C"/>
    <w:rsid w:val="00B76C9B"/>
    <w:rsid w:val="00B815D6"/>
    <w:rsid w:val="00B816C2"/>
    <w:rsid w:val="00B85840"/>
    <w:rsid w:val="00B87AFF"/>
    <w:rsid w:val="00B87E1B"/>
    <w:rsid w:val="00B90673"/>
    <w:rsid w:val="00B913E9"/>
    <w:rsid w:val="00B91E12"/>
    <w:rsid w:val="00B9230A"/>
    <w:rsid w:val="00B97562"/>
    <w:rsid w:val="00BA493F"/>
    <w:rsid w:val="00BA57E9"/>
    <w:rsid w:val="00BA6C93"/>
    <w:rsid w:val="00BB046B"/>
    <w:rsid w:val="00BB11FB"/>
    <w:rsid w:val="00BB20A6"/>
    <w:rsid w:val="00BB4777"/>
    <w:rsid w:val="00BB4D7C"/>
    <w:rsid w:val="00BB4D94"/>
    <w:rsid w:val="00BB6DE5"/>
    <w:rsid w:val="00BB7990"/>
    <w:rsid w:val="00BB7CBC"/>
    <w:rsid w:val="00BC105B"/>
    <w:rsid w:val="00BC2F5D"/>
    <w:rsid w:val="00BC45C7"/>
    <w:rsid w:val="00BC48F7"/>
    <w:rsid w:val="00BC611D"/>
    <w:rsid w:val="00BC7783"/>
    <w:rsid w:val="00BC7E7B"/>
    <w:rsid w:val="00BD13FD"/>
    <w:rsid w:val="00BD170E"/>
    <w:rsid w:val="00BD291B"/>
    <w:rsid w:val="00BD41C8"/>
    <w:rsid w:val="00BD445A"/>
    <w:rsid w:val="00BD4E03"/>
    <w:rsid w:val="00BD54CF"/>
    <w:rsid w:val="00BD573A"/>
    <w:rsid w:val="00BD7547"/>
    <w:rsid w:val="00BE3953"/>
    <w:rsid w:val="00BE675E"/>
    <w:rsid w:val="00BE6D3E"/>
    <w:rsid w:val="00BF1A9B"/>
    <w:rsid w:val="00BF308C"/>
    <w:rsid w:val="00BF336E"/>
    <w:rsid w:val="00BF54C4"/>
    <w:rsid w:val="00BF635F"/>
    <w:rsid w:val="00BF6807"/>
    <w:rsid w:val="00C00FD1"/>
    <w:rsid w:val="00C00FD5"/>
    <w:rsid w:val="00C01B10"/>
    <w:rsid w:val="00C0501C"/>
    <w:rsid w:val="00C056CA"/>
    <w:rsid w:val="00C0673C"/>
    <w:rsid w:val="00C116AD"/>
    <w:rsid w:val="00C12341"/>
    <w:rsid w:val="00C1775B"/>
    <w:rsid w:val="00C20744"/>
    <w:rsid w:val="00C20A61"/>
    <w:rsid w:val="00C230A7"/>
    <w:rsid w:val="00C2361C"/>
    <w:rsid w:val="00C24BBE"/>
    <w:rsid w:val="00C27B91"/>
    <w:rsid w:val="00C30DBE"/>
    <w:rsid w:val="00C34672"/>
    <w:rsid w:val="00C44B38"/>
    <w:rsid w:val="00C46F42"/>
    <w:rsid w:val="00C4708E"/>
    <w:rsid w:val="00C5219F"/>
    <w:rsid w:val="00C5392A"/>
    <w:rsid w:val="00C54D71"/>
    <w:rsid w:val="00C576A3"/>
    <w:rsid w:val="00C60810"/>
    <w:rsid w:val="00C60B00"/>
    <w:rsid w:val="00C62358"/>
    <w:rsid w:val="00C65845"/>
    <w:rsid w:val="00C6684D"/>
    <w:rsid w:val="00C71AAB"/>
    <w:rsid w:val="00C724F7"/>
    <w:rsid w:val="00C72533"/>
    <w:rsid w:val="00C75132"/>
    <w:rsid w:val="00C76F1E"/>
    <w:rsid w:val="00C76F84"/>
    <w:rsid w:val="00C80184"/>
    <w:rsid w:val="00C80244"/>
    <w:rsid w:val="00C8081A"/>
    <w:rsid w:val="00C814CE"/>
    <w:rsid w:val="00C81581"/>
    <w:rsid w:val="00C83A94"/>
    <w:rsid w:val="00C86172"/>
    <w:rsid w:val="00C86B28"/>
    <w:rsid w:val="00C90398"/>
    <w:rsid w:val="00C9209C"/>
    <w:rsid w:val="00C92949"/>
    <w:rsid w:val="00C92A33"/>
    <w:rsid w:val="00C93E8C"/>
    <w:rsid w:val="00C967EA"/>
    <w:rsid w:val="00C978AA"/>
    <w:rsid w:val="00C9793C"/>
    <w:rsid w:val="00C97E22"/>
    <w:rsid w:val="00CA03D5"/>
    <w:rsid w:val="00CA23B3"/>
    <w:rsid w:val="00CA2BAF"/>
    <w:rsid w:val="00CA3FA7"/>
    <w:rsid w:val="00CA504E"/>
    <w:rsid w:val="00CA5359"/>
    <w:rsid w:val="00CA667C"/>
    <w:rsid w:val="00CB35E3"/>
    <w:rsid w:val="00CB3ADF"/>
    <w:rsid w:val="00CB3EFF"/>
    <w:rsid w:val="00CB444E"/>
    <w:rsid w:val="00CB5EF4"/>
    <w:rsid w:val="00CB6950"/>
    <w:rsid w:val="00CB6A2E"/>
    <w:rsid w:val="00CB7049"/>
    <w:rsid w:val="00CB75F0"/>
    <w:rsid w:val="00CC0212"/>
    <w:rsid w:val="00CC0E3A"/>
    <w:rsid w:val="00CC1A66"/>
    <w:rsid w:val="00CC1D2A"/>
    <w:rsid w:val="00CC2C20"/>
    <w:rsid w:val="00CC5641"/>
    <w:rsid w:val="00CC5FA0"/>
    <w:rsid w:val="00CD0695"/>
    <w:rsid w:val="00CD150E"/>
    <w:rsid w:val="00CD1836"/>
    <w:rsid w:val="00CD1DD9"/>
    <w:rsid w:val="00CD21D7"/>
    <w:rsid w:val="00CD30F4"/>
    <w:rsid w:val="00CD5C21"/>
    <w:rsid w:val="00CD6F2E"/>
    <w:rsid w:val="00CD78A8"/>
    <w:rsid w:val="00CE1306"/>
    <w:rsid w:val="00CE4E8A"/>
    <w:rsid w:val="00CE5D0E"/>
    <w:rsid w:val="00CF0949"/>
    <w:rsid w:val="00CF1778"/>
    <w:rsid w:val="00CF17C5"/>
    <w:rsid w:val="00CF1902"/>
    <w:rsid w:val="00CF25A3"/>
    <w:rsid w:val="00CF39D2"/>
    <w:rsid w:val="00CF3E5F"/>
    <w:rsid w:val="00CF5618"/>
    <w:rsid w:val="00CF6CD6"/>
    <w:rsid w:val="00D00A36"/>
    <w:rsid w:val="00D00E77"/>
    <w:rsid w:val="00D0240A"/>
    <w:rsid w:val="00D02610"/>
    <w:rsid w:val="00D026C4"/>
    <w:rsid w:val="00D05083"/>
    <w:rsid w:val="00D06640"/>
    <w:rsid w:val="00D11332"/>
    <w:rsid w:val="00D13851"/>
    <w:rsid w:val="00D139FB"/>
    <w:rsid w:val="00D14D7F"/>
    <w:rsid w:val="00D15140"/>
    <w:rsid w:val="00D16E63"/>
    <w:rsid w:val="00D17BA6"/>
    <w:rsid w:val="00D21035"/>
    <w:rsid w:val="00D2106B"/>
    <w:rsid w:val="00D2157E"/>
    <w:rsid w:val="00D23753"/>
    <w:rsid w:val="00D23B40"/>
    <w:rsid w:val="00D2420B"/>
    <w:rsid w:val="00D25E85"/>
    <w:rsid w:val="00D2623B"/>
    <w:rsid w:val="00D26EC0"/>
    <w:rsid w:val="00D335DE"/>
    <w:rsid w:val="00D37579"/>
    <w:rsid w:val="00D40791"/>
    <w:rsid w:val="00D42178"/>
    <w:rsid w:val="00D42EFA"/>
    <w:rsid w:val="00D444FC"/>
    <w:rsid w:val="00D46348"/>
    <w:rsid w:val="00D46353"/>
    <w:rsid w:val="00D47133"/>
    <w:rsid w:val="00D4714E"/>
    <w:rsid w:val="00D475E0"/>
    <w:rsid w:val="00D51520"/>
    <w:rsid w:val="00D51879"/>
    <w:rsid w:val="00D542E5"/>
    <w:rsid w:val="00D5731C"/>
    <w:rsid w:val="00D57621"/>
    <w:rsid w:val="00D61351"/>
    <w:rsid w:val="00D61B74"/>
    <w:rsid w:val="00D63377"/>
    <w:rsid w:val="00D63991"/>
    <w:rsid w:val="00D646B4"/>
    <w:rsid w:val="00D64955"/>
    <w:rsid w:val="00D64A53"/>
    <w:rsid w:val="00D66015"/>
    <w:rsid w:val="00D73B63"/>
    <w:rsid w:val="00D75CFA"/>
    <w:rsid w:val="00D771DF"/>
    <w:rsid w:val="00D776C7"/>
    <w:rsid w:val="00D80DB3"/>
    <w:rsid w:val="00D81BC2"/>
    <w:rsid w:val="00D81D42"/>
    <w:rsid w:val="00D82A59"/>
    <w:rsid w:val="00D82FA4"/>
    <w:rsid w:val="00D835BD"/>
    <w:rsid w:val="00D84292"/>
    <w:rsid w:val="00D843F8"/>
    <w:rsid w:val="00D85504"/>
    <w:rsid w:val="00D857E1"/>
    <w:rsid w:val="00D86864"/>
    <w:rsid w:val="00D90A40"/>
    <w:rsid w:val="00D93AF3"/>
    <w:rsid w:val="00D9518B"/>
    <w:rsid w:val="00D9587A"/>
    <w:rsid w:val="00D95E53"/>
    <w:rsid w:val="00D97B11"/>
    <w:rsid w:val="00DB019F"/>
    <w:rsid w:val="00DB3EE3"/>
    <w:rsid w:val="00DB3F44"/>
    <w:rsid w:val="00DB459D"/>
    <w:rsid w:val="00DB5FDD"/>
    <w:rsid w:val="00DB7E09"/>
    <w:rsid w:val="00DC1194"/>
    <w:rsid w:val="00DC3B1F"/>
    <w:rsid w:val="00DC4FB2"/>
    <w:rsid w:val="00DC5FEA"/>
    <w:rsid w:val="00DC7256"/>
    <w:rsid w:val="00DC7415"/>
    <w:rsid w:val="00DC7848"/>
    <w:rsid w:val="00DD0117"/>
    <w:rsid w:val="00DD08D2"/>
    <w:rsid w:val="00DD143A"/>
    <w:rsid w:val="00DD1AA8"/>
    <w:rsid w:val="00DD277B"/>
    <w:rsid w:val="00DD6F78"/>
    <w:rsid w:val="00DD73B7"/>
    <w:rsid w:val="00DD7760"/>
    <w:rsid w:val="00DD7A3E"/>
    <w:rsid w:val="00DD7C0B"/>
    <w:rsid w:val="00DE0707"/>
    <w:rsid w:val="00DE13FF"/>
    <w:rsid w:val="00DE211E"/>
    <w:rsid w:val="00DE2A4A"/>
    <w:rsid w:val="00DE5E0B"/>
    <w:rsid w:val="00DE6B2F"/>
    <w:rsid w:val="00DF0063"/>
    <w:rsid w:val="00DF0623"/>
    <w:rsid w:val="00DF080B"/>
    <w:rsid w:val="00DF0BC1"/>
    <w:rsid w:val="00DF35C4"/>
    <w:rsid w:val="00DF452B"/>
    <w:rsid w:val="00DF4BBF"/>
    <w:rsid w:val="00DF7008"/>
    <w:rsid w:val="00DF791B"/>
    <w:rsid w:val="00E01830"/>
    <w:rsid w:val="00E03B1F"/>
    <w:rsid w:val="00E04C71"/>
    <w:rsid w:val="00E04CD3"/>
    <w:rsid w:val="00E06238"/>
    <w:rsid w:val="00E06F2A"/>
    <w:rsid w:val="00E1052E"/>
    <w:rsid w:val="00E1116F"/>
    <w:rsid w:val="00E152F1"/>
    <w:rsid w:val="00E16494"/>
    <w:rsid w:val="00E2026D"/>
    <w:rsid w:val="00E2307D"/>
    <w:rsid w:val="00E235B7"/>
    <w:rsid w:val="00E24E93"/>
    <w:rsid w:val="00E254C5"/>
    <w:rsid w:val="00E2578B"/>
    <w:rsid w:val="00E2585A"/>
    <w:rsid w:val="00E25918"/>
    <w:rsid w:val="00E26267"/>
    <w:rsid w:val="00E2683E"/>
    <w:rsid w:val="00E277B8"/>
    <w:rsid w:val="00E3001D"/>
    <w:rsid w:val="00E301C2"/>
    <w:rsid w:val="00E31F4D"/>
    <w:rsid w:val="00E3617D"/>
    <w:rsid w:val="00E37091"/>
    <w:rsid w:val="00E40178"/>
    <w:rsid w:val="00E41146"/>
    <w:rsid w:val="00E41E7F"/>
    <w:rsid w:val="00E42AA5"/>
    <w:rsid w:val="00E439F3"/>
    <w:rsid w:val="00E4401C"/>
    <w:rsid w:val="00E44094"/>
    <w:rsid w:val="00E44AA4"/>
    <w:rsid w:val="00E53B95"/>
    <w:rsid w:val="00E547CF"/>
    <w:rsid w:val="00E54EB7"/>
    <w:rsid w:val="00E56AE1"/>
    <w:rsid w:val="00E571B7"/>
    <w:rsid w:val="00E57BCE"/>
    <w:rsid w:val="00E57E73"/>
    <w:rsid w:val="00E604CB"/>
    <w:rsid w:val="00E6195A"/>
    <w:rsid w:val="00E62867"/>
    <w:rsid w:val="00E62C43"/>
    <w:rsid w:val="00E6311C"/>
    <w:rsid w:val="00E63292"/>
    <w:rsid w:val="00E6495E"/>
    <w:rsid w:val="00E65E64"/>
    <w:rsid w:val="00E67D5E"/>
    <w:rsid w:val="00E7067E"/>
    <w:rsid w:val="00E71626"/>
    <w:rsid w:val="00E71B6A"/>
    <w:rsid w:val="00E71C50"/>
    <w:rsid w:val="00E722C7"/>
    <w:rsid w:val="00E734CC"/>
    <w:rsid w:val="00E74AF5"/>
    <w:rsid w:val="00E74E04"/>
    <w:rsid w:val="00E74F42"/>
    <w:rsid w:val="00E77E7E"/>
    <w:rsid w:val="00E806CA"/>
    <w:rsid w:val="00E81AD2"/>
    <w:rsid w:val="00E824A6"/>
    <w:rsid w:val="00E828F4"/>
    <w:rsid w:val="00E837F3"/>
    <w:rsid w:val="00E85690"/>
    <w:rsid w:val="00E8618B"/>
    <w:rsid w:val="00E868DE"/>
    <w:rsid w:val="00E86BFA"/>
    <w:rsid w:val="00E8777B"/>
    <w:rsid w:val="00E905C2"/>
    <w:rsid w:val="00E90746"/>
    <w:rsid w:val="00E92082"/>
    <w:rsid w:val="00E93967"/>
    <w:rsid w:val="00E9513D"/>
    <w:rsid w:val="00EA030F"/>
    <w:rsid w:val="00EA1B4C"/>
    <w:rsid w:val="00EA44DB"/>
    <w:rsid w:val="00EA5AA4"/>
    <w:rsid w:val="00EA5B39"/>
    <w:rsid w:val="00EB02BF"/>
    <w:rsid w:val="00EB0467"/>
    <w:rsid w:val="00EB2262"/>
    <w:rsid w:val="00EB285E"/>
    <w:rsid w:val="00EB4197"/>
    <w:rsid w:val="00EB476C"/>
    <w:rsid w:val="00EB59C6"/>
    <w:rsid w:val="00EB5DCF"/>
    <w:rsid w:val="00EB61D0"/>
    <w:rsid w:val="00EB63F1"/>
    <w:rsid w:val="00EB6CEA"/>
    <w:rsid w:val="00EB7889"/>
    <w:rsid w:val="00EC2A53"/>
    <w:rsid w:val="00EC3710"/>
    <w:rsid w:val="00EC680B"/>
    <w:rsid w:val="00EC70D0"/>
    <w:rsid w:val="00EC744C"/>
    <w:rsid w:val="00ED16CC"/>
    <w:rsid w:val="00ED183B"/>
    <w:rsid w:val="00ED1EB1"/>
    <w:rsid w:val="00ED3829"/>
    <w:rsid w:val="00ED3FA0"/>
    <w:rsid w:val="00ED43FE"/>
    <w:rsid w:val="00ED4CE7"/>
    <w:rsid w:val="00ED5499"/>
    <w:rsid w:val="00ED5A64"/>
    <w:rsid w:val="00ED5FD9"/>
    <w:rsid w:val="00ED7A04"/>
    <w:rsid w:val="00ED7DD4"/>
    <w:rsid w:val="00EE209F"/>
    <w:rsid w:val="00EE24D0"/>
    <w:rsid w:val="00EE2640"/>
    <w:rsid w:val="00EE3B66"/>
    <w:rsid w:val="00EE3C72"/>
    <w:rsid w:val="00EE5229"/>
    <w:rsid w:val="00EE5C13"/>
    <w:rsid w:val="00EF0239"/>
    <w:rsid w:val="00EF17EA"/>
    <w:rsid w:val="00EF1FAD"/>
    <w:rsid w:val="00EF20C2"/>
    <w:rsid w:val="00EF35CE"/>
    <w:rsid w:val="00EF3D1B"/>
    <w:rsid w:val="00EF472E"/>
    <w:rsid w:val="00EF5563"/>
    <w:rsid w:val="00EF57AB"/>
    <w:rsid w:val="00EF6D8C"/>
    <w:rsid w:val="00F04F21"/>
    <w:rsid w:val="00F05360"/>
    <w:rsid w:val="00F054ED"/>
    <w:rsid w:val="00F06E56"/>
    <w:rsid w:val="00F0721A"/>
    <w:rsid w:val="00F07709"/>
    <w:rsid w:val="00F07CE9"/>
    <w:rsid w:val="00F10286"/>
    <w:rsid w:val="00F120EC"/>
    <w:rsid w:val="00F13433"/>
    <w:rsid w:val="00F13BC2"/>
    <w:rsid w:val="00F21E74"/>
    <w:rsid w:val="00F23CC9"/>
    <w:rsid w:val="00F246DF"/>
    <w:rsid w:val="00F24EF3"/>
    <w:rsid w:val="00F25626"/>
    <w:rsid w:val="00F271FA"/>
    <w:rsid w:val="00F30572"/>
    <w:rsid w:val="00F31446"/>
    <w:rsid w:val="00F363C9"/>
    <w:rsid w:val="00F37815"/>
    <w:rsid w:val="00F37BCC"/>
    <w:rsid w:val="00F41562"/>
    <w:rsid w:val="00F41746"/>
    <w:rsid w:val="00F41CCF"/>
    <w:rsid w:val="00F41E92"/>
    <w:rsid w:val="00F4533D"/>
    <w:rsid w:val="00F530EC"/>
    <w:rsid w:val="00F54999"/>
    <w:rsid w:val="00F62407"/>
    <w:rsid w:val="00F62769"/>
    <w:rsid w:val="00F62B06"/>
    <w:rsid w:val="00F633ED"/>
    <w:rsid w:val="00F637D0"/>
    <w:rsid w:val="00F6716B"/>
    <w:rsid w:val="00F70799"/>
    <w:rsid w:val="00F70BB2"/>
    <w:rsid w:val="00F7188E"/>
    <w:rsid w:val="00F72AC2"/>
    <w:rsid w:val="00F7359C"/>
    <w:rsid w:val="00F744AB"/>
    <w:rsid w:val="00F7468E"/>
    <w:rsid w:val="00F74CF5"/>
    <w:rsid w:val="00F75330"/>
    <w:rsid w:val="00F76A1F"/>
    <w:rsid w:val="00F7719C"/>
    <w:rsid w:val="00F77A0F"/>
    <w:rsid w:val="00F802AA"/>
    <w:rsid w:val="00F813DB"/>
    <w:rsid w:val="00F81B19"/>
    <w:rsid w:val="00F830E5"/>
    <w:rsid w:val="00F83C12"/>
    <w:rsid w:val="00F83D48"/>
    <w:rsid w:val="00F844C7"/>
    <w:rsid w:val="00F84CDA"/>
    <w:rsid w:val="00F84FA8"/>
    <w:rsid w:val="00F85FF3"/>
    <w:rsid w:val="00F865BD"/>
    <w:rsid w:val="00F86B70"/>
    <w:rsid w:val="00F87925"/>
    <w:rsid w:val="00F906C4"/>
    <w:rsid w:val="00F91536"/>
    <w:rsid w:val="00F919D8"/>
    <w:rsid w:val="00F9294C"/>
    <w:rsid w:val="00F94917"/>
    <w:rsid w:val="00F95EBC"/>
    <w:rsid w:val="00F96129"/>
    <w:rsid w:val="00FA0A4C"/>
    <w:rsid w:val="00FA0ED6"/>
    <w:rsid w:val="00FA2BF4"/>
    <w:rsid w:val="00FA34E4"/>
    <w:rsid w:val="00FA3E9D"/>
    <w:rsid w:val="00FA4EBD"/>
    <w:rsid w:val="00FA6FAD"/>
    <w:rsid w:val="00FA6FF2"/>
    <w:rsid w:val="00FB0D49"/>
    <w:rsid w:val="00FB129E"/>
    <w:rsid w:val="00FB2218"/>
    <w:rsid w:val="00FB414A"/>
    <w:rsid w:val="00FC1FDD"/>
    <w:rsid w:val="00FC24D4"/>
    <w:rsid w:val="00FC265B"/>
    <w:rsid w:val="00FC3B25"/>
    <w:rsid w:val="00FC5D75"/>
    <w:rsid w:val="00FC685B"/>
    <w:rsid w:val="00FC6874"/>
    <w:rsid w:val="00FC6FE7"/>
    <w:rsid w:val="00FD17EF"/>
    <w:rsid w:val="00FD2286"/>
    <w:rsid w:val="00FD26F4"/>
    <w:rsid w:val="00FD2EF8"/>
    <w:rsid w:val="00FD2F7D"/>
    <w:rsid w:val="00FD4CBF"/>
    <w:rsid w:val="00FD54C3"/>
    <w:rsid w:val="00FD5649"/>
    <w:rsid w:val="00FD6330"/>
    <w:rsid w:val="00FD63E5"/>
    <w:rsid w:val="00FE1018"/>
    <w:rsid w:val="00FE1144"/>
    <w:rsid w:val="00FE2173"/>
    <w:rsid w:val="00FE30CB"/>
    <w:rsid w:val="00FE4484"/>
    <w:rsid w:val="00FE6D65"/>
    <w:rsid w:val="00FE77BF"/>
    <w:rsid w:val="00FF1600"/>
    <w:rsid w:val="00FF1858"/>
    <w:rsid w:val="00FF2800"/>
    <w:rsid w:val="00FF3A03"/>
    <w:rsid w:val="00FF4347"/>
    <w:rsid w:val="621C45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9AE7B4E-653A-48FC-9384-A34F5D396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lsdException w:name="List 4" w:uiPriority="0" w:qFormat="1"/>
    <w:lsdException w:name="List 5" w:uiPriority="0" w:qFormat="1"/>
    <w:lsdException w:name="List Bullet 2" w:uiPriority="0" w:qFormat="1"/>
    <w:lsdException w:name="List Bullet 3" w:uiPriority="0" w:qFormat="1"/>
    <w:lsdException w:name="List Bullet 4" w:uiPriority="0"/>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059E"/>
    <w:rPr>
      <w:rFonts w:eastAsia="Times New Roman"/>
      <w:sz w:val="24"/>
      <w:szCs w:val="24"/>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outlineLvl w:val="2"/>
    </w:pPr>
    <w:rPr>
      <w:rFonts w:asciiTheme="majorHAnsi" w:eastAsiaTheme="majorEastAsia" w:hAnsiTheme="majorHAnsi" w:cstheme="majorBidi"/>
      <w:color w:val="1F3864" w:themeColor="accent1" w:themeShade="80"/>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rPr>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annotation text"/>
    <w:basedOn w:val="a"/>
    <w:link w:val="Char"/>
    <w:uiPriority w:val="99"/>
    <w:qFormat/>
    <w:pPr>
      <w:overflowPunct w:val="0"/>
      <w:autoSpaceDE w:val="0"/>
      <w:autoSpaceDN w:val="0"/>
      <w:adjustRightInd w:val="0"/>
      <w:textAlignment w:val="baseline"/>
    </w:pPr>
    <w:rPr>
      <w:lang w:eastAsia="ja-JP"/>
    </w:rPr>
  </w:style>
  <w:style w:type="paragraph" w:styleId="a7">
    <w:name w:val="Body Text"/>
    <w:basedOn w:val="a"/>
    <w:link w:val="Char0"/>
    <w:qFormat/>
    <w:pPr>
      <w:overflowPunct w:val="0"/>
      <w:autoSpaceDE w:val="0"/>
      <w:autoSpaceDN w:val="0"/>
      <w:adjustRightInd w:val="0"/>
      <w:spacing w:after="120"/>
      <w:textAlignment w:val="baseline"/>
    </w:pPr>
    <w:rPr>
      <w:lang w:eastAsia="ja-JP"/>
    </w:rPr>
  </w:style>
  <w:style w:type="paragraph" w:styleId="a8">
    <w:name w:val="Plain Text"/>
    <w:basedOn w:val="a"/>
    <w:link w:val="Char1"/>
    <w:uiPriority w:val="99"/>
    <w:qFormat/>
    <w:pPr>
      <w:spacing w:after="160"/>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textAlignment w:val="baseline"/>
    </w:pPr>
    <w:rPr>
      <w:rFonts w:ascii="Segoe UI" w:hAnsi="Segoe UI" w:cs="Segoe UI"/>
      <w:sz w:val="18"/>
      <w:szCs w:val="18"/>
      <w:lang w:eastAsia="ja-JP"/>
    </w:rPr>
  </w:style>
  <w:style w:type="paragraph" w:styleId="aa">
    <w:name w:val="footer"/>
    <w:basedOn w:val="a"/>
    <w:link w:val="Char3"/>
    <w:unhideWhenUsed/>
    <w:qFormat/>
    <w:pPr>
      <w:tabs>
        <w:tab w:val="center" w:pos="4320"/>
        <w:tab w:val="right" w:pos="8640"/>
      </w:tabs>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4"/>
    <w:uiPriority w:val="99"/>
    <w:unhideWhenUsed/>
    <w:qFormat/>
    <w:pPr>
      <w:tabs>
        <w:tab w:val="center" w:pos="4320"/>
        <w:tab w:val="right" w:pos="8640"/>
      </w:tabs>
    </w:pPr>
  </w:style>
  <w:style w:type="paragraph" w:styleId="ac">
    <w:name w:val="footnote text"/>
    <w:basedOn w:val="a"/>
    <w:link w:val="Char5"/>
    <w:qFormat/>
    <w:pPr>
      <w:keepLines/>
      <w:overflowPunct w:val="0"/>
      <w:autoSpaceDE w:val="0"/>
      <w:autoSpaceDN w:val="0"/>
      <w:adjustRightInd w:val="0"/>
      <w:ind w:left="454" w:hanging="454"/>
      <w:textAlignment w:val="baseline"/>
    </w:pPr>
    <w:rPr>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overflowPunct w:val="0"/>
      <w:autoSpaceDE w:val="0"/>
      <w:autoSpaceDN w:val="0"/>
      <w:adjustRightInd w:val="0"/>
      <w:spacing w:before="100" w:beforeAutospacing="1" w:after="100" w:afterAutospacing="1"/>
      <w:textAlignment w:val="baseline"/>
    </w:pPr>
    <w:rPr>
      <w:lang w:eastAsia="en-GB"/>
    </w:rPr>
  </w:style>
  <w:style w:type="paragraph" w:styleId="11">
    <w:name w:val="index 1"/>
    <w:basedOn w:val="a"/>
    <w:next w:val="a"/>
    <w:qFormat/>
    <w:pPr>
      <w:keepLines/>
      <w:overflowPunct w:val="0"/>
      <w:autoSpaceDE w:val="0"/>
      <w:autoSpaceDN w:val="0"/>
      <w:adjustRightInd w:val="0"/>
      <w:textAlignment w:val="baseline"/>
    </w:pPr>
    <w:rPr>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aliases w:val="TableGrid"/>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qFormat/>
    <w:rPr>
      <w:color w:val="954F72" w:themeColor="followedHyperlink"/>
      <w:u w:val="single"/>
    </w:rPr>
  </w:style>
  <w:style w:type="character" w:styleId="af1">
    <w:name w:val="Emphasis"/>
    <w:basedOn w:val="a0"/>
    <w:uiPriority w:val="20"/>
    <w:qFormat/>
    <w:rPr>
      <w:i/>
      <w:iCs/>
    </w:rPr>
  </w:style>
  <w:style w:type="character" w:styleId="af2">
    <w:name w:val="Hyperlink"/>
    <w:uiPriority w:val="99"/>
    <w:qFormat/>
    <w:rPr>
      <w:color w:val="0000FF"/>
      <w:u w:val="single"/>
    </w:rPr>
  </w:style>
  <w:style w:type="character" w:styleId="af3">
    <w:name w:val="annotation reference"/>
    <w:basedOn w:val="a0"/>
    <w:qFormat/>
    <w:rPr>
      <w:sz w:val="16"/>
      <w:szCs w:val="16"/>
    </w:rPr>
  </w:style>
  <w:style w:type="character" w:styleId="af4">
    <w:name w:val="footnote reference"/>
    <w:basedOn w:val="a0"/>
    <w:qFormat/>
    <w:rPr>
      <w:b/>
      <w:position w:val="6"/>
      <w:sz w:val="16"/>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ind w:left="1622" w:hanging="363"/>
    </w:pPr>
    <w:rPr>
      <w:rFonts w:ascii="Arial" w:eastAsiaTheme="minorEastAsia" w:hAnsi="Arial" w:cstheme="minorBidi"/>
      <w:sz w:val="22"/>
      <w:lang w:eastAsia="en-GB"/>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b"/>
    <w:uiPriority w:val="99"/>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link w:val="EQChar"/>
    <w:qFormat/>
    <w:pPr>
      <w:keepLines/>
      <w:tabs>
        <w:tab w:val="center" w:pos="4536"/>
        <w:tab w:val="right" w:pos="9072"/>
      </w:tabs>
      <w:overflowPunct w:val="0"/>
      <w:autoSpaceDE w:val="0"/>
      <w:autoSpaceDN w:val="0"/>
      <w:adjustRightInd w:val="0"/>
      <w:textAlignment w:val="baseline"/>
    </w:pPr>
    <w:rPr>
      <w:lang w:eastAsia="ja-JP"/>
    </w:r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ind w:left="1702" w:hanging="1418"/>
      <w:textAlignment w:val="baseline"/>
    </w:pPr>
    <w:rPr>
      <w:lang w:eastAsia="ja-JP"/>
    </w:rPr>
  </w:style>
  <w:style w:type="paragraph" w:customStyle="1" w:styleId="FP">
    <w:name w:val="FP"/>
    <w:basedOn w:val="a"/>
    <w:qFormat/>
    <w:pPr>
      <w:overflowPunct w:val="0"/>
      <w:autoSpaceDE w:val="0"/>
      <w:autoSpaceDN w:val="0"/>
      <w:adjustRightInd w:val="0"/>
      <w:textAlignment w:val="baseline"/>
    </w:pPr>
    <w:rPr>
      <w:lang w:eastAsia="ja-JP"/>
    </w:rPr>
  </w:style>
  <w:style w:type="paragraph" w:customStyle="1" w:styleId="EW">
    <w:name w:val="EW"/>
    <w:basedOn w:val="EX"/>
    <w:qFormat/>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aliases w:val="Editor's Noteormal,EN"/>
    <w:basedOn w:val="NO"/>
    <w:link w:val="EditorsNoteChar"/>
    <w:qFormat/>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style>
  <w:style w:type="paragraph" w:customStyle="1" w:styleId="NF">
    <w:name w:val="NF"/>
    <w:basedOn w:val="NO"/>
    <w:qFormat/>
    <w:pPr>
      <w:keepNext/>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Bullet,列表段落,列"/>
    <w:basedOn w:val="a"/>
    <w:link w:val="Char7"/>
    <w:uiPriority w:val="34"/>
    <w:qFormat/>
    <w:pPr>
      <w:overflowPunct w:val="0"/>
      <w:autoSpaceDE w:val="0"/>
      <w:autoSpaceDN w:val="0"/>
      <w:adjustRightInd w:val="0"/>
      <w:ind w:left="720"/>
      <w:contextualSpacing/>
      <w:textAlignment w:val="baseline"/>
    </w:pPr>
    <w:rPr>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rPr>
      <w:rFonts w:ascii="Courier New" w:eastAsiaTheme="minorHAnsi" w:hAnsi="Courier New"/>
      <w:lang w:val="nb-NO" w:eastAsia="en-US"/>
    </w:r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5"/>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pPr>
      <w:numPr>
        <w:numId w:val="1"/>
      </w:numPr>
      <w:spacing w:before="60"/>
    </w:pPr>
    <w:rPr>
      <w:rFonts w:ascii="Arial" w:eastAsia="MS Mincho" w:hAnsi="Arial"/>
      <w:b/>
      <w:lang w:eastAsia="en-GB"/>
    </w:rPr>
  </w:style>
  <w:style w:type="character" w:customStyle="1" w:styleId="15">
    <w:name w:val="15"/>
    <w:basedOn w:val="a0"/>
    <w:qFormat/>
    <w:rPr>
      <w:rFonts w:ascii="Times New Roman" w:hAnsi="Times New Roman" w:cs="Times New Roman" w:hint="default"/>
    </w:rPr>
  </w:style>
  <w:style w:type="character" w:customStyle="1" w:styleId="cf01">
    <w:name w:val="cf01"/>
    <w:basedOn w:val="a0"/>
    <w:qFormat/>
    <w:rPr>
      <w:rFonts w:ascii="Segoe UI" w:hAnsi="Segoe UI" w:cs="Segoe UI" w:hint="default"/>
      <w:sz w:val="18"/>
      <w:szCs w:val="18"/>
    </w:rPr>
  </w:style>
  <w:style w:type="numbering" w:customStyle="1" w:styleId="13">
    <w:name w:val="无列表1"/>
    <w:next w:val="a2"/>
    <w:uiPriority w:val="99"/>
    <w:semiHidden/>
    <w:unhideWhenUsed/>
    <w:rsid w:val="00466246"/>
  </w:style>
  <w:style w:type="paragraph" w:styleId="af6">
    <w:name w:val="Revision"/>
    <w:hidden/>
    <w:uiPriority w:val="99"/>
    <w:semiHidden/>
    <w:qFormat/>
    <w:rsid w:val="00466246"/>
    <w:rPr>
      <w:lang w:val="en-GB" w:eastAsia="en-US"/>
    </w:rPr>
  </w:style>
  <w:style w:type="paragraph" w:styleId="33">
    <w:name w:val="Body Text 3"/>
    <w:basedOn w:val="a"/>
    <w:link w:val="3Char0"/>
    <w:qFormat/>
    <w:rsid w:val="00466246"/>
    <w:pPr>
      <w:overflowPunct w:val="0"/>
      <w:autoSpaceDE w:val="0"/>
      <w:autoSpaceDN w:val="0"/>
      <w:adjustRightInd w:val="0"/>
      <w:spacing w:after="120"/>
      <w:textAlignment w:val="baseline"/>
    </w:pPr>
    <w:rPr>
      <w:sz w:val="16"/>
      <w:szCs w:val="16"/>
      <w:lang w:eastAsia="ja-JP"/>
    </w:rPr>
  </w:style>
  <w:style w:type="character" w:customStyle="1" w:styleId="3Char0">
    <w:name w:val="正文文本 3 Char"/>
    <w:basedOn w:val="a0"/>
    <w:link w:val="33"/>
    <w:qFormat/>
    <w:rsid w:val="00466246"/>
    <w:rPr>
      <w:rFonts w:eastAsia="Times New Roman"/>
      <w:sz w:val="16"/>
      <w:szCs w:val="16"/>
      <w:lang w:val="en-GB" w:eastAsia="ja-JP"/>
    </w:rPr>
  </w:style>
  <w:style w:type="character" w:customStyle="1" w:styleId="2Char0">
    <w:name w:val="列表项目符号 2 Char"/>
    <w:link w:val="23"/>
    <w:qFormat/>
    <w:rsid w:val="00466246"/>
    <w:rPr>
      <w:rFonts w:eastAsia="Times New Roman"/>
      <w:lang w:val="en-GB" w:eastAsia="ja-JP"/>
    </w:rPr>
  </w:style>
  <w:style w:type="character" w:customStyle="1" w:styleId="ui-provider">
    <w:name w:val="ui-provider"/>
    <w:basedOn w:val="a0"/>
    <w:rsid w:val="00466246"/>
  </w:style>
  <w:style w:type="character" w:styleId="af7">
    <w:name w:val="page number"/>
    <w:qFormat/>
    <w:rsid w:val="00466246"/>
  </w:style>
  <w:style w:type="character" w:customStyle="1" w:styleId="TAHChar">
    <w:name w:val="TAH Char"/>
    <w:qFormat/>
    <w:rsid w:val="00466246"/>
    <w:rPr>
      <w:rFonts w:ascii="Arial" w:hAnsi="Arial"/>
      <w:b/>
      <w:sz w:val="18"/>
    </w:rPr>
  </w:style>
  <w:style w:type="paragraph" w:customStyle="1" w:styleId="Note-Boxed">
    <w:name w:val="Note - Boxed"/>
    <w:basedOn w:val="a"/>
    <w:next w:val="a"/>
    <w:rsid w:val="0046624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4">
    <w:name w:val="网格型1"/>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466246"/>
    <w:rPr>
      <w:rFonts w:eastAsia="MS Mincho" w:cs="Times New Roman"/>
      <w:sz w:val="20"/>
      <w:lang w:val="en-GB"/>
    </w:rPr>
  </w:style>
  <w:style w:type="table" w:customStyle="1" w:styleId="43">
    <w:name w:val="网格型4"/>
    <w:basedOn w:val="a1"/>
    <w:next w:val="af"/>
    <w:uiPriority w:val="39"/>
    <w:rsid w:val="00466246"/>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11">
    <w:name w:val="cf11"/>
    <w:basedOn w:val="a0"/>
    <w:rsid w:val="00466246"/>
    <w:rPr>
      <w:rFonts w:ascii="Segoe UI" w:hAnsi="Segoe UI" w:cs="Segoe UI" w:hint="default"/>
      <w:i/>
      <w:iCs/>
      <w:sz w:val="18"/>
      <w:szCs w:val="18"/>
    </w:rPr>
  </w:style>
  <w:style w:type="paragraph" w:customStyle="1" w:styleId="pl0">
    <w:name w:val="pl"/>
    <w:basedOn w:val="a"/>
    <w:qFormat/>
    <w:rsid w:val="00466246"/>
    <w:pPr>
      <w:spacing w:before="100" w:beforeAutospacing="1" w:after="100" w:afterAutospacing="1"/>
    </w:pPr>
    <w:rPr>
      <w:lang w:eastAsia="en-GB"/>
    </w:rPr>
  </w:style>
  <w:style w:type="paragraph" w:customStyle="1" w:styleId="Editorsnote0">
    <w:name w:val="Editor´s note"/>
    <w:basedOn w:val="52"/>
    <w:next w:val="EditorsNote"/>
    <w:link w:val="EditorsnoteChar0"/>
    <w:qFormat/>
    <w:rsid w:val="00466246"/>
  </w:style>
  <w:style w:type="character" w:customStyle="1" w:styleId="EditorsnoteChar0">
    <w:name w:val="Editor´s note Char"/>
    <w:link w:val="Editorsnote0"/>
    <w:qFormat/>
    <w:rsid w:val="00466246"/>
    <w:rPr>
      <w:rFonts w:eastAsia="Times New Roman"/>
      <w:lang w:val="en-GB" w:eastAsia="ja-JP"/>
    </w:rPr>
  </w:style>
  <w:style w:type="paragraph" w:customStyle="1" w:styleId="16">
    <w:name w:val="正文1"/>
    <w:rsid w:val="00466246"/>
    <w:pPr>
      <w:jc w:val="both"/>
    </w:pPr>
    <w:rPr>
      <w:rFonts w:ascii="Calibri" w:eastAsia="宋体" w:hAnsi="Calibri" w:cs="Calibri"/>
      <w:kern w:val="2"/>
      <w:sz w:val="21"/>
      <w:szCs w:val="21"/>
    </w:rPr>
  </w:style>
  <w:style w:type="character" w:customStyle="1" w:styleId="Char20">
    <w:name w:val="列出段落 Char2"/>
    <w:uiPriority w:val="34"/>
    <w:qFormat/>
    <w:locked/>
    <w:rsid w:val="004027E2"/>
    <w:rPr>
      <w:rFonts w:ascii="Times New Roman" w:eastAsia="宋体" w:hAnsi="Times New Roman" w:cs="Times New Roman"/>
      <w:kern w:val="0"/>
      <w:sz w:val="20"/>
      <w:szCs w:val="20"/>
      <w:lang w:val="en-GB" w:eastAsia="ja-JP"/>
    </w:rPr>
  </w:style>
  <w:style w:type="paragraph" w:customStyle="1" w:styleId="Doc-title">
    <w:name w:val="Doc-title"/>
    <w:basedOn w:val="a"/>
    <w:next w:val="Doc-text2"/>
    <w:link w:val="Doc-titleChar"/>
    <w:qFormat/>
    <w:rsid w:val="001F0D5D"/>
    <w:pPr>
      <w:spacing w:before="60"/>
      <w:ind w:left="1259" w:hanging="1259"/>
    </w:pPr>
    <w:rPr>
      <w:rFonts w:ascii="Arial" w:eastAsia="MS Mincho" w:hAnsi="Arial"/>
      <w:noProof/>
      <w:lang w:eastAsia="en-GB"/>
    </w:rPr>
  </w:style>
  <w:style w:type="character" w:customStyle="1" w:styleId="Doc-titleChar">
    <w:name w:val="Doc-title Char"/>
    <w:link w:val="Doc-title"/>
    <w:qFormat/>
    <w:rsid w:val="001F0D5D"/>
    <w:rPr>
      <w:rFonts w:ascii="Arial" w:eastAsia="MS Mincho" w:hAnsi="Arial"/>
      <w:noProof/>
      <w:szCs w:val="24"/>
      <w:lang w:val="en-GB" w:eastAsia="en-GB"/>
    </w:rPr>
  </w:style>
  <w:style w:type="paragraph" w:customStyle="1" w:styleId="0Maintext">
    <w:name w:val="0 Main text"/>
    <w:basedOn w:val="a"/>
    <w:link w:val="0MaintextChar"/>
    <w:qFormat/>
    <w:rsid w:val="00C724F7"/>
    <w:pPr>
      <w:widowControl w:val="0"/>
      <w:spacing w:after="100" w:afterAutospacing="1" w:line="288" w:lineRule="auto"/>
      <w:ind w:firstLine="360"/>
    </w:pPr>
    <w:rPr>
      <w:rFonts w:asciiTheme="minorHAnsi" w:hAnsiTheme="minorHAnsi" w:cs="Batang"/>
      <w:kern w:val="2"/>
      <w:szCs w:val="22"/>
      <w:lang w:eastAsia="zh-TW"/>
    </w:rPr>
  </w:style>
  <w:style w:type="character" w:customStyle="1" w:styleId="0MaintextChar">
    <w:name w:val="0 Main text Char"/>
    <w:basedOn w:val="a0"/>
    <w:link w:val="0Maintext"/>
    <w:qFormat/>
    <w:rsid w:val="00C724F7"/>
    <w:rPr>
      <w:rFonts w:asciiTheme="minorHAnsi" w:eastAsia="Malgun Gothic" w:hAnsiTheme="minorHAnsi" w:cs="Batang"/>
      <w:kern w:val="2"/>
      <w:sz w:val="24"/>
      <w:szCs w:val="22"/>
      <w:lang w:eastAsia="zh-TW"/>
    </w:rPr>
  </w:style>
  <w:style w:type="paragraph" w:customStyle="1" w:styleId="1st-Proposal-YJ">
    <w:name w:val="1st-Proposal-YJ"/>
    <w:basedOn w:val="a"/>
    <w:qFormat/>
    <w:rsid w:val="000A161E"/>
    <w:pPr>
      <w:numPr>
        <w:numId w:val="4"/>
      </w:numPr>
      <w:snapToGrid w:val="0"/>
      <w:spacing w:beforeLines="50" w:before="50" w:afterLines="50" w:after="50"/>
    </w:pPr>
    <w:rPr>
      <w:b/>
      <w:i/>
      <w:kern w:val="2"/>
    </w:rPr>
  </w:style>
  <w:style w:type="paragraph" w:customStyle="1" w:styleId="2nd-proposal-YJ">
    <w:name w:val="2nd-proposal-YJ"/>
    <w:basedOn w:val="1st-Proposal-YJ"/>
    <w:qFormat/>
    <w:rsid w:val="000A161E"/>
    <w:pPr>
      <w:numPr>
        <w:ilvl w:val="1"/>
      </w:numPr>
      <w:adjustRightInd w:val="0"/>
    </w:pPr>
  </w:style>
  <w:style w:type="paragraph" w:customStyle="1" w:styleId="3nd-proposal-YJ">
    <w:name w:val="3nd-proposal-YJ"/>
    <w:basedOn w:val="2nd-proposal-YJ"/>
    <w:qFormat/>
    <w:rsid w:val="000A161E"/>
    <w:pPr>
      <w:numPr>
        <w:ilvl w:val="2"/>
      </w:numPr>
    </w:pPr>
  </w:style>
  <w:style w:type="paragraph" w:customStyle="1" w:styleId="EmailDiscussion">
    <w:name w:val="EmailDiscussion"/>
    <w:basedOn w:val="a"/>
    <w:next w:val="Doc-text2"/>
    <w:link w:val="EmailDiscussionChar"/>
    <w:qFormat/>
    <w:rsid w:val="00CB75F0"/>
    <w:pPr>
      <w:numPr>
        <w:numId w:val="5"/>
      </w:numPr>
      <w:spacing w:before="40"/>
    </w:pPr>
    <w:rPr>
      <w:rFonts w:ascii="Arial" w:eastAsia="MS Mincho" w:hAnsi="Arial"/>
      <w:b/>
      <w:lang w:eastAsia="en-GB"/>
    </w:rPr>
  </w:style>
  <w:style w:type="character" w:customStyle="1" w:styleId="EmailDiscussionChar">
    <w:name w:val="EmailDiscussion Char"/>
    <w:link w:val="EmailDiscussion"/>
    <w:qFormat/>
    <w:rsid w:val="00CB75F0"/>
    <w:rPr>
      <w:rFonts w:ascii="Arial" w:eastAsia="MS Mincho" w:hAnsi="Arial"/>
      <w:b/>
      <w:szCs w:val="24"/>
      <w:lang w:val="en-GB" w:eastAsia="en-GB"/>
    </w:rPr>
  </w:style>
  <w:style w:type="paragraph" w:customStyle="1" w:styleId="Proposal">
    <w:name w:val="Proposal"/>
    <w:basedOn w:val="a7"/>
    <w:qFormat/>
    <w:rsid w:val="0077411F"/>
    <w:pPr>
      <w:numPr>
        <w:numId w:val="6"/>
      </w:numPr>
      <w:tabs>
        <w:tab w:val="clear" w:pos="6549"/>
        <w:tab w:val="num" w:pos="1304"/>
        <w:tab w:val="left" w:pos="1701"/>
      </w:tabs>
      <w:ind w:left="1304"/>
      <w:jc w:val="both"/>
    </w:pPr>
    <w:rPr>
      <w:rFonts w:ascii="Arial" w:eastAsia="宋体" w:hAnsi="Arial"/>
      <w:b/>
      <w:bCs/>
      <w:lang w:eastAsia="zh-CN"/>
    </w:rPr>
  </w:style>
  <w:style w:type="table" w:customStyle="1" w:styleId="53">
    <w:name w:val="网格型5"/>
    <w:basedOn w:val="a1"/>
    <w:next w:val="af"/>
    <w:uiPriority w:val="39"/>
    <w:qFormat/>
    <w:rsid w:val="007741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
    <w:rsid w:val="002F7D2B"/>
    <w:pPr>
      <w:spacing w:before="100" w:beforeAutospacing="1" w:after="100" w:afterAutospacing="1"/>
    </w:pPr>
  </w:style>
  <w:style w:type="character" w:styleId="HTML">
    <w:name w:val="HTML Code"/>
    <w:basedOn w:val="a0"/>
    <w:uiPriority w:val="99"/>
    <w:semiHidden/>
    <w:unhideWhenUsed/>
    <w:rsid w:val="002F7D2B"/>
    <w:rPr>
      <w:rFonts w:ascii="Courier New" w:eastAsia="Times New Roman" w:hAnsi="Courier New" w:cs="Courier New"/>
      <w:sz w:val="20"/>
      <w:szCs w:val="20"/>
    </w:rPr>
  </w:style>
  <w:style w:type="character" w:styleId="af8">
    <w:name w:val="Strong"/>
    <w:basedOn w:val="a0"/>
    <w:uiPriority w:val="22"/>
    <w:qFormat/>
    <w:rsid w:val="002F7D2B"/>
    <w:rPr>
      <w:b/>
      <w:bCs/>
    </w:rPr>
  </w:style>
  <w:style w:type="character" w:customStyle="1" w:styleId="B1Zchn">
    <w:name w:val="B1 Zchn"/>
    <w:qFormat/>
    <w:rsid w:val="00075898"/>
    <w:rPr>
      <w:lang w:eastAsia="en-US"/>
    </w:rPr>
  </w:style>
  <w:style w:type="character" w:customStyle="1" w:styleId="EQChar">
    <w:name w:val="EQ Char"/>
    <w:link w:val="EQ"/>
    <w:qFormat/>
    <w:rsid w:val="0076031B"/>
    <w:rPr>
      <w:rFonts w:eastAsia="Times New Roman"/>
      <w:sz w:val="24"/>
      <w:szCs w:val="24"/>
      <w:lang w:eastAsia="ja-JP"/>
    </w:rPr>
  </w:style>
  <w:style w:type="character" w:customStyle="1" w:styleId="TANChar">
    <w:name w:val="TAN Char"/>
    <w:link w:val="TAN"/>
    <w:locked/>
    <w:rsid w:val="00B2714D"/>
    <w:rPr>
      <w:rFonts w:ascii="Arial" w:eastAsia="Times New Roman" w:hAnsi="Arial"/>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43126">
      <w:bodyDiv w:val="1"/>
      <w:marLeft w:val="0"/>
      <w:marRight w:val="0"/>
      <w:marTop w:val="0"/>
      <w:marBottom w:val="0"/>
      <w:divBdr>
        <w:top w:val="none" w:sz="0" w:space="0" w:color="auto"/>
        <w:left w:val="none" w:sz="0" w:space="0" w:color="auto"/>
        <w:bottom w:val="none" w:sz="0" w:space="0" w:color="auto"/>
        <w:right w:val="none" w:sz="0" w:space="0" w:color="auto"/>
      </w:divBdr>
      <w:divsChild>
        <w:div w:id="139618938">
          <w:marLeft w:val="0"/>
          <w:marRight w:val="0"/>
          <w:marTop w:val="0"/>
          <w:marBottom w:val="0"/>
          <w:divBdr>
            <w:top w:val="none" w:sz="0" w:space="0" w:color="auto"/>
            <w:left w:val="none" w:sz="0" w:space="0" w:color="auto"/>
            <w:bottom w:val="none" w:sz="0" w:space="0" w:color="auto"/>
            <w:right w:val="none" w:sz="0" w:space="0" w:color="auto"/>
          </w:divBdr>
        </w:div>
        <w:div w:id="148637473">
          <w:marLeft w:val="0"/>
          <w:marRight w:val="0"/>
          <w:marTop w:val="0"/>
          <w:marBottom w:val="0"/>
          <w:divBdr>
            <w:top w:val="none" w:sz="0" w:space="0" w:color="auto"/>
            <w:left w:val="none" w:sz="0" w:space="0" w:color="auto"/>
            <w:bottom w:val="none" w:sz="0" w:space="0" w:color="auto"/>
            <w:right w:val="none" w:sz="0" w:space="0" w:color="auto"/>
          </w:divBdr>
        </w:div>
        <w:div w:id="1373729206">
          <w:marLeft w:val="0"/>
          <w:marRight w:val="0"/>
          <w:marTop w:val="0"/>
          <w:marBottom w:val="0"/>
          <w:divBdr>
            <w:top w:val="none" w:sz="0" w:space="0" w:color="auto"/>
            <w:left w:val="none" w:sz="0" w:space="0" w:color="auto"/>
            <w:bottom w:val="none" w:sz="0" w:space="0" w:color="auto"/>
            <w:right w:val="none" w:sz="0" w:space="0" w:color="auto"/>
          </w:divBdr>
        </w:div>
        <w:div w:id="1496190352">
          <w:marLeft w:val="0"/>
          <w:marRight w:val="0"/>
          <w:marTop w:val="0"/>
          <w:marBottom w:val="0"/>
          <w:divBdr>
            <w:top w:val="none" w:sz="0" w:space="0" w:color="auto"/>
            <w:left w:val="none" w:sz="0" w:space="0" w:color="auto"/>
            <w:bottom w:val="none" w:sz="0" w:space="0" w:color="auto"/>
            <w:right w:val="none" w:sz="0" w:space="0" w:color="auto"/>
          </w:divBdr>
        </w:div>
      </w:divsChild>
    </w:div>
    <w:div w:id="166597554">
      <w:bodyDiv w:val="1"/>
      <w:marLeft w:val="0"/>
      <w:marRight w:val="0"/>
      <w:marTop w:val="0"/>
      <w:marBottom w:val="0"/>
      <w:divBdr>
        <w:top w:val="none" w:sz="0" w:space="0" w:color="auto"/>
        <w:left w:val="none" w:sz="0" w:space="0" w:color="auto"/>
        <w:bottom w:val="none" w:sz="0" w:space="0" w:color="auto"/>
        <w:right w:val="none" w:sz="0" w:space="0" w:color="auto"/>
      </w:divBdr>
    </w:div>
    <w:div w:id="402995026">
      <w:bodyDiv w:val="1"/>
      <w:marLeft w:val="0"/>
      <w:marRight w:val="0"/>
      <w:marTop w:val="0"/>
      <w:marBottom w:val="0"/>
      <w:divBdr>
        <w:top w:val="none" w:sz="0" w:space="0" w:color="auto"/>
        <w:left w:val="none" w:sz="0" w:space="0" w:color="auto"/>
        <w:bottom w:val="none" w:sz="0" w:space="0" w:color="auto"/>
        <w:right w:val="none" w:sz="0" w:space="0" w:color="auto"/>
      </w:divBdr>
      <w:divsChild>
        <w:div w:id="670371910">
          <w:marLeft w:val="0"/>
          <w:marRight w:val="0"/>
          <w:marTop w:val="0"/>
          <w:marBottom w:val="0"/>
          <w:divBdr>
            <w:top w:val="none" w:sz="0" w:space="0" w:color="auto"/>
            <w:left w:val="none" w:sz="0" w:space="0" w:color="auto"/>
            <w:bottom w:val="none" w:sz="0" w:space="0" w:color="auto"/>
            <w:right w:val="none" w:sz="0" w:space="0" w:color="auto"/>
          </w:divBdr>
        </w:div>
        <w:div w:id="1357005759">
          <w:marLeft w:val="0"/>
          <w:marRight w:val="0"/>
          <w:marTop w:val="0"/>
          <w:marBottom w:val="0"/>
          <w:divBdr>
            <w:top w:val="none" w:sz="0" w:space="0" w:color="auto"/>
            <w:left w:val="none" w:sz="0" w:space="0" w:color="auto"/>
            <w:bottom w:val="none" w:sz="0" w:space="0" w:color="auto"/>
            <w:right w:val="none" w:sz="0" w:space="0" w:color="auto"/>
          </w:divBdr>
        </w:div>
      </w:divsChild>
    </w:div>
    <w:div w:id="634289401">
      <w:bodyDiv w:val="1"/>
      <w:marLeft w:val="0"/>
      <w:marRight w:val="0"/>
      <w:marTop w:val="0"/>
      <w:marBottom w:val="0"/>
      <w:divBdr>
        <w:top w:val="none" w:sz="0" w:space="0" w:color="auto"/>
        <w:left w:val="none" w:sz="0" w:space="0" w:color="auto"/>
        <w:bottom w:val="none" w:sz="0" w:space="0" w:color="auto"/>
        <w:right w:val="none" w:sz="0" w:space="0" w:color="auto"/>
      </w:divBdr>
      <w:divsChild>
        <w:div w:id="1326546174">
          <w:marLeft w:val="0"/>
          <w:marRight w:val="0"/>
          <w:marTop w:val="0"/>
          <w:marBottom w:val="0"/>
          <w:divBdr>
            <w:top w:val="none" w:sz="0" w:space="0" w:color="auto"/>
            <w:left w:val="none" w:sz="0" w:space="0" w:color="auto"/>
            <w:bottom w:val="none" w:sz="0" w:space="0" w:color="auto"/>
            <w:right w:val="none" w:sz="0" w:space="0" w:color="auto"/>
          </w:divBdr>
        </w:div>
        <w:div w:id="1169977242">
          <w:marLeft w:val="0"/>
          <w:marRight w:val="0"/>
          <w:marTop w:val="0"/>
          <w:marBottom w:val="0"/>
          <w:divBdr>
            <w:top w:val="none" w:sz="0" w:space="0" w:color="auto"/>
            <w:left w:val="none" w:sz="0" w:space="0" w:color="auto"/>
            <w:bottom w:val="none" w:sz="0" w:space="0" w:color="auto"/>
            <w:right w:val="none" w:sz="0" w:space="0" w:color="auto"/>
          </w:divBdr>
        </w:div>
        <w:div w:id="30613780">
          <w:marLeft w:val="0"/>
          <w:marRight w:val="0"/>
          <w:marTop w:val="0"/>
          <w:marBottom w:val="0"/>
          <w:divBdr>
            <w:top w:val="none" w:sz="0" w:space="0" w:color="auto"/>
            <w:left w:val="none" w:sz="0" w:space="0" w:color="auto"/>
            <w:bottom w:val="none" w:sz="0" w:space="0" w:color="auto"/>
            <w:right w:val="none" w:sz="0" w:space="0" w:color="auto"/>
          </w:divBdr>
        </w:div>
        <w:div w:id="529805845">
          <w:marLeft w:val="0"/>
          <w:marRight w:val="0"/>
          <w:marTop w:val="0"/>
          <w:marBottom w:val="0"/>
          <w:divBdr>
            <w:top w:val="none" w:sz="0" w:space="0" w:color="auto"/>
            <w:left w:val="none" w:sz="0" w:space="0" w:color="auto"/>
            <w:bottom w:val="none" w:sz="0" w:space="0" w:color="auto"/>
            <w:right w:val="none" w:sz="0" w:space="0" w:color="auto"/>
          </w:divBdr>
        </w:div>
        <w:div w:id="1870869234">
          <w:marLeft w:val="0"/>
          <w:marRight w:val="0"/>
          <w:marTop w:val="0"/>
          <w:marBottom w:val="0"/>
          <w:divBdr>
            <w:top w:val="none" w:sz="0" w:space="0" w:color="auto"/>
            <w:left w:val="none" w:sz="0" w:space="0" w:color="auto"/>
            <w:bottom w:val="none" w:sz="0" w:space="0" w:color="auto"/>
            <w:right w:val="none" w:sz="0" w:space="0" w:color="auto"/>
          </w:divBdr>
        </w:div>
        <w:div w:id="1955669075">
          <w:marLeft w:val="0"/>
          <w:marRight w:val="0"/>
          <w:marTop w:val="0"/>
          <w:marBottom w:val="0"/>
          <w:divBdr>
            <w:top w:val="none" w:sz="0" w:space="0" w:color="auto"/>
            <w:left w:val="none" w:sz="0" w:space="0" w:color="auto"/>
            <w:bottom w:val="none" w:sz="0" w:space="0" w:color="auto"/>
            <w:right w:val="none" w:sz="0" w:space="0" w:color="auto"/>
          </w:divBdr>
        </w:div>
        <w:div w:id="423035475">
          <w:marLeft w:val="0"/>
          <w:marRight w:val="0"/>
          <w:marTop w:val="0"/>
          <w:marBottom w:val="0"/>
          <w:divBdr>
            <w:top w:val="none" w:sz="0" w:space="0" w:color="auto"/>
            <w:left w:val="none" w:sz="0" w:space="0" w:color="auto"/>
            <w:bottom w:val="none" w:sz="0" w:space="0" w:color="auto"/>
            <w:right w:val="none" w:sz="0" w:space="0" w:color="auto"/>
          </w:divBdr>
        </w:div>
        <w:div w:id="614482538">
          <w:marLeft w:val="0"/>
          <w:marRight w:val="0"/>
          <w:marTop w:val="0"/>
          <w:marBottom w:val="0"/>
          <w:divBdr>
            <w:top w:val="none" w:sz="0" w:space="0" w:color="auto"/>
            <w:left w:val="none" w:sz="0" w:space="0" w:color="auto"/>
            <w:bottom w:val="none" w:sz="0" w:space="0" w:color="auto"/>
            <w:right w:val="none" w:sz="0" w:space="0" w:color="auto"/>
          </w:divBdr>
        </w:div>
        <w:div w:id="1702247812">
          <w:marLeft w:val="0"/>
          <w:marRight w:val="0"/>
          <w:marTop w:val="0"/>
          <w:marBottom w:val="0"/>
          <w:divBdr>
            <w:top w:val="none" w:sz="0" w:space="0" w:color="auto"/>
            <w:left w:val="none" w:sz="0" w:space="0" w:color="auto"/>
            <w:bottom w:val="none" w:sz="0" w:space="0" w:color="auto"/>
            <w:right w:val="none" w:sz="0" w:space="0" w:color="auto"/>
          </w:divBdr>
        </w:div>
        <w:div w:id="58478788">
          <w:marLeft w:val="0"/>
          <w:marRight w:val="0"/>
          <w:marTop w:val="0"/>
          <w:marBottom w:val="0"/>
          <w:divBdr>
            <w:top w:val="none" w:sz="0" w:space="0" w:color="auto"/>
            <w:left w:val="none" w:sz="0" w:space="0" w:color="auto"/>
            <w:bottom w:val="none" w:sz="0" w:space="0" w:color="auto"/>
            <w:right w:val="none" w:sz="0" w:space="0" w:color="auto"/>
          </w:divBdr>
        </w:div>
        <w:div w:id="139002240">
          <w:marLeft w:val="0"/>
          <w:marRight w:val="0"/>
          <w:marTop w:val="0"/>
          <w:marBottom w:val="0"/>
          <w:divBdr>
            <w:top w:val="none" w:sz="0" w:space="0" w:color="auto"/>
            <w:left w:val="none" w:sz="0" w:space="0" w:color="auto"/>
            <w:bottom w:val="none" w:sz="0" w:space="0" w:color="auto"/>
            <w:right w:val="none" w:sz="0" w:space="0" w:color="auto"/>
          </w:divBdr>
        </w:div>
        <w:div w:id="11497016">
          <w:marLeft w:val="0"/>
          <w:marRight w:val="0"/>
          <w:marTop w:val="0"/>
          <w:marBottom w:val="0"/>
          <w:divBdr>
            <w:top w:val="none" w:sz="0" w:space="0" w:color="auto"/>
            <w:left w:val="none" w:sz="0" w:space="0" w:color="auto"/>
            <w:bottom w:val="none" w:sz="0" w:space="0" w:color="auto"/>
            <w:right w:val="none" w:sz="0" w:space="0" w:color="auto"/>
          </w:divBdr>
        </w:div>
        <w:div w:id="2056349972">
          <w:marLeft w:val="0"/>
          <w:marRight w:val="0"/>
          <w:marTop w:val="0"/>
          <w:marBottom w:val="0"/>
          <w:divBdr>
            <w:top w:val="none" w:sz="0" w:space="0" w:color="auto"/>
            <w:left w:val="none" w:sz="0" w:space="0" w:color="auto"/>
            <w:bottom w:val="none" w:sz="0" w:space="0" w:color="auto"/>
            <w:right w:val="none" w:sz="0" w:space="0" w:color="auto"/>
          </w:divBdr>
        </w:div>
        <w:div w:id="1257203788">
          <w:marLeft w:val="0"/>
          <w:marRight w:val="0"/>
          <w:marTop w:val="0"/>
          <w:marBottom w:val="0"/>
          <w:divBdr>
            <w:top w:val="none" w:sz="0" w:space="0" w:color="auto"/>
            <w:left w:val="none" w:sz="0" w:space="0" w:color="auto"/>
            <w:bottom w:val="none" w:sz="0" w:space="0" w:color="auto"/>
            <w:right w:val="none" w:sz="0" w:space="0" w:color="auto"/>
          </w:divBdr>
        </w:div>
        <w:div w:id="1387530047">
          <w:marLeft w:val="0"/>
          <w:marRight w:val="0"/>
          <w:marTop w:val="0"/>
          <w:marBottom w:val="0"/>
          <w:divBdr>
            <w:top w:val="none" w:sz="0" w:space="0" w:color="auto"/>
            <w:left w:val="none" w:sz="0" w:space="0" w:color="auto"/>
            <w:bottom w:val="none" w:sz="0" w:space="0" w:color="auto"/>
            <w:right w:val="none" w:sz="0" w:space="0" w:color="auto"/>
          </w:divBdr>
        </w:div>
        <w:div w:id="2071150208">
          <w:marLeft w:val="0"/>
          <w:marRight w:val="0"/>
          <w:marTop w:val="0"/>
          <w:marBottom w:val="0"/>
          <w:divBdr>
            <w:top w:val="none" w:sz="0" w:space="0" w:color="auto"/>
            <w:left w:val="none" w:sz="0" w:space="0" w:color="auto"/>
            <w:bottom w:val="none" w:sz="0" w:space="0" w:color="auto"/>
            <w:right w:val="none" w:sz="0" w:space="0" w:color="auto"/>
          </w:divBdr>
        </w:div>
        <w:div w:id="1586959516">
          <w:marLeft w:val="0"/>
          <w:marRight w:val="0"/>
          <w:marTop w:val="0"/>
          <w:marBottom w:val="0"/>
          <w:divBdr>
            <w:top w:val="none" w:sz="0" w:space="0" w:color="auto"/>
            <w:left w:val="none" w:sz="0" w:space="0" w:color="auto"/>
            <w:bottom w:val="none" w:sz="0" w:space="0" w:color="auto"/>
            <w:right w:val="none" w:sz="0" w:space="0" w:color="auto"/>
          </w:divBdr>
        </w:div>
        <w:div w:id="586235217">
          <w:marLeft w:val="0"/>
          <w:marRight w:val="0"/>
          <w:marTop w:val="0"/>
          <w:marBottom w:val="0"/>
          <w:divBdr>
            <w:top w:val="none" w:sz="0" w:space="0" w:color="auto"/>
            <w:left w:val="none" w:sz="0" w:space="0" w:color="auto"/>
            <w:bottom w:val="none" w:sz="0" w:space="0" w:color="auto"/>
            <w:right w:val="none" w:sz="0" w:space="0" w:color="auto"/>
          </w:divBdr>
        </w:div>
        <w:div w:id="1462262152">
          <w:marLeft w:val="0"/>
          <w:marRight w:val="0"/>
          <w:marTop w:val="0"/>
          <w:marBottom w:val="0"/>
          <w:divBdr>
            <w:top w:val="none" w:sz="0" w:space="0" w:color="auto"/>
            <w:left w:val="none" w:sz="0" w:space="0" w:color="auto"/>
            <w:bottom w:val="none" w:sz="0" w:space="0" w:color="auto"/>
            <w:right w:val="none" w:sz="0" w:space="0" w:color="auto"/>
          </w:divBdr>
        </w:div>
        <w:div w:id="1790587585">
          <w:marLeft w:val="0"/>
          <w:marRight w:val="0"/>
          <w:marTop w:val="0"/>
          <w:marBottom w:val="0"/>
          <w:divBdr>
            <w:top w:val="none" w:sz="0" w:space="0" w:color="auto"/>
            <w:left w:val="none" w:sz="0" w:space="0" w:color="auto"/>
            <w:bottom w:val="none" w:sz="0" w:space="0" w:color="auto"/>
            <w:right w:val="none" w:sz="0" w:space="0" w:color="auto"/>
          </w:divBdr>
        </w:div>
        <w:div w:id="801459905">
          <w:marLeft w:val="0"/>
          <w:marRight w:val="0"/>
          <w:marTop w:val="0"/>
          <w:marBottom w:val="0"/>
          <w:divBdr>
            <w:top w:val="none" w:sz="0" w:space="0" w:color="auto"/>
            <w:left w:val="none" w:sz="0" w:space="0" w:color="auto"/>
            <w:bottom w:val="none" w:sz="0" w:space="0" w:color="auto"/>
            <w:right w:val="none" w:sz="0" w:space="0" w:color="auto"/>
          </w:divBdr>
        </w:div>
        <w:div w:id="1931237317">
          <w:marLeft w:val="0"/>
          <w:marRight w:val="0"/>
          <w:marTop w:val="0"/>
          <w:marBottom w:val="0"/>
          <w:divBdr>
            <w:top w:val="none" w:sz="0" w:space="0" w:color="auto"/>
            <w:left w:val="none" w:sz="0" w:space="0" w:color="auto"/>
            <w:bottom w:val="none" w:sz="0" w:space="0" w:color="auto"/>
            <w:right w:val="none" w:sz="0" w:space="0" w:color="auto"/>
          </w:divBdr>
        </w:div>
        <w:div w:id="1439176504">
          <w:marLeft w:val="0"/>
          <w:marRight w:val="0"/>
          <w:marTop w:val="0"/>
          <w:marBottom w:val="0"/>
          <w:divBdr>
            <w:top w:val="none" w:sz="0" w:space="0" w:color="auto"/>
            <w:left w:val="none" w:sz="0" w:space="0" w:color="auto"/>
            <w:bottom w:val="none" w:sz="0" w:space="0" w:color="auto"/>
            <w:right w:val="none" w:sz="0" w:space="0" w:color="auto"/>
          </w:divBdr>
        </w:div>
        <w:div w:id="1415854995">
          <w:marLeft w:val="0"/>
          <w:marRight w:val="0"/>
          <w:marTop w:val="0"/>
          <w:marBottom w:val="0"/>
          <w:divBdr>
            <w:top w:val="none" w:sz="0" w:space="0" w:color="auto"/>
            <w:left w:val="none" w:sz="0" w:space="0" w:color="auto"/>
            <w:bottom w:val="none" w:sz="0" w:space="0" w:color="auto"/>
            <w:right w:val="none" w:sz="0" w:space="0" w:color="auto"/>
          </w:divBdr>
        </w:div>
        <w:div w:id="466045577">
          <w:marLeft w:val="0"/>
          <w:marRight w:val="0"/>
          <w:marTop w:val="0"/>
          <w:marBottom w:val="0"/>
          <w:divBdr>
            <w:top w:val="none" w:sz="0" w:space="0" w:color="auto"/>
            <w:left w:val="none" w:sz="0" w:space="0" w:color="auto"/>
            <w:bottom w:val="none" w:sz="0" w:space="0" w:color="auto"/>
            <w:right w:val="none" w:sz="0" w:space="0" w:color="auto"/>
          </w:divBdr>
        </w:div>
        <w:div w:id="189490907">
          <w:marLeft w:val="0"/>
          <w:marRight w:val="0"/>
          <w:marTop w:val="0"/>
          <w:marBottom w:val="0"/>
          <w:divBdr>
            <w:top w:val="none" w:sz="0" w:space="0" w:color="auto"/>
            <w:left w:val="none" w:sz="0" w:space="0" w:color="auto"/>
            <w:bottom w:val="none" w:sz="0" w:space="0" w:color="auto"/>
            <w:right w:val="none" w:sz="0" w:space="0" w:color="auto"/>
          </w:divBdr>
        </w:div>
        <w:div w:id="352659552">
          <w:marLeft w:val="0"/>
          <w:marRight w:val="0"/>
          <w:marTop w:val="0"/>
          <w:marBottom w:val="0"/>
          <w:divBdr>
            <w:top w:val="none" w:sz="0" w:space="0" w:color="auto"/>
            <w:left w:val="none" w:sz="0" w:space="0" w:color="auto"/>
            <w:bottom w:val="none" w:sz="0" w:space="0" w:color="auto"/>
            <w:right w:val="none" w:sz="0" w:space="0" w:color="auto"/>
          </w:divBdr>
        </w:div>
        <w:div w:id="2025548907">
          <w:marLeft w:val="0"/>
          <w:marRight w:val="0"/>
          <w:marTop w:val="0"/>
          <w:marBottom w:val="0"/>
          <w:divBdr>
            <w:top w:val="none" w:sz="0" w:space="0" w:color="auto"/>
            <w:left w:val="none" w:sz="0" w:space="0" w:color="auto"/>
            <w:bottom w:val="none" w:sz="0" w:space="0" w:color="auto"/>
            <w:right w:val="none" w:sz="0" w:space="0" w:color="auto"/>
          </w:divBdr>
        </w:div>
        <w:div w:id="1584145671">
          <w:marLeft w:val="0"/>
          <w:marRight w:val="0"/>
          <w:marTop w:val="0"/>
          <w:marBottom w:val="0"/>
          <w:divBdr>
            <w:top w:val="none" w:sz="0" w:space="0" w:color="auto"/>
            <w:left w:val="none" w:sz="0" w:space="0" w:color="auto"/>
            <w:bottom w:val="none" w:sz="0" w:space="0" w:color="auto"/>
            <w:right w:val="none" w:sz="0" w:space="0" w:color="auto"/>
          </w:divBdr>
        </w:div>
      </w:divsChild>
    </w:div>
    <w:div w:id="635986771">
      <w:bodyDiv w:val="1"/>
      <w:marLeft w:val="0"/>
      <w:marRight w:val="0"/>
      <w:marTop w:val="0"/>
      <w:marBottom w:val="0"/>
      <w:divBdr>
        <w:top w:val="none" w:sz="0" w:space="0" w:color="auto"/>
        <w:left w:val="none" w:sz="0" w:space="0" w:color="auto"/>
        <w:bottom w:val="none" w:sz="0" w:space="0" w:color="auto"/>
        <w:right w:val="none" w:sz="0" w:space="0" w:color="auto"/>
      </w:divBdr>
      <w:divsChild>
        <w:div w:id="1094517033">
          <w:marLeft w:val="0"/>
          <w:marRight w:val="0"/>
          <w:marTop w:val="0"/>
          <w:marBottom w:val="0"/>
          <w:divBdr>
            <w:top w:val="none" w:sz="0" w:space="0" w:color="auto"/>
            <w:left w:val="none" w:sz="0" w:space="0" w:color="auto"/>
            <w:bottom w:val="none" w:sz="0" w:space="0" w:color="auto"/>
            <w:right w:val="none" w:sz="0" w:space="0" w:color="auto"/>
          </w:divBdr>
        </w:div>
        <w:div w:id="241643987">
          <w:marLeft w:val="0"/>
          <w:marRight w:val="0"/>
          <w:marTop w:val="0"/>
          <w:marBottom w:val="0"/>
          <w:divBdr>
            <w:top w:val="none" w:sz="0" w:space="0" w:color="auto"/>
            <w:left w:val="none" w:sz="0" w:space="0" w:color="auto"/>
            <w:bottom w:val="none" w:sz="0" w:space="0" w:color="auto"/>
            <w:right w:val="none" w:sz="0" w:space="0" w:color="auto"/>
          </w:divBdr>
        </w:div>
      </w:divsChild>
    </w:div>
    <w:div w:id="702487561">
      <w:bodyDiv w:val="1"/>
      <w:marLeft w:val="0"/>
      <w:marRight w:val="0"/>
      <w:marTop w:val="0"/>
      <w:marBottom w:val="0"/>
      <w:divBdr>
        <w:top w:val="none" w:sz="0" w:space="0" w:color="auto"/>
        <w:left w:val="none" w:sz="0" w:space="0" w:color="auto"/>
        <w:bottom w:val="none" w:sz="0" w:space="0" w:color="auto"/>
        <w:right w:val="none" w:sz="0" w:space="0" w:color="auto"/>
      </w:divBdr>
      <w:divsChild>
        <w:div w:id="1774014984">
          <w:marLeft w:val="0"/>
          <w:marRight w:val="0"/>
          <w:marTop w:val="0"/>
          <w:marBottom w:val="0"/>
          <w:divBdr>
            <w:top w:val="none" w:sz="0" w:space="0" w:color="auto"/>
            <w:left w:val="none" w:sz="0" w:space="0" w:color="auto"/>
            <w:bottom w:val="none" w:sz="0" w:space="0" w:color="auto"/>
            <w:right w:val="none" w:sz="0" w:space="0" w:color="auto"/>
          </w:divBdr>
        </w:div>
        <w:div w:id="2125075290">
          <w:marLeft w:val="0"/>
          <w:marRight w:val="0"/>
          <w:marTop w:val="0"/>
          <w:marBottom w:val="0"/>
          <w:divBdr>
            <w:top w:val="none" w:sz="0" w:space="0" w:color="auto"/>
            <w:left w:val="none" w:sz="0" w:space="0" w:color="auto"/>
            <w:bottom w:val="none" w:sz="0" w:space="0" w:color="auto"/>
            <w:right w:val="none" w:sz="0" w:space="0" w:color="auto"/>
          </w:divBdr>
        </w:div>
      </w:divsChild>
    </w:div>
    <w:div w:id="703099234">
      <w:bodyDiv w:val="1"/>
      <w:marLeft w:val="0"/>
      <w:marRight w:val="0"/>
      <w:marTop w:val="0"/>
      <w:marBottom w:val="0"/>
      <w:divBdr>
        <w:top w:val="none" w:sz="0" w:space="0" w:color="auto"/>
        <w:left w:val="none" w:sz="0" w:space="0" w:color="auto"/>
        <w:bottom w:val="none" w:sz="0" w:space="0" w:color="auto"/>
        <w:right w:val="none" w:sz="0" w:space="0" w:color="auto"/>
      </w:divBdr>
      <w:divsChild>
        <w:div w:id="104815028">
          <w:marLeft w:val="0"/>
          <w:marRight w:val="0"/>
          <w:marTop w:val="0"/>
          <w:marBottom w:val="0"/>
          <w:divBdr>
            <w:top w:val="none" w:sz="0" w:space="0" w:color="auto"/>
            <w:left w:val="none" w:sz="0" w:space="0" w:color="auto"/>
            <w:bottom w:val="none" w:sz="0" w:space="0" w:color="auto"/>
            <w:right w:val="none" w:sz="0" w:space="0" w:color="auto"/>
          </w:divBdr>
        </w:div>
        <w:div w:id="208953496">
          <w:marLeft w:val="0"/>
          <w:marRight w:val="0"/>
          <w:marTop w:val="0"/>
          <w:marBottom w:val="0"/>
          <w:divBdr>
            <w:top w:val="none" w:sz="0" w:space="0" w:color="auto"/>
            <w:left w:val="none" w:sz="0" w:space="0" w:color="auto"/>
            <w:bottom w:val="none" w:sz="0" w:space="0" w:color="auto"/>
            <w:right w:val="none" w:sz="0" w:space="0" w:color="auto"/>
          </w:divBdr>
        </w:div>
        <w:div w:id="1146432982">
          <w:marLeft w:val="0"/>
          <w:marRight w:val="0"/>
          <w:marTop w:val="0"/>
          <w:marBottom w:val="0"/>
          <w:divBdr>
            <w:top w:val="none" w:sz="0" w:space="0" w:color="auto"/>
            <w:left w:val="none" w:sz="0" w:space="0" w:color="auto"/>
            <w:bottom w:val="none" w:sz="0" w:space="0" w:color="auto"/>
            <w:right w:val="none" w:sz="0" w:space="0" w:color="auto"/>
          </w:divBdr>
        </w:div>
        <w:div w:id="1748500709">
          <w:marLeft w:val="0"/>
          <w:marRight w:val="0"/>
          <w:marTop w:val="0"/>
          <w:marBottom w:val="0"/>
          <w:divBdr>
            <w:top w:val="none" w:sz="0" w:space="0" w:color="auto"/>
            <w:left w:val="none" w:sz="0" w:space="0" w:color="auto"/>
            <w:bottom w:val="none" w:sz="0" w:space="0" w:color="auto"/>
            <w:right w:val="none" w:sz="0" w:space="0" w:color="auto"/>
          </w:divBdr>
        </w:div>
      </w:divsChild>
    </w:div>
    <w:div w:id="715130107">
      <w:bodyDiv w:val="1"/>
      <w:marLeft w:val="0"/>
      <w:marRight w:val="0"/>
      <w:marTop w:val="0"/>
      <w:marBottom w:val="0"/>
      <w:divBdr>
        <w:top w:val="none" w:sz="0" w:space="0" w:color="auto"/>
        <w:left w:val="none" w:sz="0" w:space="0" w:color="auto"/>
        <w:bottom w:val="none" w:sz="0" w:space="0" w:color="auto"/>
        <w:right w:val="none" w:sz="0" w:space="0" w:color="auto"/>
      </w:divBdr>
    </w:div>
    <w:div w:id="796992395">
      <w:bodyDiv w:val="1"/>
      <w:marLeft w:val="0"/>
      <w:marRight w:val="0"/>
      <w:marTop w:val="0"/>
      <w:marBottom w:val="0"/>
      <w:divBdr>
        <w:top w:val="none" w:sz="0" w:space="0" w:color="auto"/>
        <w:left w:val="none" w:sz="0" w:space="0" w:color="auto"/>
        <w:bottom w:val="none" w:sz="0" w:space="0" w:color="auto"/>
        <w:right w:val="none" w:sz="0" w:space="0" w:color="auto"/>
      </w:divBdr>
    </w:div>
    <w:div w:id="988872951">
      <w:bodyDiv w:val="1"/>
      <w:marLeft w:val="0"/>
      <w:marRight w:val="0"/>
      <w:marTop w:val="0"/>
      <w:marBottom w:val="0"/>
      <w:divBdr>
        <w:top w:val="none" w:sz="0" w:space="0" w:color="auto"/>
        <w:left w:val="none" w:sz="0" w:space="0" w:color="auto"/>
        <w:bottom w:val="none" w:sz="0" w:space="0" w:color="auto"/>
        <w:right w:val="none" w:sz="0" w:space="0" w:color="auto"/>
      </w:divBdr>
      <w:divsChild>
        <w:div w:id="542180474">
          <w:marLeft w:val="0"/>
          <w:marRight w:val="0"/>
          <w:marTop w:val="0"/>
          <w:marBottom w:val="0"/>
          <w:divBdr>
            <w:top w:val="none" w:sz="0" w:space="0" w:color="auto"/>
            <w:left w:val="none" w:sz="0" w:space="0" w:color="auto"/>
            <w:bottom w:val="none" w:sz="0" w:space="0" w:color="auto"/>
            <w:right w:val="none" w:sz="0" w:space="0" w:color="auto"/>
          </w:divBdr>
        </w:div>
      </w:divsChild>
    </w:div>
    <w:div w:id="1006008766">
      <w:bodyDiv w:val="1"/>
      <w:marLeft w:val="0"/>
      <w:marRight w:val="0"/>
      <w:marTop w:val="0"/>
      <w:marBottom w:val="0"/>
      <w:divBdr>
        <w:top w:val="none" w:sz="0" w:space="0" w:color="auto"/>
        <w:left w:val="none" w:sz="0" w:space="0" w:color="auto"/>
        <w:bottom w:val="none" w:sz="0" w:space="0" w:color="auto"/>
        <w:right w:val="none" w:sz="0" w:space="0" w:color="auto"/>
      </w:divBdr>
    </w:div>
    <w:div w:id="1282960460">
      <w:bodyDiv w:val="1"/>
      <w:marLeft w:val="0"/>
      <w:marRight w:val="0"/>
      <w:marTop w:val="0"/>
      <w:marBottom w:val="0"/>
      <w:divBdr>
        <w:top w:val="none" w:sz="0" w:space="0" w:color="auto"/>
        <w:left w:val="none" w:sz="0" w:space="0" w:color="auto"/>
        <w:bottom w:val="none" w:sz="0" w:space="0" w:color="auto"/>
        <w:right w:val="none" w:sz="0" w:space="0" w:color="auto"/>
      </w:divBdr>
    </w:div>
    <w:div w:id="1303845300">
      <w:bodyDiv w:val="1"/>
      <w:marLeft w:val="0"/>
      <w:marRight w:val="0"/>
      <w:marTop w:val="0"/>
      <w:marBottom w:val="0"/>
      <w:divBdr>
        <w:top w:val="none" w:sz="0" w:space="0" w:color="auto"/>
        <w:left w:val="none" w:sz="0" w:space="0" w:color="auto"/>
        <w:bottom w:val="none" w:sz="0" w:space="0" w:color="auto"/>
        <w:right w:val="none" w:sz="0" w:space="0" w:color="auto"/>
      </w:divBdr>
    </w:div>
    <w:div w:id="1367023213">
      <w:bodyDiv w:val="1"/>
      <w:marLeft w:val="0"/>
      <w:marRight w:val="0"/>
      <w:marTop w:val="0"/>
      <w:marBottom w:val="0"/>
      <w:divBdr>
        <w:top w:val="none" w:sz="0" w:space="0" w:color="auto"/>
        <w:left w:val="none" w:sz="0" w:space="0" w:color="auto"/>
        <w:bottom w:val="none" w:sz="0" w:space="0" w:color="auto"/>
        <w:right w:val="none" w:sz="0" w:space="0" w:color="auto"/>
      </w:divBdr>
      <w:divsChild>
        <w:div w:id="987130199">
          <w:marLeft w:val="0"/>
          <w:marRight w:val="0"/>
          <w:marTop w:val="0"/>
          <w:marBottom w:val="0"/>
          <w:divBdr>
            <w:top w:val="none" w:sz="0" w:space="0" w:color="auto"/>
            <w:left w:val="none" w:sz="0" w:space="0" w:color="auto"/>
            <w:bottom w:val="none" w:sz="0" w:space="0" w:color="auto"/>
            <w:right w:val="none" w:sz="0" w:space="0" w:color="auto"/>
          </w:divBdr>
        </w:div>
        <w:div w:id="1385565293">
          <w:marLeft w:val="0"/>
          <w:marRight w:val="0"/>
          <w:marTop w:val="0"/>
          <w:marBottom w:val="0"/>
          <w:divBdr>
            <w:top w:val="none" w:sz="0" w:space="0" w:color="auto"/>
            <w:left w:val="none" w:sz="0" w:space="0" w:color="auto"/>
            <w:bottom w:val="none" w:sz="0" w:space="0" w:color="auto"/>
            <w:right w:val="none" w:sz="0" w:space="0" w:color="auto"/>
          </w:divBdr>
        </w:div>
      </w:divsChild>
    </w:div>
    <w:div w:id="1375887164">
      <w:bodyDiv w:val="1"/>
      <w:marLeft w:val="0"/>
      <w:marRight w:val="0"/>
      <w:marTop w:val="0"/>
      <w:marBottom w:val="0"/>
      <w:divBdr>
        <w:top w:val="none" w:sz="0" w:space="0" w:color="auto"/>
        <w:left w:val="none" w:sz="0" w:space="0" w:color="auto"/>
        <w:bottom w:val="none" w:sz="0" w:space="0" w:color="auto"/>
        <w:right w:val="none" w:sz="0" w:space="0" w:color="auto"/>
      </w:divBdr>
    </w:div>
    <w:div w:id="1513953200">
      <w:bodyDiv w:val="1"/>
      <w:marLeft w:val="0"/>
      <w:marRight w:val="0"/>
      <w:marTop w:val="0"/>
      <w:marBottom w:val="0"/>
      <w:divBdr>
        <w:top w:val="none" w:sz="0" w:space="0" w:color="auto"/>
        <w:left w:val="none" w:sz="0" w:space="0" w:color="auto"/>
        <w:bottom w:val="none" w:sz="0" w:space="0" w:color="auto"/>
        <w:right w:val="none" w:sz="0" w:space="0" w:color="auto"/>
      </w:divBdr>
    </w:div>
    <w:div w:id="1678649430">
      <w:bodyDiv w:val="1"/>
      <w:marLeft w:val="0"/>
      <w:marRight w:val="0"/>
      <w:marTop w:val="0"/>
      <w:marBottom w:val="0"/>
      <w:divBdr>
        <w:top w:val="none" w:sz="0" w:space="0" w:color="auto"/>
        <w:left w:val="none" w:sz="0" w:space="0" w:color="auto"/>
        <w:bottom w:val="none" w:sz="0" w:space="0" w:color="auto"/>
        <w:right w:val="none" w:sz="0" w:space="0" w:color="auto"/>
      </w:divBdr>
    </w:div>
    <w:div w:id="1742676027">
      <w:bodyDiv w:val="1"/>
      <w:marLeft w:val="0"/>
      <w:marRight w:val="0"/>
      <w:marTop w:val="0"/>
      <w:marBottom w:val="0"/>
      <w:divBdr>
        <w:top w:val="none" w:sz="0" w:space="0" w:color="auto"/>
        <w:left w:val="none" w:sz="0" w:space="0" w:color="auto"/>
        <w:bottom w:val="none" w:sz="0" w:space="0" w:color="auto"/>
        <w:right w:val="none" w:sz="0" w:space="0" w:color="auto"/>
      </w:divBdr>
      <w:divsChild>
        <w:div w:id="150489280">
          <w:marLeft w:val="0"/>
          <w:marRight w:val="0"/>
          <w:marTop w:val="0"/>
          <w:marBottom w:val="0"/>
          <w:divBdr>
            <w:top w:val="none" w:sz="0" w:space="0" w:color="auto"/>
            <w:left w:val="none" w:sz="0" w:space="0" w:color="auto"/>
            <w:bottom w:val="none" w:sz="0" w:space="0" w:color="auto"/>
            <w:right w:val="none" w:sz="0" w:space="0" w:color="auto"/>
          </w:divBdr>
        </w:div>
        <w:div w:id="2071615862">
          <w:marLeft w:val="0"/>
          <w:marRight w:val="0"/>
          <w:marTop w:val="0"/>
          <w:marBottom w:val="0"/>
          <w:divBdr>
            <w:top w:val="none" w:sz="0" w:space="0" w:color="auto"/>
            <w:left w:val="none" w:sz="0" w:space="0" w:color="auto"/>
            <w:bottom w:val="none" w:sz="0" w:space="0" w:color="auto"/>
            <w:right w:val="none" w:sz="0" w:space="0" w:color="auto"/>
          </w:divBdr>
        </w:div>
        <w:div w:id="943076440">
          <w:marLeft w:val="0"/>
          <w:marRight w:val="0"/>
          <w:marTop w:val="0"/>
          <w:marBottom w:val="0"/>
          <w:divBdr>
            <w:top w:val="none" w:sz="0" w:space="0" w:color="auto"/>
            <w:left w:val="none" w:sz="0" w:space="0" w:color="auto"/>
            <w:bottom w:val="none" w:sz="0" w:space="0" w:color="auto"/>
            <w:right w:val="none" w:sz="0" w:space="0" w:color="auto"/>
          </w:divBdr>
        </w:div>
        <w:div w:id="414404658">
          <w:marLeft w:val="0"/>
          <w:marRight w:val="0"/>
          <w:marTop w:val="0"/>
          <w:marBottom w:val="0"/>
          <w:divBdr>
            <w:top w:val="none" w:sz="0" w:space="0" w:color="auto"/>
            <w:left w:val="none" w:sz="0" w:space="0" w:color="auto"/>
            <w:bottom w:val="none" w:sz="0" w:space="0" w:color="auto"/>
            <w:right w:val="none" w:sz="0" w:space="0" w:color="auto"/>
          </w:divBdr>
        </w:div>
        <w:div w:id="887842691">
          <w:marLeft w:val="0"/>
          <w:marRight w:val="0"/>
          <w:marTop w:val="0"/>
          <w:marBottom w:val="0"/>
          <w:divBdr>
            <w:top w:val="none" w:sz="0" w:space="0" w:color="auto"/>
            <w:left w:val="none" w:sz="0" w:space="0" w:color="auto"/>
            <w:bottom w:val="none" w:sz="0" w:space="0" w:color="auto"/>
            <w:right w:val="none" w:sz="0" w:space="0" w:color="auto"/>
          </w:divBdr>
        </w:div>
      </w:divsChild>
    </w:div>
    <w:div w:id="1900439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4BE29C-17D7-44D0-B0B4-D5E73D10F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Pages>
  <Words>1190</Words>
  <Characters>6786</Characters>
  <Application>Microsoft Office Word</Application>
  <DocSecurity>0</DocSecurity>
  <Lines>56</Lines>
  <Paragraphs>15</Paragraphs>
  <ScaleCrop>false</ScaleCrop>
  <Company>ZTE</Company>
  <LinksUpToDate>false</LinksUpToDate>
  <CharactersWithSpaces>7961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 Yumin Wu</dc:creator>
  <cp:keywords/>
  <cp:lastModifiedBy>ZTE(Wenting)</cp:lastModifiedBy>
  <cp:revision>19</cp:revision>
  <dcterms:created xsi:type="dcterms:W3CDTF">2026-01-29T06:10:00Z</dcterms:created>
  <dcterms:modified xsi:type="dcterms:W3CDTF">2026-01-30T08:50:00Z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adfc0b0425c11ee80001d4800001d48">
    <vt:lpwstr>CWMHkzjP0b8G+COL0mhPrOL6t1AaN9H46cFHBJ4u1M1wmMfTWsBRbI9Cka1OOKoiExPzMjCxC1MRQ7UF9J79+hd2g==</vt:lpwstr>
  </property>
  <property fmtid="{D5CDD505-2E9C-101B-9397-08002B2CF9AE}" pid="3" name="KSOProductBuildVer">
    <vt:lpwstr>2052-11.8.2.10393</vt:lpwstr>
  </property>
</Properties>
</file>