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4DB3" w14:textId="0A67F4EA" w:rsidR="00E95F33" w:rsidRPr="00E95F33" w:rsidRDefault="00E95F33" w:rsidP="00E95F33">
      <w:pPr>
        <w:tabs>
          <w:tab w:val="left" w:pos="2160"/>
        </w:tabs>
        <w:rPr>
          <w:rFonts w:ascii="Arial" w:hAnsi="Arial" w:cs="Arial"/>
          <w:b/>
          <w:sz w:val="24"/>
          <w:lang w:val="en-US"/>
        </w:rPr>
      </w:pPr>
      <w:bookmarkStart w:id="0" w:name="historyclause"/>
      <w:r w:rsidRPr="00E95F33">
        <w:rPr>
          <w:rFonts w:ascii="Arial" w:hAnsi="Arial" w:cs="Arial"/>
          <w:b/>
          <w:sz w:val="24"/>
          <w:lang w:val="en-US"/>
        </w:rPr>
        <w:t>3GPP TSG-RAN WG2 Meeting #13</w:t>
      </w:r>
      <w:r w:rsidR="00727711">
        <w:rPr>
          <w:rFonts w:ascii="Arial" w:hAnsi="Arial" w:cs="Arial"/>
          <w:b/>
          <w:sz w:val="24"/>
          <w:lang w:val="en-US"/>
        </w:rPr>
        <w:t>3</w:t>
      </w:r>
      <w:r w:rsidRPr="00E95F3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8D5E66" w:rsidRPr="008D5E66">
        <w:rPr>
          <w:rFonts w:ascii="Arial" w:hAnsi="Arial" w:cs="Arial"/>
          <w:b/>
          <w:sz w:val="24"/>
          <w:lang w:val="en-US"/>
        </w:rPr>
        <w:t>R2-260045</w:t>
      </w:r>
      <w:r w:rsidR="008D5E66">
        <w:rPr>
          <w:rFonts w:ascii="Arial" w:hAnsi="Arial" w:cs="Arial"/>
          <w:b/>
          <w:sz w:val="24"/>
          <w:lang w:val="en-US"/>
        </w:rPr>
        <w:t>2</w:t>
      </w:r>
    </w:p>
    <w:p w14:paraId="2147D8BC" w14:textId="279402F6" w:rsidR="00A77312" w:rsidRPr="00BE7552" w:rsidRDefault="00727711" w:rsidP="00E95F33">
      <w:pPr>
        <w:tabs>
          <w:tab w:val="left" w:pos="2160"/>
        </w:tabs>
        <w:rPr>
          <w:rFonts w:ascii="Arial" w:hAnsi="Arial" w:cs="Arial"/>
          <w:b/>
          <w:sz w:val="24"/>
          <w:lang w:val="en-US"/>
        </w:rPr>
      </w:pPr>
      <w:r w:rsidRPr="00727711">
        <w:rPr>
          <w:rFonts w:ascii="Arial" w:hAnsi="Arial" w:cs="Arial"/>
          <w:b/>
          <w:sz w:val="24"/>
          <w:lang w:val="en-US"/>
        </w:rPr>
        <w:t>Gothenburg, Sweden, Feb. 09th – 13th</w:t>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t xml:space="preserve">  </w:t>
      </w:r>
    </w:p>
    <w:p w14:paraId="5C527272" w14:textId="47C48FAF" w:rsidR="00A77312" w:rsidRPr="00BE7552" w:rsidRDefault="00A77312" w:rsidP="00A77312">
      <w:pPr>
        <w:pStyle w:val="CH"/>
        <w:rPr>
          <w:b w:val="0"/>
          <w:lang w:val="en-US"/>
        </w:rPr>
      </w:pPr>
      <w:r w:rsidRPr="00BE7552">
        <w:rPr>
          <w:lang w:val="en-US"/>
        </w:rPr>
        <w:t>Agenda item:</w:t>
      </w:r>
      <w:r w:rsidRPr="00BE7552">
        <w:rPr>
          <w:lang w:val="en-US"/>
        </w:rPr>
        <w:tab/>
      </w:r>
      <w:r w:rsidR="00E95F33">
        <w:rPr>
          <w:lang w:val="en-US"/>
        </w:rPr>
        <w:t>9.3.</w:t>
      </w:r>
      <w:r w:rsidR="00F10FCA">
        <w:rPr>
          <w:lang w:val="en-US"/>
        </w:rPr>
        <w:t>3</w:t>
      </w:r>
    </w:p>
    <w:p w14:paraId="61FD6A8F" w14:textId="77777777" w:rsidR="00A77312" w:rsidRPr="00BE7552" w:rsidRDefault="00A77312" w:rsidP="00A77312">
      <w:pPr>
        <w:pStyle w:val="CH"/>
        <w:rPr>
          <w:b w:val="0"/>
          <w:lang w:val="en-US" w:eastAsia="zh-CN"/>
        </w:rPr>
      </w:pPr>
      <w:r w:rsidRPr="00BE7552">
        <w:rPr>
          <w:lang w:val="en-US"/>
        </w:rPr>
        <w:t>Source:</w:t>
      </w:r>
      <w:r w:rsidRPr="00BE7552">
        <w:rPr>
          <w:lang w:val="en-US"/>
        </w:rPr>
        <w:tab/>
        <w:t>Apple</w:t>
      </w:r>
    </w:p>
    <w:p w14:paraId="51EDE669" w14:textId="1096AE6F" w:rsidR="00A77312" w:rsidRPr="00BE7552" w:rsidRDefault="00A77312" w:rsidP="00A77312">
      <w:pPr>
        <w:pStyle w:val="CH"/>
        <w:ind w:left="2260" w:hanging="2260"/>
        <w:rPr>
          <w:lang w:val="en-US" w:eastAsia="zh-CN"/>
        </w:rPr>
      </w:pPr>
      <w:r w:rsidRPr="00BE7552">
        <w:rPr>
          <w:lang w:val="en-US"/>
        </w:rPr>
        <w:t>Title:</w:t>
      </w:r>
      <w:r w:rsidRPr="00BE7552">
        <w:rPr>
          <w:lang w:val="en-US"/>
        </w:rPr>
        <w:tab/>
      </w:r>
      <w:r w:rsidR="00F10FCA">
        <w:rPr>
          <w:lang w:val="en-US"/>
        </w:rPr>
        <w:t>Event</w:t>
      </w:r>
      <w:r w:rsidR="003A3586">
        <w:rPr>
          <w:lang w:val="en-US"/>
        </w:rPr>
        <w:t xml:space="preserve"> prediction</w:t>
      </w:r>
    </w:p>
    <w:p w14:paraId="2EAD2AA7"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0207DB43" w14:textId="77777777" w:rsidR="00D46431" w:rsidRPr="00BE7552" w:rsidRDefault="00D46431" w:rsidP="00D309CC">
      <w:pPr>
        <w:pStyle w:val="CH"/>
        <w:rPr>
          <w:b w:val="0"/>
          <w:lang w:val="en-US"/>
        </w:rPr>
      </w:pPr>
    </w:p>
    <w:p w14:paraId="3D2BE32F" w14:textId="57B7491B" w:rsidR="00756388" w:rsidRDefault="008E7986" w:rsidP="00756388">
      <w:pPr>
        <w:pStyle w:val="Heading1"/>
        <w:rPr>
          <w:lang w:val="en-US"/>
        </w:rPr>
      </w:pPr>
      <w:r w:rsidRPr="00BE7552">
        <w:rPr>
          <w:lang w:val="en-US"/>
        </w:rPr>
        <w:t>1</w:t>
      </w:r>
      <w:r w:rsidRPr="00BE7552">
        <w:rPr>
          <w:lang w:val="en-US"/>
        </w:rPr>
        <w:tab/>
        <w:t xml:space="preserve">Introduction </w:t>
      </w:r>
    </w:p>
    <w:p w14:paraId="2D4A3448" w14:textId="08AC4E6A" w:rsidR="00524348" w:rsidRPr="00BE7552" w:rsidRDefault="00524348" w:rsidP="00524348">
      <w:pPr>
        <w:rPr>
          <w:lang w:val="en-US"/>
        </w:rPr>
      </w:pPr>
      <w:r w:rsidRPr="00BE7552">
        <w:rPr>
          <w:lang w:val="en-US"/>
        </w:rPr>
        <w:t xml:space="preserve">In this contribution we provide our </w:t>
      </w:r>
      <w:r>
        <w:rPr>
          <w:lang w:val="en-US"/>
        </w:rPr>
        <w:t xml:space="preserve">views on event prediction. </w:t>
      </w:r>
      <w:r w:rsidRPr="00BE7552">
        <w:rPr>
          <w:lang w:val="en-US"/>
        </w:rPr>
        <w:t xml:space="preserve"> </w:t>
      </w:r>
    </w:p>
    <w:p w14:paraId="3A67921B" w14:textId="41BD84C2" w:rsidR="008E7986" w:rsidRPr="00BE7552" w:rsidRDefault="008E7986" w:rsidP="008E7986">
      <w:pPr>
        <w:pStyle w:val="Heading1"/>
        <w:rPr>
          <w:lang w:val="en-US"/>
        </w:rPr>
      </w:pPr>
      <w:r w:rsidRPr="00BE7552">
        <w:rPr>
          <w:lang w:val="en-US"/>
        </w:rPr>
        <w:t>2</w:t>
      </w:r>
      <w:r w:rsidRPr="00BE7552">
        <w:rPr>
          <w:lang w:val="en-US"/>
        </w:rPr>
        <w:tab/>
      </w:r>
      <w:r w:rsidR="003C183A" w:rsidRPr="00BE7552">
        <w:rPr>
          <w:lang w:val="en-US"/>
        </w:rPr>
        <w:t>Discussion</w:t>
      </w:r>
      <w:r w:rsidRPr="00BE7552">
        <w:rPr>
          <w:lang w:val="en-US"/>
        </w:rPr>
        <w:t xml:space="preserve"> </w:t>
      </w:r>
    </w:p>
    <w:p w14:paraId="4993102F" w14:textId="77777777" w:rsidR="00756388" w:rsidRDefault="00756388" w:rsidP="00756388">
      <w:pPr>
        <w:pStyle w:val="Heading2"/>
        <w:rPr>
          <w:lang w:val="en-US"/>
        </w:rPr>
      </w:pPr>
      <w:r w:rsidRPr="002450F0">
        <w:rPr>
          <w:lang w:val="en-US"/>
        </w:rPr>
        <w:t xml:space="preserve">2.1 </w:t>
      </w:r>
      <w:r>
        <w:rPr>
          <w:lang w:val="en-US"/>
        </w:rPr>
        <w:t xml:space="preserve">Mapping of SI objectives to measurement framework functionalities </w:t>
      </w:r>
    </w:p>
    <w:p w14:paraId="2A16D917" w14:textId="69188DCF" w:rsidR="00756388" w:rsidRDefault="00756388" w:rsidP="00756388">
      <w:pPr>
        <w:rPr>
          <w:lang w:val="en-US"/>
        </w:rPr>
      </w:pPr>
      <w:r>
        <w:rPr>
          <w:lang w:val="en-US"/>
        </w:rPr>
        <w:t xml:space="preserve">In the SI item we discussed measurement prediction and event prediction use case. However, now that we need to implement the functionality we studied, it would be more useful to speak in terms of the functionalities of the measurement framework, that is: periodic and event-triggered measurements. </w:t>
      </w:r>
    </w:p>
    <w:p w14:paraId="14CD963F" w14:textId="77777777" w:rsidR="00E27AD7" w:rsidRDefault="00756388" w:rsidP="00756388">
      <w:pPr>
        <w:rPr>
          <w:lang w:val="en-US"/>
        </w:rPr>
      </w:pPr>
      <w:r>
        <w:rPr>
          <w:lang w:val="en-US"/>
        </w:rPr>
        <w:t xml:space="preserve">This </w:t>
      </w:r>
      <w:r w:rsidR="00A11470">
        <w:rPr>
          <w:lang w:val="en-US"/>
        </w:rPr>
        <w:t>is discussed in detail in our contribution [1], and we do not intend to repeat it here. However, as this topics spans the agenda items of measurement and event prediction it is not clear which AI it should be discussed at. So here we just repeat the relevant observations and proposals from [1].</w:t>
      </w:r>
      <w:r w:rsidR="00E27AD7">
        <w:rPr>
          <w:lang w:val="en-US"/>
        </w:rPr>
        <w:t xml:space="preserve"> </w:t>
      </w:r>
    </w:p>
    <w:p w14:paraId="60860F39" w14:textId="46F229FA" w:rsidR="00756388" w:rsidRDefault="00E27AD7" w:rsidP="00756388">
      <w:pPr>
        <w:rPr>
          <w:lang w:val="en-US"/>
        </w:rPr>
      </w:pPr>
      <w:r>
        <w:rPr>
          <w:lang w:val="en-US"/>
        </w:rPr>
        <w:t xml:space="preserve">If you’ve read out paper [1] you may skip this section. </w:t>
      </w:r>
    </w:p>
    <w:p w14:paraId="457B8F5A" w14:textId="516D8697" w:rsidR="00E27AD7" w:rsidRDefault="00E27AD7" w:rsidP="00E27AD7">
      <w:pPr>
        <w:rPr>
          <w:b/>
          <w:bCs/>
          <w:lang w:val="en-US"/>
        </w:rPr>
      </w:pPr>
      <w:r>
        <w:rPr>
          <w:b/>
          <w:bCs/>
          <w:lang w:val="en-US"/>
        </w:rPr>
        <w:t>Observation 1: periodic measurement</w:t>
      </w:r>
      <w:r w:rsidR="00FA6867">
        <w:rPr>
          <w:b/>
          <w:bCs/>
          <w:lang w:val="en-US"/>
        </w:rPr>
        <w:t xml:space="preserve"> reporting</w:t>
      </w:r>
      <w:r>
        <w:rPr>
          <w:b/>
          <w:bCs/>
          <w:lang w:val="en-US"/>
        </w:rPr>
        <w:t xml:space="preserve"> </w:t>
      </w:r>
      <w:r w:rsidR="00FA6867">
        <w:rPr>
          <w:b/>
          <w:bCs/>
          <w:lang w:val="en-US"/>
        </w:rPr>
        <w:t xml:space="preserve">is </w:t>
      </w:r>
      <w:r>
        <w:rPr>
          <w:b/>
          <w:bCs/>
          <w:lang w:val="en-US"/>
        </w:rPr>
        <w:t>rarely used for mobility.</w:t>
      </w:r>
    </w:p>
    <w:p w14:paraId="30374F75" w14:textId="77777777" w:rsidR="00E27AD7" w:rsidRDefault="00E27AD7" w:rsidP="00E27AD7">
      <w:pPr>
        <w:rPr>
          <w:b/>
          <w:bCs/>
          <w:lang w:val="en-US"/>
        </w:rPr>
      </w:pPr>
      <w:r>
        <w:rPr>
          <w:b/>
          <w:bCs/>
          <w:lang w:val="en-US"/>
        </w:rPr>
        <w:t>Observation 2: temporal domain case A prediction is particularly well suited for event-triggered measurements; furthermore, it is not clear at all whether, how, and for what purpose case A can be used for periodic measurements.</w:t>
      </w:r>
    </w:p>
    <w:p w14:paraId="54F00B3A" w14:textId="77777777" w:rsidR="00E27AD7" w:rsidRDefault="00E27AD7" w:rsidP="00E27AD7">
      <w:pPr>
        <w:rPr>
          <w:b/>
          <w:bCs/>
          <w:lang w:val="en-US"/>
        </w:rPr>
      </w:pPr>
      <w:r>
        <w:rPr>
          <w:b/>
          <w:bCs/>
          <w:lang w:val="en-US"/>
        </w:rPr>
        <w:t>Proposal 1: Temporal domain case A prediction is used for event-triggered measurements only.</w:t>
      </w:r>
    </w:p>
    <w:p w14:paraId="17EB941A" w14:textId="77777777" w:rsidR="00E27AD7" w:rsidRDefault="00E27AD7" w:rsidP="00E27AD7">
      <w:pPr>
        <w:rPr>
          <w:b/>
          <w:bCs/>
          <w:lang w:val="en-US"/>
        </w:rPr>
      </w:pPr>
      <w:r>
        <w:rPr>
          <w:b/>
          <w:bCs/>
          <w:lang w:val="en-US"/>
        </w:rPr>
        <w:t>Observation 3: temporal domain case B and frequency domain prediction target the goals of measurement effort reduction and are equally applicable to event-triggered or periodic measurements.</w:t>
      </w:r>
    </w:p>
    <w:p w14:paraId="0FCA17D4" w14:textId="79447725" w:rsidR="00DC034C" w:rsidRPr="00E27AD7" w:rsidRDefault="00E27AD7" w:rsidP="00E27AD7">
      <w:pPr>
        <w:rPr>
          <w:b/>
          <w:bCs/>
          <w:lang w:val="en-US" w:bidi="he-IL"/>
        </w:rPr>
      </w:pPr>
      <w:r>
        <w:rPr>
          <w:b/>
          <w:bCs/>
          <w:lang w:val="en-US"/>
        </w:rPr>
        <w:t>Proposal 2: Temporal domain case B prediction and frequency domain prediction can be used for either event-triggered or periodic measurements.</w:t>
      </w:r>
    </w:p>
    <w:p w14:paraId="2D7A44F3" w14:textId="17072045" w:rsidR="00756388" w:rsidRPr="002450F0" w:rsidRDefault="00756388" w:rsidP="00E27AD7">
      <w:pPr>
        <w:pStyle w:val="Heading2"/>
        <w:rPr>
          <w:lang w:val="en-US"/>
        </w:rPr>
      </w:pPr>
      <w:r w:rsidRPr="002450F0">
        <w:rPr>
          <w:lang w:val="en-US"/>
        </w:rPr>
        <w:t>2.</w:t>
      </w:r>
      <w:r w:rsidR="00E27AD7">
        <w:rPr>
          <w:lang w:val="en-US"/>
        </w:rPr>
        <w:t>2</w:t>
      </w:r>
      <w:r w:rsidRPr="002450F0">
        <w:rPr>
          <w:lang w:val="en-US"/>
        </w:rPr>
        <w:t xml:space="preserve"> Direct vs. </w:t>
      </w:r>
      <w:r w:rsidR="00A61698">
        <w:rPr>
          <w:lang w:val="en-US"/>
        </w:rPr>
        <w:t>I</w:t>
      </w:r>
      <w:r w:rsidRPr="002450F0">
        <w:rPr>
          <w:lang w:val="en-US"/>
        </w:rPr>
        <w:t>ndirect</w:t>
      </w:r>
    </w:p>
    <w:p w14:paraId="46B3E96E" w14:textId="71C9B69B" w:rsidR="00756388" w:rsidRDefault="00756388" w:rsidP="00756388">
      <w:pPr>
        <w:rPr>
          <w:lang w:val="en-US"/>
        </w:rPr>
      </w:pPr>
      <w:r w:rsidRPr="002450F0">
        <w:rPr>
          <w:lang w:val="en-US"/>
        </w:rPr>
        <w:t xml:space="preserve">The study on AI/ML mobility has explored two methods for event prediction: "indirect," where the UE predicts RRM measurement values and then evaluates event criteria based on them, and "direct," where the UE's model directly predicts the probability of an event's occurrence. </w:t>
      </w:r>
      <w:r>
        <w:rPr>
          <w:lang w:val="en-US"/>
        </w:rPr>
        <w:t>We</w:t>
      </w:r>
      <w:r w:rsidRPr="002450F0">
        <w:rPr>
          <w:lang w:val="en-US"/>
        </w:rPr>
        <w:t xml:space="preserve"> agreed that the choice between using a direct or indirect model is a UE implementation detail and should not be dictated by the specification, unless a specific requirement is identified. The RRC framework should remain model-agnostic, focusing on the configuration of the task (e.g., "predict event A3") rather than the UE's internal method for achieving it.</w:t>
      </w:r>
      <w:r>
        <w:rPr>
          <w:lang w:val="en-US"/>
        </w:rPr>
        <w:t xml:space="preserve"> We still maintain this position and furthermore wonder – even if we agree to exclude “direct”, how would this be reflected in our specification? Would </w:t>
      </w:r>
      <w:r w:rsidR="00494D17">
        <w:rPr>
          <w:lang w:val="en-US"/>
        </w:rPr>
        <w:t>we</w:t>
      </w:r>
      <w:r>
        <w:rPr>
          <w:lang w:val="en-US"/>
        </w:rPr>
        <w:t xml:space="preserve"> actually write somewhere in 38.331 “direct event prediction UE implementation is precluded”?</w:t>
      </w:r>
      <w:r w:rsidR="00494D17">
        <w:rPr>
          <w:lang w:val="en-US"/>
        </w:rPr>
        <w:t xml:space="preserve"> That is hardly something we ever do in 3GPP.</w:t>
      </w:r>
    </w:p>
    <w:p w14:paraId="7F0F01EA" w14:textId="4B43214D" w:rsidR="00756388" w:rsidRPr="001167E3" w:rsidRDefault="00756388" w:rsidP="00756388">
      <w:pPr>
        <w:rPr>
          <w:b/>
          <w:bCs/>
          <w:lang w:val="en-US"/>
        </w:rPr>
      </w:pPr>
      <w:r w:rsidRPr="001167E3">
        <w:rPr>
          <w:b/>
          <w:bCs/>
          <w:lang w:val="en-US"/>
        </w:rPr>
        <w:t xml:space="preserve">Observation </w:t>
      </w:r>
      <w:r w:rsidR="00122D81">
        <w:rPr>
          <w:b/>
          <w:bCs/>
          <w:lang w:val="en-US"/>
        </w:rPr>
        <w:t>4</w:t>
      </w:r>
      <w:r w:rsidRPr="001167E3">
        <w:rPr>
          <w:b/>
          <w:bCs/>
          <w:lang w:val="en-US"/>
        </w:rPr>
        <w:t xml:space="preserve">: direct vs. indirect event prediction is a UE implementation choice. Why, and how, </w:t>
      </w:r>
      <w:r w:rsidR="00494D17">
        <w:rPr>
          <w:b/>
          <w:bCs/>
          <w:lang w:val="en-US"/>
        </w:rPr>
        <w:t>can</w:t>
      </w:r>
      <w:r w:rsidRPr="001167E3">
        <w:rPr>
          <w:b/>
          <w:bCs/>
          <w:lang w:val="en-US"/>
        </w:rPr>
        <w:t xml:space="preserve"> RAN2 preclude particular implementation choices?</w:t>
      </w:r>
    </w:p>
    <w:p w14:paraId="7DC96FDB" w14:textId="77777777" w:rsidR="00756388" w:rsidRDefault="00756388" w:rsidP="00756388">
      <w:pPr>
        <w:rPr>
          <w:lang w:val="en-US"/>
        </w:rPr>
      </w:pPr>
      <w:r>
        <w:rPr>
          <w:lang w:val="en-US"/>
        </w:rPr>
        <w:lastRenderedPageBreak/>
        <w:t>Furthermore, it is quite likely that UEs would use both. There are two advantages to direct:</w:t>
      </w:r>
    </w:p>
    <w:p w14:paraId="33D51C85" w14:textId="77777777" w:rsidR="00756388" w:rsidRPr="00574210" w:rsidRDefault="00756388" w:rsidP="00756388">
      <w:pPr>
        <w:pStyle w:val="ListParagraph"/>
        <w:numPr>
          <w:ilvl w:val="0"/>
          <w:numId w:val="20"/>
        </w:numPr>
        <w:rPr>
          <w:lang w:val="en-US"/>
        </w:rPr>
      </w:pPr>
      <w:r>
        <w:rPr>
          <w:lang w:val="en-US"/>
        </w:rPr>
        <w:t>somewhat b</w:t>
      </w:r>
      <w:r w:rsidRPr="00574210">
        <w:rPr>
          <w:lang w:val="en-US"/>
        </w:rPr>
        <w:t xml:space="preserve">etter accuracy </w:t>
      </w:r>
    </w:p>
    <w:p w14:paraId="11B3ECD1" w14:textId="77777777" w:rsidR="00756388" w:rsidRDefault="00756388" w:rsidP="00756388">
      <w:pPr>
        <w:pStyle w:val="ListParagraph"/>
        <w:numPr>
          <w:ilvl w:val="0"/>
          <w:numId w:val="20"/>
        </w:numPr>
        <w:rPr>
          <w:lang w:val="en-US"/>
        </w:rPr>
      </w:pPr>
      <w:r>
        <w:rPr>
          <w:lang w:val="en-US"/>
        </w:rPr>
        <w:t xml:space="preserve">significantly lesser complexity </w:t>
      </w:r>
    </w:p>
    <w:p w14:paraId="3E90C0E1" w14:textId="4AD587E8" w:rsidR="00756388" w:rsidRDefault="00756388" w:rsidP="00756388">
      <w:pPr>
        <w:rPr>
          <w:lang w:val="en-US"/>
        </w:rPr>
      </w:pPr>
      <w:r>
        <w:rPr>
          <w:lang w:val="en-US"/>
        </w:rPr>
        <w:t>In the TR 38.744, the figure 5.3.2.1-1 (provided below for reference) illustrates the slight performance advantages</w:t>
      </w:r>
      <w:r w:rsidR="00494D17">
        <w:rPr>
          <w:lang w:val="en-US"/>
        </w:rPr>
        <w:t xml:space="preserve"> of the direct prediction methid</w:t>
      </w:r>
      <w:r>
        <w:rPr>
          <w:lang w:val="en-US"/>
        </w:rPr>
        <w:t xml:space="preserve">. </w:t>
      </w:r>
    </w:p>
    <w:p w14:paraId="530A1FCB" w14:textId="77777777" w:rsidR="00494D17" w:rsidRDefault="00EA6A55" w:rsidP="00494D17">
      <w:pPr>
        <w:keepNext/>
        <w:jc w:val="center"/>
      </w:pPr>
      <w:r w:rsidRPr="00E667EF">
        <w:rPr>
          <w:noProof/>
        </w:rPr>
        <w:object w:dxaOrig="3526" w:dyaOrig="2160" w14:anchorId="6E320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7.05pt;height:170.25pt;mso-width-percent:0;mso-height-percent:0;mso-width-percent:0;mso-height-percent:0" o:ole="">
            <v:imagedata r:id="rId9" o:title=""/>
          </v:shape>
          <o:OLEObject Type="Embed" ProgID="Visio.Drawing.15" ShapeID="_x0000_i1025" DrawAspect="Content" ObjectID="_1831200994" r:id="rId10"/>
        </w:object>
      </w:r>
    </w:p>
    <w:p w14:paraId="52443EFF" w14:textId="26F63092" w:rsidR="00756388" w:rsidRPr="00574210" w:rsidRDefault="00494D17" w:rsidP="00494D17">
      <w:pPr>
        <w:pStyle w:val="Caption"/>
        <w:jc w:val="center"/>
        <w:rPr>
          <w:lang w:val="en-US"/>
        </w:rPr>
      </w:pPr>
      <w:r>
        <w:t xml:space="preserve">Figure </w:t>
      </w:r>
      <w:fldSimple w:instr=" SEQ Figure \* ARABIC ">
        <w:r>
          <w:rPr>
            <w:noProof/>
          </w:rPr>
          <w:t>1</w:t>
        </w:r>
      </w:fldSimple>
      <w:r>
        <w:rPr>
          <w:lang w:val="en-US"/>
        </w:rPr>
        <w:t>: performance gains of Direct over Indirect</w:t>
      </w:r>
    </w:p>
    <w:p w14:paraId="1F318C83" w14:textId="1DC53895" w:rsidR="00756388" w:rsidRDefault="00756388" w:rsidP="00756388">
      <w:pPr>
        <w:rPr>
          <w:lang w:val="en-US"/>
        </w:rPr>
      </w:pPr>
      <w:r>
        <w:rPr>
          <w:lang w:val="en-US"/>
        </w:rPr>
        <w:t xml:space="preserve">This, however, is not the main appeal of the direct models </w:t>
      </w:r>
      <w:r w:rsidR="00494D17">
        <w:rPr>
          <w:lang w:val="en-US"/>
        </w:rPr>
        <w:t xml:space="preserve">(as the gains are modest) </w:t>
      </w:r>
      <w:r>
        <w:rPr>
          <w:lang w:val="en-US"/>
        </w:rPr>
        <w:t xml:space="preserve">– but model complexity is. Unfortunately, not many companies provided direct results and not all of them included complexity numbers. For complexity evaluation the TR 38.744 provides the following table (table 5.2.2-1). </w:t>
      </w:r>
    </w:p>
    <w:p w14:paraId="4AE84931" w14:textId="77777777" w:rsidR="00756388" w:rsidRDefault="00756388" w:rsidP="00756388">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756388" w:rsidRPr="00E667EF" w14:paraId="7588059D" w14:textId="77777777">
        <w:trPr>
          <w:jc w:val="center"/>
        </w:trPr>
        <w:tc>
          <w:tcPr>
            <w:tcW w:w="2226" w:type="dxa"/>
            <w:shd w:val="clear" w:color="auto" w:fill="D9D9D9"/>
          </w:tcPr>
          <w:p w14:paraId="4C4CC134" w14:textId="77777777" w:rsidR="00756388" w:rsidRPr="00E667EF" w:rsidRDefault="00756388">
            <w:pPr>
              <w:pStyle w:val="TAH"/>
            </w:pPr>
            <w:bookmarkStart w:id="1" w:name="_MCCTEMPBM_CRPT09670004___4" w:colFirst="1" w:colLast="2"/>
          </w:p>
        </w:tc>
        <w:tc>
          <w:tcPr>
            <w:tcW w:w="2226" w:type="dxa"/>
            <w:shd w:val="clear" w:color="auto" w:fill="D9D9D9"/>
          </w:tcPr>
          <w:p w14:paraId="379CD104" w14:textId="77777777" w:rsidR="00756388" w:rsidRPr="00E667EF" w:rsidRDefault="00756388">
            <w:pPr>
              <w:pStyle w:val="TAH"/>
            </w:pPr>
            <w:r w:rsidRPr="00E667EF">
              <w:t>Model complexity in number of model parameters</w:t>
            </w:r>
          </w:p>
        </w:tc>
        <w:tc>
          <w:tcPr>
            <w:tcW w:w="2226" w:type="dxa"/>
            <w:shd w:val="clear" w:color="auto" w:fill="D9D9D9"/>
          </w:tcPr>
          <w:p w14:paraId="160B5A3A" w14:textId="77777777" w:rsidR="00756388" w:rsidRPr="00E667EF" w:rsidRDefault="00756388">
            <w:pPr>
              <w:pStyle w:val="TAH"/>
            </w:pPr>
            <w:r w:rsidRPr="00E667EF">
              <w:t>Model complexity in model size</w:t>
            </w:r>
          </w:p>
        </w:tc>
        <w:tc>
          <w:tcPr>
            <w:tcW w:w="2227" w:type="dxa"/>
            <w:shd w:val="clear" w:color="auto" w:fill="D9D9D9"/>
          </w:tcPr>
          <w:p w14:paraId="4C911965" w14:textId="77777777" w:rsidR="00756388" w:rsidRPr="00E667EF" w:rsidRDefault="00756388">
            <w:pPr>
              <w:pStyle w:val="TAH"/>
            </w:pPr>
            <w:r w:rsidRPr="00E667EF">
              <w:t>Computational complexity (FLOPs)</w:t>
            </w:r>
          </w:p>
        </w:tc>
      </w:tr>
      <w:bookmarkEnd w:id="1"/>
      <w:tr w:rsidR="00756388" w:rsidRPr="00E667EF" w14:paraId="480D0D8A" w14:textId="77777777">
        <w:trPr>
          <w:jc w:val="center"/>
        </w:trPr>
        <w:tc>
          <w:tcPr>
            <w:tcW w:w="2226" w:type="dxa"/>
          </w:tcPr>
          <w:p w14:paraId="7E4C54A3" w14:textId="77777777" w:rsidR="00756388" w:rsidRPr="00E667EF" w:rsidRDefault="00756388">
            <w:pPr>
              <w:pStyle w:val="TAL"/>
            </w:pPr>
            <w:r w:rsidRPr="00E667EF">
              <w:t>FR1 to FR1 intra-frequency temporal domain case B</w:t>
            </w:r>
          </w:p>
        </w:tc>
        <w:tc>
          <w:tcPr>
            <w:tcW w:w="2226" w:type="dxa"/>
          </w:tcPr>
          <w:p w14:paraId="5157F41D" w14:textId="77777777" w:rsidR="00756388" w:rsidRPr="00E667EF" w:rsidRDefault="00756388">
            <w:pPr>
              <w:pStyle w:val="TAL"/>
            </w:pPr>
            <w:r w:rsidRPr="00E667EF">
              <w:t>16K to 1.51M</w:t>
            </w:r>
          </w:p>
          <w:p w14:paraId="363CE2F7" w14:textId="77777777" w:rsidR="00756388" w:rsidRPr="00E667EF" w:rsidRDefault="00756388">
            <w:pPr>
              <w:pStyle w:val="TAL"/>
            </w:pPr>
            <w:r w:rsidRPr="00E667EF">
              <w:t>majority reported less than 0.8M</w:t>
            </w:r>
          </w:p>
        </w:tc>
        <w:tc>
          <w:tcPr>
            <w:tcW w:w="2226" w:type="dxa"/>
          </w:tcPr>
          <w:p w14:paraId="58DBDCD2" w14:textId="77777777" w:rsidR="00756388" w:rsidRPr="00E667EF" w:rsidRDefault="00756388">
            <w:pPr>
              <w:pStyle w:val="TAL"/>
              <w:rPr>
                <w:rFonts w:cs="Arial"/>
                <w:szCs w:val="18"/>
              </w:rPr>
            </w:pPr>
            <w:r w:rsidRPr="00E667EF">
              <w:rPr>
                <w:rFonts w:cs="Arial"/>
                <w:szCs w:val="18"/>
              </w:rPr>
              <w:t>67Kbytes to 5.1Mbytes majority reported less than 1Mbytes</w:t>
            </w:r>
          </w:p>
        </w:tc>
        <w:tc>
          <w:tcPr>
            <w:tcW w:w="2227" w:type="dxa"/>
          </w:tcPr>
          <w:p w14:paraId="05B33BE2" w14:textId="77777777" w:rsidR="00756388" w:rsidRPr="00E667EF" w:rsidRDefault="00756388">
            <w:pPr>
              <w:rPr>
                <w:rFonts w:cs="Arial"/>
                <w:sz w:val="18"/>
                <w:szCs w:val="18"/>
              </w:rPr>
            </w:pPr>
            <w:r w:rsidRPr="00E667EF">
              <w:rPr>
                <w:rFonts w:cs="Arial"/>
                <w:sz w:val="18"/>
                <w:szCs w:val="18"/>
              </w:rPr>
              <w:t xml:space="preserve">0.12M to 23.86M </w:t>
            </w:r>
            <w:r w:rsidRPr="00E667EF">
              <w:rPr>
                <w:rFonts w:cs="Arial"/>
                <w:sz w:val="18"/>
                <w:szCs w:val="18"/>
              </w:rPr>
              <w:br/>
              <w:t xml:space="preserve">majority reported less than 3M </w:t>
            </w:r>
          </w:p>
        </w:tc>
      </w:tr>
      <w:tr w:rsidR="00756388" w:rsidRPr="00E667EF" w14:paraId="038564D7" w14:textId="77777777">
        <w:trPr>
          <w:jc w:val="center"/>
        </w:trPr>
        <w:tc>
          <w:tcPr>
            <w:tcW w:w="2226" w:type="dxa"/>
          </w:tcPr>
          <w:p w14:paraId="37CD4911" w14:textId="77777777" w:rsidR="00756388" w:rsidRPr="00E667EF" w:rsidRDefault="00756388">
            <w:pPr>
              <w:pStyle w:val="TAL"/>
            </w:pPr>
            <w:r w:rsidRPr="00E667EF">
              <w:t>FR1 to FR1 inter-frequency (frequency domain)</w:t>
            </w:r>
          </w:p>
        </w:tc>
        <w:tc>
          <w:tcPr>
            <w:tcW w:w="2226" w:type="dxa"/>
          </w:tcPr>
          <w:p w14:paraId="5978D429" w14:textId="77777777" w:rsidR="00756388" w:rsidRPr="00E667EF" w:rsidRDefault="00756388">
            <w:pPr>
              <w:pStyle w:val="TAL"/>
            </w:pPr>
            <w:r w:rsidRPr="00E667EF">
              <w:t xml:space="preserve">0.22K to 1.84M </w:t>
            </w:r>
            <w:r w:rsidRPr="00E667EF">
              <w:br/>
              <w:t>majority reported less than 0.33M</w:t>
            </w:r>
          </w:p>
        </w:tc>
        <w:tc>
          <w:tcPr>
            <w:tcW w:w="2226" w:type="dxa"/>
          </w:tcPr>
          <w:p w14:paraId="0B701193" w14:textId="77777777" w:rsidR="00756388" w:rsidRPr="00E667EF" w:rsidRDefault="00756388">
            <w:pPr>
              <w:pStyle w:val="TAL"/>
              <w:rPr>
                <w:rFonts w:cs="Arial"/>
                <w:szCs w:val="18"/>
              </w:rPr>
            </w:pPr>
            <w:r w:rsidRPr="00E667EF">
              <w:rPr>
                <w:rFonts w:cs="Arial"/>
                <w:szCs w:val="18"/>
              </w:rPr>
              <w:t>2.1Kbytes to 7.3Mbytes majority reported less than 1Mbytes</w:t>
            </w:r>
          </w:p>
        </w:tc>
        <w:tc>
          <w:tcPr>
            <w:tcW w:w="2227" w:type="dxa"/>
          </w:tcPr>
          <w:p w14:paraId="655EDE5C" w14:textId="77777777" w:rsidR="00756388" w:rsidRPr="00E667EF" w:rsidRDefault="00756388">
            <w:pPr>
              <w:rPr>
                <w:rFonts w:cs="Arial"/>
                <w:sz w:val="18"/>
                <w:szCs w:val="18"/>
              </w:rPr>
            </w:pPr>
            <w:r w:rsidRPr="00E667EF">
              <w:rPr>
                <w:rFonts w:cs="Arial"/>
                <w:sz w:val="18"/>
                <w:szCs w:val="18"/>
              </w:rPr>
              <w:t xml:space="preserve">5K to 66M </w:t>
            </w:r>
            <w:r w:rsidRPr="00E667EF">
              <w:rPr>
                <w:rFonts w:cs="Arial"/>
                <w:sz w:val="18"/>
                <w:szCs w:val="18"/>
              </w:rPr>
              <w:br/>
              <w:t>majority reported less than 3M</w:t>
            </w:r>
          </w:p>
        </w:tc>
      </w:tr>
      <w:tr w:rsidR="00756388" w:rsidRPr="00E667EF" w14:paraId="6318299A" w14:textId="77777777">
        <w:trPr>
          <w:jc w:val="center"/>
        </w:trPr>
        <w:tc>
          <w:tcPr>
            <w:tcW w:w="2226" w:type="dxa"/>
          </w:tcPr>
          <w:p w14:paraId="2F7A316C" w14:textId="77777777" w:rsidR="00756388" w:rsidRPr="00E667EF" w:rsidRDefault="00756388">
            <w:pPr>
              <w:pStyle w:val="TAL"/>
            </w:pPr>
            <w:r w:rsidRPr="00E667EF">
              <w:t>FR2 to FR2 intra-frequency temporal domain case A</w:t>
            </w:r>
          </w:p>
        </w:tc>
        <w:tc>
          <w:tcPr>
            <w:tcW w:w="2226" w:type="dxa"/>
          </w:tcPr>
          <w:p w14:paraId="7DC6C13D" w14:textId="77777777" w:rsidR="00756388" w:rsidRPr="00E667EF" w:rsidRDefault="00756388">
            <w:pPr>
              <w:pStyle w:val="TAL"/>
            </w:pPr>
            <w:r w:rsidRPr="00E667EF">
              <w:t xml:space="preserve">4.5k to 1.38M </w:t>
            </w:r>
            <w:r w:rsidRPr="00E667EF">
              <w:br/>
              <w:t>majority reported less than 0.7M</w:t>
            </w:r>
          </w:p>
        </w:tc>
        <w:tc>
          <w:tcPr>
            <w:tcW w:w="2226" w:type="dxa"/>
          </w:tcPr>
          <w:p w14:paraId="4CF04C87" w14:textId="77777777" w:rsidR="00756388" w:rsidRPr="00E667EF" w:rsidRDefault="00756388">
            <w:pPr>
              <w:rPr>
                <w:rFonts w:cs="Arial"/>
                <w:sz w:val="18"/>
                <w:szCs w:val="18"/>
              </w:rPr>
            </w:pPr>
            <w:r w:rsidRPr="00E667EF">
              <w:rPr>
                <w:rFonts w:cs="Arial"/>
                <w:sz w:val="18"/>
                <w:szCs w:val="18"/>
              </w:rPr>
              <w:t xml:space="preserve">69Kbytes to 10.8Mbytes majority reported less 0.74 Mbytes </w:t>
            </w:r>
          </w:p>
        </w:tc>
        <w:tc>
          <w:tcPr>
            <w:tcW w:w="2227" w:type="dxa"/>
          </w:tcPr>
          <w:p w14:paraId="39B4AB30" w14:textId="77777777" w:rsidR="00756388" w:rsidRPr="00E667EF" w:rsidRDefault="00756388">
            <w:pPr>
              <w:keepNext/>
              <w:rPr>
                <w:rFonts w:cs="Arial"/>
                <w:sz w:val="18"/>
                <w:szCs w:val="18"/>
              </w:rPr>
            </w:pPr>
            <w:r w:rsidRPr="00E667EF">
              <w:rPr>
                <w:rFonts w:cs="Arial"/>
                <w:sz w:val="18"/>
                <w:szCs w:val="18"/>
              </w:rPr>
              <w:t xml:space="preserve">20K to 33.1M </w:t>
            </w:r>
            <w:r w:rsidRPr="00E667EF">
              <w:rPr>
                <w:rFonts w:cs="Arial"/>
                <w:sz w:val="18"/>
                <w:szCs w:val="18"/>
              </w:rPr>
              <w:br/>
              <w:t>majority reported less than 10M</w:t>
            </w:r>
          </w:p>
        </w:tc>
      </w:tr>
    </w:tbl>
    <w:p w14:paraId="3100D8A1" w14:textId="77777777" w:rsidR="00756388" w:rsidRDefault="00756388" w:rsidP="00756388">
      <w:pPr>
        <w:pStyle w:val="Caption"/>
        <w:jc w:val="center"/>
        <w:rPr>
          <w:lang w:val="en-US"/>
        </w:rPr>
      </w:pPr>
      <w:r>
        <w:t xml:space="preserve">Table </w:t>
      </w:r>
      <w:fldSimple w:instr=" SEQ Table \* ARABIC ">
        <w:r>
          <w:rPr>
            <w:noProof/>
          </w:rPr>
          <w:t>1</w:t>
        </w:r>
      </w:fldSimple>
      <w:r>
        <w:rPr>
          <w:lang w:val="en-US"/>
        </w:rPr>
        <w:t>: model complexity for indirect (from TR 38.744)</w:t>
      </w:r>
    </w:p>
    <w:p w14:paraId="0883709C" w14:textId="77777777" w:rsidR="00756388" w:rsidRDefault="00756388" w:rsidP="00756388">
      <w:pPr>
        <w:rPr>
          <w:lang w:val="en-US"/>
        </w:rPr>
      </w:pPr>
      <w:r>
        <w:rPr>
          <w:lang w:val="en-US"/>
        </w:rPr>
        <w:t>To compare this with direct, we summarize below the numbers provided by the companies in their evaluation results submitted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26"/>
        <w:gridCol w:w="2226"/>
        <w:gridCol w:w="2227"/>
      </w:tblGrid>
      <w:tr w:rsidR="00756388" w:rsidRPr="00E667EF" w14:paraId="4EEA79EC" w14:textId="77777777">
        <w:trPr>
          <w:jc w:val="center"/>
        </w:trPr>
        <w:tc>
          <w:tcPr>
            <w:tcW w:w="2226" w:type="dxa"/>
            <w:shd w:val="clear" w:color="auto" w:fill="D9D9D9"/>
          </w:tcPr>
          <w:p w14:paraId="3583B52A" w14:textId="77777777" w:rsidR="00756388" w:rsidRPr="00E667EF" w:rsidRDefault="00756388">
            <w:pPr>
              <w:pStyle w:val="TAH"/>
            </w:pPr>
          </w:p>
        </w:tc>
        <w:tc>
          <w:tcPr>
            <w:tcW w:w="2226" w:type="dxa"/>
            <w:shd w:val="clear" w:color="auto" w:fill="D9D9D9"/>
          </w:tcPr>
          <w:p w14:paraId="18C9D158" w14:textId="77777777" w:rsidR="00756388" w:rsidRPr="00E667EF" w:rsidRDefault="00756388">
            <w:pPr>
              <w:pStyle w:val="TAH"/>
            </w:pPr>
            <w:r w:rsidRPr="00E667EF">
              <w:t>Model complexity in number of model parameters</w:t>
            </w:r>
          </w:p>
        </w:tc>
        <w:tc>
          <w:tcPr>
            <w:tcW w:w="2226" w:type="dxa"/>
            <w:shd w:val="clear" w:color="auto" w:fill="D9D9D9"/>
          </w:tcPr>
          <w:p w14:paraId="1170E295" w14:textId="77777777" w:rsidR="00756388" w:rsidRPr="00E667EF" w:rsidRDefault="00756388">
            <w:pPr>
              <w:pStyle w:val="TAH"/>
            </w:pPr>
            <w:r w:rsidRPr="00E667EF">
              <w:t>Model complexity in model size</w:t>
            </w:r>
          </w:p>
        </w:tc>
        <w:tc>
          <w:tcPr>
            <w:tcW w:w="2227" w:type="dxa"/>
            <w:shd w:val="clear" w:color="auto" w:fill="D9D9D9"/>
          </w:tcPr>
          <w:p w14:paraId="32B117CA" w14:textId="77777777" w:rsidR="00756388" w:rsidRPr="00E667EF" w:rsidRDefault="00756388">
            <w:pPr>
              <w:pStyle w:val="TAH"/>
            </w:pPr>
            <w:r w:rsidRPr="00E667EF">
              <w:t>Computational complexity (FLOPs)</w:t>
            </w:r>
          </w:p>
        </w:tc>
      </w:tr>
      <w:tr w:rsidR="00756388" w:rsidRPr="00E667EF" w14:paraId="0855EC3A" w14:textId="77777777">
        <w:trPr>
          <w:jc w:val="center"/>
        </w:trPr>
        <w:tc>
          <w:tcPr>
            <w:tcW w:w="2226" w:type="dxa"/>
          </w:tcPr>
          <w:p w14:paraId="14542EE6" w14:textId="77777777" w:rsidR="00756388" w:rsidRPr="00E667EF" w:rsidRDefault="00756388">
            <w:pPr>
              <w:pStyle w:val="TAL"/>
            </w:pPr>
            <w:r>
              <w:t>Event prediction case A</w:t>
            </w:r>
          </w:p>
        </w:tc>
        <w:tc>
          <w:tcPr>
            <w:tcW w:w="2226" w:type="dxa"/>
          </w:tcPr>
          <w:p w14:paraId="7C97F110" w14:textId="77777777" w:rsidR="00756388" w:rsidRPr="00E667EF" w:rsidRDefault="00756388">
            <w:pPr>
              <w:pStyle w:val="TAL"/>
            </w:pPr>
          </w:p>
        </w:tc>
        <w:tc>
          <w:tcPr>
            <w:tcW w:w="2226" w:type="dxa"/>
          </w:tcPr>
          <w:p w14:paraId="6C07E5E6" w14:textId="77777777" w:rsidR="00756388" w:rsidRPr="00E667EF" w:rsidRDefault="00756388">
            <w:pPr>
              <w:pStyle w:val="TAL"/>
              <w:rPr>
                <w:rFonts w:cs="Arial"/>
                <w:szCs w:val="18"/>
              </w:rPr>
            </w:pPr>
            <w:r>
              <w:rPr>
                <w:rFonts w:cs="Arial"/>
                <w:szCs w:val="18"/>
              </w:rPr>
              <w:t>120 bytes to 866KB</w:t>
            </w:r>
          </w:p>
        </w:tc>
        <w:tc>
          <w:tcPr>
            <w:tcW w:w="2227" w:type="dxa"/>
          </w:tcPr>
          <w:p w14:paraId="060BA8C3" w14:textId="77777777" w:rsidR="00756388" w:rsidRPr="00E667EF" w:rsidRDefault="00756388">
            <w:pPr>
              <w:rPr>
                <w:rFonts w:cs="Arial"/>
                <w:sz w:val="18"/>
                <w:szCs w:val="18"/>
              </w:rPr>
            </w:pPr>
            <w:r>
              <w:rPr>
                <w:rFonts w:cs="Arial"/>
                <w:sz w:val="18"/>
                <w:szCs w:val="18"/>
              </w:rPr>
              <w:t>60 FLOPS to 20M</w:t>
            </w:r>
            <w:r w:rsidRPr="00E667EF">
              <w:rPr>
                <w:rFonts w:cs="Arial"/>
                <w:sz w:val="18"/>
                <w:szCs w:val="18"/>
              </w:rPr>
              <w:t xml:space="preserve"> </w:t>
            </w:r>
          </w:p>
        </w:tc>
      </w:tr>
    </w:tbl>
    <w:p w14:paraId="63542710" w14:textId="77777777" w:rsidR="00756388" w:rsidRDefault="00756388" w:rsidP="00756388">
      <w:pPr>
        <w:pStyle w:val="Caption"/>
        <w:jc w:val="center"/>
        <w:rPr>
          <w:lang w:val="en-US"/>
        </w:rPr>
      </w:pPr>
      <w:r>
        <w:t>Table 2</w:t>
      </w:r>
      <w:r>
        <w:rPr>
          <w:lang w:val="en-US"/>
        </w:rPr>
        <w:t>: model complexity for direct</w:t>
      </w:r>
    </w:p>
    <w:p w14:paraId="2E6B8148" w14:textId="77777777" w:rsidR="00756388" w:rsidRDefault="00756388" w:rsidP="00756388">
      <w:pPr>
        <w:rPr>
          <w:lang w:val="en-US"/>
        </w:rPr>
      </w:pPr>
      <w:r>
        <w:rPr>
          <w:lang w:val="en-US"/>
        </w:rPr>
        <w:t xml:space="preserve">It’s hard to draw a definitive conclusion based on very scarce data for direct, but it is worth pointing out that at least one company provided results for an extremely simple model (120 bytes, not KB in side and 60 FLOPS – not KFLOPS). There is one result with 20MFLOPS which is clearly an outlier, because the majority provided results of models with far lesser complexity. </w:t>
      </w:r>
    </w:p>
    <w:p w14:paraId="6D4B7348" w14:textId="7F3E568D" w:rsidR="00756388" w:rsidRPr="001167E3" w:rsidRDefault="00756388" w:rsidP="00756388">
      <w:pPr>
        <w:rPr>
          <w:b/>
          <w:bCs/>
          <w:lang w:val="en-US"/>
        </w:rPr>
      </w:pPr>
      <w:r w:rsidRPr="001167E3">
        <w:rPr>
          <w:b/>
          <w:bCs/>
          <w:lang w:val="en-US"/>
        </w:rPr>
        <w:t xml:space="preserve">Observation </w:t>
      </w:r>
      <w:r w:rsidR="00122D81">
        <w:rPr>
          <w:b/>
          <w:bCs/>
          <w:lang w:val="en-US"/>
        </w:rPr>
        <w:t>5</w:t>
      </w:r>
      <w:r w:rsidRPr="001167E3">
        <w:rPr>
          <w:b/>
          <w:bCs/>
          <w:lang w:val="en-US"/>
        </w:rPr>
        <w:t xml:space="preserve">: direct prediction models are far simpler in terms of model size, computational complexity and therefore power compared to indirect. </w:t>
      </w:r>
    </w:p>
    <w:p w14:paraId="2FD7E6B5" w14:textId="33E5021E" w:rsidR="00494D17" w:rsidRDefault="00756388" w:rsidP="00494D17">
      <w:pPr>
        <w:rPr>
          <w:lang w:val="en-US"/>
        </w:rPr>
      </w:pPr>
      <w:r>
        <w:rPr>
          <w:lang w:val="en-US"/>
        </w:rPr>
        <w:lastRenderedPageBreak/>
        <w:t xml:space="preserve">Having said that, direct has also issues – in particular, it cannot provide a prediction of RSRP measurement, which may be needed at least in some cases. Therefore, a natural choice for a good UE implementation is to have both. </w:t>
      </w:r>
    </w:p>
    <w:p w14:paraId="757AF4B3" w14:textId="4CF16471" w:rsidR="00494D17" w:rsidRPr="00494D17" w:rsidRDefault="00494D17" w:rsidP="00494D17">
      <w:pPr>
        <w:rPr>
          <w:b/>
          <w:bCs/>
          <w:lang w:val="en-US"/>
        </w:rPr>
      </w:pPr>
      <w:r w:rsidRPr="00494D17">
        <w:rPr>
          <w:b/>
          <w:bCs/>
          <w:lang w:val="en-US"/>
        </w:rPr>
        <w:t>Observation 6: direct has the disadvantage of not being able to predict RSRP (if needed).</w:t>
      </w:r>
    </w:p>
    <w:p w14:paraId="1F289030" w14:textId="06F03975" w:rsidR="00494D17" w:rsidRPr="00494D17" w:rsidRDefault="00494D17" w:rsidP="00494D17">
      <w:pPr>
        <w:rPr>
          <w:b/>
          <w:bCs/>
          <w:lang w:val="en-US"/>
        </w:rPr>
      </w:pPr>
      <w:r w:rsidRPr="00494D17">
        <w:rPr>
          <w:b/>
          <w:bCs/>
          <w:lang w:val="en-US"/>
        </w:rPr>
        <w:t>Observation 7: the best implementation choice is likely to have both direct and indirect models, where direct is used most of the time (as it has significantly lower complexity) and the direct model “kicks in” only when an event is predicted (and if RSRP measurement is required).</w:t>
      </w:r>
    </w:p>
    <w:p w14:paraId="02927FFB" w14:textId="738F0DB7" w:rsidR="00756388" w:rsidRDefault="00494D17" w:rsidP="00494D17">
      <w:pPr>
        <w:rPr>
          <w:lang w:val="en-US"/>
        </w:rPr>
      </w:pPr>
      <w:r>
        <w:rPr>
          <w:lang w:val="en-US"/>
        </w:rPr>
        <w:t xml:space="preserve">They can be deployed, for example, as illustrated below. </w:t>
      </w:r>
      <w:r w:rsidR="00756388">
        <w:rPr>
          <w:lang w:val="en-US"/>
        </w:rPr>
        <w:t>In this example:</w:t>
      </w:r>
    </w:p>
    <w:p w14:paraId="4944662C" w14:textId="77777777" w:rsidR="00756388" w:rsidRDefault="00756388" w:rsidP="00756388">
      <w:pPr>
        <w:pStyle w:val="ListParagraph"/>
        <w:numPr>
          <w:ilvl w:val="0"/>
          <w:numId w:val="21"/>
        </w:numPr>
        <w:rPr>
          <w:lang w:val="en-US"/>
        </w:rPr>
      </w:pPr>
      <w:r>
        <w:rPr>
          <w:lang w:val="en-US"/>
        </w:rPr>
        <w:t>A simpler direct model runs all the time</w:t>
      </w:r>
    </w:p>
    <w:p w14:paraId="60108359" w14:textId="5CD65C1C" w:rsidR="00756388" w:rsidRDefault="00756388" w:rsidP="00756388">
      <w:pPr>
        <w:pStyle w:val="ListParagraph"/>
        <w:numPr>
          <w:ilvl w:val="0"/>
          <w:numId w:val="21"/>
        </w:numPr>
        <w:rPr>
          <w:lang w:val="en-US"/>
        </w:rPr>
      </w:pPr>
      <w:r>
        <w:rPr>
          <w:lang w:val="en-US"/>
        </w:rPr>
        <w:t xml:space="preserve">A more complex indirect model is invoked only if an event is predicted </w:t>
      </w:r>
    </w:p>
    <w:p w14:paraId="0E6E081B" w14:textId="06996363" w:rsidR="00494D17" w:rsidRDefault="00756388" w:rsidP="00494D17">
      <w:pPr>
        <w:keepNext/>
        <w:jc w:val="center"/>
      </w:pPr>
      <w:r w:rsidRPr="005D112D">
        <w:rPr>
          <w:noProof/>
          <w:lang w:val="en-US"/>
        </w:rPr>
        <w:drawing>
          <wp:inline distT="0" distB="0" distL="0" distR="0" wp14:anchorId="6FA0CCE3" wp14:editId="06E10300">
            <wp:extent cx="4838700" cy="3022600"/>
            <wp:effectExtent l="0" t="0" r="0" b="0"/>
            <wp:docPr id="1832186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186915" name=""/>
                    <pic:cNvPicPr/>
                  </pic:nvPicPr>
                  <pic:blipFill>
                    <a:blip r:embed="rId11"/>
                    <a:stretch>
                      <a:fillRect/>
                    </a:stretch>
                  </pic:blipFill>
                  <pic:spPr>
                    <a:xfrm>
                      <a:off x="0" y="0"/>
                      <a:ext cx="4838700" cy="3022600"/>
                    </a:xfrm>
                    <a:prstGeom prst="rect">
                      <a:avLst/>
                    </a:prstGeom>
                  </pic:spPr>
                </pic:pic>
              </a:graphicData>
            </a:graphic>
          </wp:inline>
        </w:drawing>
      </w:r>
    </w:p>
    <w:p w14:paraId="748BC43F" w14:textId="5FEA01A1" w:rsidR="00756388" w:rsidRPr="005D112D" w:rsidRDefault="00494D17" w:rsidP="00494D17">
      <w:pPr>
        <w:pStyle w:val="Caption"/>
        <w:jc w:val="center"/>
        <w:rPr>
          <w:lang w:val="en-US"/>
        </w:rPr>
      </w:pPr>
      <w:r>
        <w:t xml:space="preserve">Figure </w:t>
      </w:r>
      <w:fldSimple w:instr=" SEQ Figure \* ARABIC ">
        <w:r>
          <w:rPr>
            <w:noProof/>
          </w:rPr>
          <w:t>2</w:t>
        </w:r>
      </w:fldSimple>
      <w:r>
        <w:rPr>
          <w:lang w:val="en-US"/>
        </w:rPr>
        <w:t>: illustration of how direct and indirect prediction can be used together (for better accuracy and lower energy consumption)</w:t>
      </w:r>
    </w:p>
    <w:p w14:paraId="30F499B4" w14:textId="2436CC0A" w:rsidR="00756388" w:rsidRDefault="00756388" w:rsidP="00756388">
      <w:pPr>
        <w:rPr>
          <w:b/>
          <w:bCs/>
          <w:lang w:val="en-US"/>
        </w:rPr>
      </w:pPr>
      <w:r w:rsidRPr="005D112D">
        <w:rPr>
          <w:b/>
          <w:bCs/>
          <w:lang w:val="en-US"/>
        </w:rPr>
        <w:t xml:space="preserve">Proposal </w:t>
      </w:r>
      <w:r w:rsidR="00122D81">
        <w:rPr>
          <w:b/>
          <w:bCs/>
          <w:lang w:val="en-US"/>
        </w:rPr>
        <w:t>3</w:t>
      </w:r>
      <w:r w:rsidRPr="005D112D">
        <w:rPr>
          <w:b/>
          <w:bCs/>
          <w:lang w:val="en-US"/>
        </w:rPr>
        <w:t>: No need to explicitly mention direct or indirect prediction in normative specifications; remove Note 7 in the WID.</w:t>
      </w:r>
    </w:p>
    <w:p w14:paraId="776B9914" w14:textId="784EEAC2" w:rsidR="007452C1" w:rsidRDefault="007452C1" w:rsidP="00756388">
      <w:pPr>
        <w:rPr>
          <w:lang w:val="en-US"/>
        </w:rPr>
      </w:pPr>
      <w:r>
        <w:rPr>
          <w:lang w:val="en-US"/>
        </w:rPr>
        <w:t xml:space="preserve">Furthermore, as an additional optimization, </w:t>
      </w:r>
      <w:r w:rsidRPr="007452C1">
        <w:rPr>
          <w:lang w:val="en-US"/>
        </w:rPr>
        <w:t>with direct event prediction reporting, UE can have option to report last several actual measurements so that NW can do RRM prediction with the reported actual measurement with NW sided model to check prediction accuracy itself. Therefore, direct event prediction from UE gives more control at NW side for RRM prediction, signaling overhead reduction with no RRM prediction reporting. Therefore, overall direct event prediction reporting with or without RRM measurements is more general.</w:t>
      </w:r>
    </w:p>
    <w:p w14:paraId="32B948C3" w14:textId="6C4A3F4F" w:rsidR="00756388" w:rsidRPr="00047B6A" w:rsidRDefault="00756388" w:rsidP="00756388">
      <w:pPr>
        <w:rPr>
          <w:lang w:val="en-US"/>
        </w:rPr>
      </w:pPr>
      <w:r w:rsidRPr="00047B6A">
        <w:rPr>
          <w:lang w:val="en-US"/>
        </w:rPr>
        <w:t>Indeed, this perfectly aligns with the following text from the WID</w:t>
      </w:r>
      <w:r>
        <w:rPr>
          <w:lang w:val="en-US"/>
        </w:rPr>
        <w:t>: “</w:t>
      </w:r>
      <w:r w:rsidRPr="00047B6A">
        <w:rPr>
          <w:bCs/>
          <w:i/>
          <w:iCs/>
          <w:lang w:eastAsia="zh-CN"/>
        </w:rPr>
        <w:t>model related choices can be up to UE’s implementation</w:t>
      </w:r>
      <w:r w:rsidRPr="00047B6A">
        <w:rPr>
          <w:rFonts w:hint="eastAsia"/>
          <w:bCs/>
          <w:i/>
          <w:iCs/>
          <w:lang w:eastAsia="zh-CN"/>
        </w:rPr>
        <w:t>.</w:t>
      </w:r>
      <w:r>
        <w:rPr>
          <w:bCs/>
          <w:lang w:eastAsia="zh-CN"/>
        </w:rPr>
        <w:t>”</w:t>
      </w:r>
    </w:p>
    <w:p w14:paraId="3ED7CE44" w14:textId="5171CF2A" w:rsidR="00A61698" w:rsidRDefault="00E27AD7" w:rsidP="00122D81">
      <w:pPr>
        <w:pStyle w:val="Heading2"/>
        <w:rPr>
          <w:lang w:val="en-US"/>
        </w:rPr>
      </w:pPr>
      <w:r w:rsidRPr="002450F0">
        <w:rPr>
          <w:lang w:val="en-US"/>
        </w:rPr>
        <w:t>2.2 Inference configuration</w:t>
      </w:r>
      <w:r w:rsidR="00122D81">
        <w:rPr>
          <w:lang w:val="en-US"/>
        </w:rPr>
        <w:t xml:space="preserve"> and reporting</w:t>
      </w:r>
    </w:p>
    <w:p w14:paraId="6F93347F" w14:textId="77777777" w:rsidR="00A61698" w:rsidRPr="002450F0" w:rsidRDefault="00A61698" w:rsidP="00A61698">
      <w:pPr>
        <w:rPr>
          <w:lang w:val="en-US"/>
        </w:rPr>
      </w:pPr>
      <w:r w:rsidRPr="002450F0">
        <w:rPr>
          <w:lang w:val="en-US"/>
        </w:rPr>
        <w:t>Legacy RRM events A1-A6 are defined to be triggered when specific conditions are met based on actual, L3-filtered measurement results. AI/ML-based mobility introduces a new paradigm where events can be triggered based on predicted measurement results. Attempting to overload the existing A1-A6 event definitions to accommodate both actual and predicted triggers</w:t>
      </w:r>
      <w:r>
        <w:rPr>
          <w:lang w:val="en-US"/>
        </w:rPr>
        <w:t>, while technically feasible,</w:t>
      </w:r>
      <w:r w:rsidRPr="002450F0">
        <w:rPr>
          <w:lang w:val="en-US"/>
        </w:rPr>
        <w:t xml:space="preserve"> would introduce </w:t>
      </w:r>
      <w:r>
        <w:rPr>
          <w:lang w:val="en-US"/>
        </w:rPr>
        <w:t>additional unnecessary</w:t>
      </w:r>
      <w:r w:rsidRPr="002450F0">
        <w:rPr>
          <w:lang w:val="en-US"/>
        </w:rPr>
        <w:t xml:space="preserve"> complexity into the RRC specification. It would require additional flags and logic within the `ReportConfigNR` to differentiate between triggers, manage interactions, and define UE behavior in all possible combinations.</w:t>
      </w:r>
    </w:p>
    <w:p w14:paraId="7D51CFA3" w14:textId="77777777" w:rsidR="00A61698" w:rsidRDefault="00A61698" w:rsidP="00A61698">
      <w:pPr>
        <w:rPr>
          <w:lang w:val="en-US"/>
        </w:rPr>
      </w:pPr>
      <w:r w:rsidRPr="002450F0">
        <w:rPr>
          <w:lang w:val="en-US"/>
        </w:rPr>
        <w:t xml:space="preserve">A cleaner and more forward-compatible approach is to define a new, parallel set of events specifically for AI/ML predictions (e.g., `predictedA1` - `predictedA6`). This creates a clear separation between legacy mobility procedures and AI/ML-based procedures. It allows the network to configure prediction-based policies independently, simplifies the specification by avoiding convoluted extensions to existing IEs, and provides a clear foundation for any future </w:t>
      </w:r>
      <w:r w:rsidRPr="002450F0">
        <w:rPr>
          <w:lang w:val="en-US"/>
        </w:rPr>
        <w:lastRenderedPageBreak/>
        <w:t>enhancements. This approach ensures that the introduction of AI/ML capabilities does not compromise the stability and clarity of the established RRM framework.</w:t>
      </w:r>
    </w:p>
    <w:p w14:paraId="4697A8CF" w14:textId="77777777" w:rsidR="00A61698" w:rsidRPr="002450F0" w:rsidRDefault="00A61698" w:rsidP="00A61698">
      <w:pPr>
        <w:rPr>
          <w:lang w:val="en-US"/>
        </w:rPr>
      </w:pPr>
      <w:r>
        <w:rPr>
          <w:lang w:val="en-US"/>
        </w:rPr>
        <w:t xml:space="preserve">One particular issue to resolve, if we are to reuse the legacy events, is how to go about the </w:t>
      </w:r>
      <w:r w:rsidRPr="00A65F84">
        <w:rPr>
          <w:lang w:val="en-US"/>
        </w:rPr>
        <w:t>MeasTriggerQuantity</w:t>
      </w:r>
      <w:r>
        <w:rPr>
          <w:lang w:val="en-US"/>
        </w:rPr>
        <w:t>, which supports RSRP, RSRQ and SINR. The problem there is that in the SI we have only evaluated RSRP prediction and there is no indication whether and with what accuracy RSRQ and SINR prediction would work. We can, of course, clarify what’s applicable to which case in the procedural text, but this is generally a bad practice (unfortunately sometimes used in 38.331 which is better to avoid).</w:t>
      </w:r>
    </w:p>
    <w:p w14:paraId="1D98728B" w14:textId="77777777" w:rsidR="00FA6867" w:rsidRPr="00A65F84" w:rsidRDefault="00FA6867" w:rsidP="00FA6867">
      <w:pPr>
        <w:rPr>
          <w:b/>
          <w:bCs/>
          <w:lang w:val="en-US"/>
        </w:rPr>
      </w:pPr>
      <w:r w:rsidRPr="00A65F84">
        <w:rPr>
          <w:b/>
          <w:bCs/>
          <w:lang w:val="en-US"/>
        </w:rPr>
        <w:t xml:space="preserve">Proposal </w:t>
      </w:r>
      <w:r>
        <w:rPr>
          <w:b/>
          <w:bCs/>
          <w:lang w:val="en-US"/>
        </w:rPr>
        <w:t>4</w:t>
      </w:r>
      <w:r w:rsidRPr="00A65F84">
        <w:rPr>
          <w:b/>
          <w:bCs/>
          <w:lang w:val="en-US"/>
        </w:rPr>
        <w:t>: New A-like events (as opposed to extending A1-A6) are defined for AI/ML prediction.</w:t>
      </w:r>
    </w:p>
    <w:p w14:paraId="377DC8F5" w14:textId="4C079A0C" w:rsidR="00A61698" w:rsidRDefault="00122D81" w:rsidP="00A61698">
      <w:pPr>
        <w:rPr>
          <w:lang w:val="en-US"/>
        </w:rPr>
      </w:pPr>
      <w:r>
        <w:rPr>
          <w:lang w:val="en-US"/>
        </w:rPr>
        <w:t xml:space="preserve">Beyond that, as we argue in [1], we don’t see any particular need for additional oinference configuration and reporting signaling enhancements. </w:t>
      </w:r>
    </w:p>
    <w:p w14:paraId="4C50DA5A" w14:textId="27A0AE20" w:rsidR="00487439" w:rsidRPr="00494D17" w:rsidRDefault="00494D17" w:rsidP="00494D17">
      <w:pPr>
        <w:rPr>
          <w:lang w:val="en-US"/>
        </w:rPr>
      </w:pPr>
      <w:r w:rsidRPr="00FE0C37">
        <w:rPr>
          <w:lang w:val="en-US"/>
        </w:rPr>
        <w:t>Note: accuracy many be need</w:t>
      </w:r>
      <w:r>
        <w:rPr>
          <w:lang w:val="en-US"/>
        </w:rPr>
        <w:t xml:space="preserve"> to be reported alongside the predicted measurement results</w:t>
      </w:r>
      <w:r w:rsidRPr="00FE0C37">
        <w:rPr>
          <w:lang w:val="en-US"/>
        </w:rPr>
        <w:t xml:space="preserve"> for performance monitoring</w:t>
      </w:r>
      <w:r>
        <w:rPr>
          <w:lang w:val="en-US"/>
        </w:rPr>
        <w:t>, but since the guidance for this meeting is not to discuss performance monitoring the proposal above is phrased as it is</w:t>
      </w:r>
      <w:r w:rsidRPr="00FE0C37">
        <w:rPr>
          <w:lang w:val="en-US"/>
        </w:rPr>
        <w:t>.</w:t>
      </w:r>
    </w:p>
    <w:p w14:paraId="34C99636" w14:textId="3C58F20A" w:rsidR="008E7986" w:rsidRPr="00BE7552" w:rsidRDefault="008E7986" w:rsidP="008E7986">
      <w:pPr>
        <w:pStyle w:val="Heading1"/>
        <w:rPr>
          <w:lang w:val="en-US"/>
        </w:rPr>
      </w:pPr>
      <w:r w:rsidRPr="00BE7552">
        <w:rPr>
          <w:lang w:val="en-US"/>
        </w:rPr>
        <w:t>3</w:t>
      </w:r>
      <w:r w:rsidRPr="00BE7552">
        <w:rPr>
          <w:lang w:val="en-US"/>
        </w:rPr>
        <w:tab/>
      </w:r>
      <w:r w:rsidR="003C183A" w:rsidRPr="00BE7552">
        <w:rPr>
          <w:lang w:val="en-US"/>
        </w:rPr>
        <w:t>Proposals</w:t>
      </w:r>
    </w:p>
    <w:p w14:paraId="028B69E3" w14:textId="77777777" w:rsidR="00A648EC" w:rsidRDefault="00A648EC" w:rsidP="0062595A">
      <w:pPr>
        <w:spacing w:after="0"/>
        <w:rPr>
          <w:lang w:val="en-US"/>
        </w:rPr>
      </w:pPr>
      <w:r>
        <w:rPr>
          <w:lang w:val="en-US"/>
        </w:rPr>
        <w:t>Observation 1: periodic measurement reporting is rarely used for mobility.</w:t>
      </w:r>
    </w:p>
    <w:p w14:paraId="2F5903B0" w14:textId="77777777" w:rsidR="00A648EC" w:rsidRDefault="00A648EC" w:rsidP="0062595A">
      <w:pPr>
        <w:spacing w:after="0"/>
        <w:rPr>
          <w:lang w:val="en-US"/>
        </w:rPr>
      </w:pPr>
    </w:p>
    <w:p w14:paraId="3B10C00B" w14:textId="77777777" w:rsidR="00A648EC" w:rsidRDefault="00A648EC" w:rsidP="0062595A">
      <w:pPr>
        <w:spacing w:after="0"/>
        <w:rPr>
          <w:lang w:val="en-US"/>
        </w:rPr>
      </w:pPr>
      <w:r>
        <w:rPr>
          <w:lang w:val="en-US"/>
        </w:rPr>
        <w:t>Observation 2: temporal domain case A prediction is particularly well suited for event-triggered measurements; furthermore, it is not clear at all whether, how, and for what purpose case A can be used for periodic measurements.</w:t>
      </w:r>
    </w:p>
    <w:p w14:paraId="13854E2D" w14:textId="77777777" w:rsidR="00A648EC" w:rsidRDefault="00A648EC" w:rsidP="0062595A">
      <w:pPr>
        <w:spacing w:after="0"/>
        <w:rPr>
          <w:lang w:val="en-US"/>
        </w:rPr>
      </w:pPr>
    </w:p>
    <w:p w14:paraId="46C0DE9D" w14:textId="77777777" w:rsidR="00A648EC" w:rsidRPr="00A648EC" w:rsidRDefault="00A648EC" w:rsidP="0062595A">
      <w:pPr>
        <w:spacing w:after="0"/>
        <w:rPr>
          <w:b/>
          <w:bCs/>
          <w:lang w:val="en-US"/>
        </w:rPr>
      </w:pPr>
      <w:r w:rsidRPr="00A648EC">
        <w:rPr>
          <w:b/>
          <w:bCs/>
          <w:lang w:val="en-US"/>
        </w:rPr>
        <w:t>Proposal 1: Temporal domain case A prediction is used for event-triggered measurements only.</w:t>
      </w:r>
    </w:p>
    <w:p w14:paraId="71C887BC" w14:textId="77777777" w:rsidR="00A648EC" w:rsidRDefault="00A648EC" w:rsidP="0062595A">
      <w:pPr>
        <w:spacing w:after="0"/>
        <w:rPr>
          <w:lang w:val="en-US"/>
        </w:rPr>
      </w:pPr>
    </w:p>
    <w:p w14:paraId="5CD67E02" w14:textId="77777777" w:rsidR="00A648EC" w:rsidRDefault="00A648EC" w:rsidP="0062595A">
      <w:pPr>
        <w:spacing w:after="0"/>
        <w:rPr>
          <w:lang w:val="en-US"/>
        </w:rPr>
      </w:pPr>
      <w:r>
        <w:rPr>
          <w:lang w:val="en-US"/>
        </w:rPr>
        <w:t>Observation 3: temporal domain case B and frequency domain prediction target the goals of measurement effort reduction and are equally applicable to event-triggered or periodic measurements.</w:t>
      </w:r>
    </w:p>
    <w:p w14:paraId="28ED0F72" w14:textId="77777777" w:rsidR="00A648EC" w:rsidRDefault="00A648EC" w:rsidP="0062595A">
      <w:pPr>
        <w:spacing w:after="0"/>
        <w:rPr>
          <w:lang w:val="en-US"/>
        </w:rPr>
      </w:pPr>
    </w:p>
    <w:p w14:paraId="3C0BFBA6" w14:textId="77777777" w:rsidR="00A648EC" w:rsidRPr="00A648EC" w:rsidRDefault="00A648EC" w:rsidP="0062595A">
      <w:pPr>
        <w:spacing w:after="0"/>
        <w:rPr>
          <w:b/>
          <w:bCs/>
          <w:lang w:val="en-US"/>
        </w:rPr>
      </w:pPr>
      <w:r w:rsidRPr="00A648EC">
        <w:rPr>
          <w:b/>
          <w:bCs/>
          <w:lang w:val="en-US"/>
        </w:rPr>
        <w:t>Proposal 2: Temporal domain case B prediction and frequency domain prediction can be used for either event-triggered or periodic measurements.</w:t>
      </w:r>
    </w:p>
    <w:p w14:paraId="557E7213" w14:textId="77777777" w:rsidR="00A648EC" w:rsidRDefault="00A648EC" w:rsidP="0062595A">
      <w:pPr>
        <w:spacing w:after="0"/>
        <w:rPr>
          <w:lang w:val="en-US"/>
        </w:rPr>
      </w:pPr>
    </w:p>
    <w:p w14:paraId="2FC660A9" w14:textId="65EDE674" w:rsidR="00A648EC" w:rsidRDefault="00A648EC" w:rsidP="0062595A">
      <w:pPr>
        <w:spacing w:after="0"/>
        <w:rPr>
          <w:lang w:val="en-US"/>
        </w:rPr>
      </w:pPr>
      <w:r w:rsidRPr="00A648EC">
        <w:rPr>
          <w:lang w:val="en-US"/>
        </w:rPr>
        <w:t>Observation 4: direct vs. indirect event prediction is a UE implementation choice. Why, and how, can RAN2 preclude particular implementation choices?</w:t>
      </w:r>
    </w:p>
    <w:p w14:paraId="3C0234BF" w14:textId="77777777" w:rsidR="00A648EC" w:rsidRDefault="00A648EC" w:rsidP="0062595A">
      <w:pPr>
        <w:spacing w:after="0"/>
        <w:rPr>
          <w:lang w:val="en-US"/>
        </w:rPr>
      </w:pPr>
    </w:p>
    <w:p w14:paraId="4C91EBA0" w14:textId="77777777" w:rsidR="00A648EC" w:rsidRDefault="00A648EC" w:rsidP="0062595A">
      <w:pPr>
        <w:spacing w:after="0"/>
        <w:rPr>
          <w:lang w:val="en-US"/>
        </w:rPr>
      </w:pPr>
      <w:r>
        <w:rPr>
          <w:lang w:val="en-US"/>
        </w:rPr>
        <w:t>Observation 5: direct prediction models are far simpler in terms of model size, computational complexity and therefore power compared to indirect.</w:t>
      </w:r>
    </w:p>
    <w:p w14:paraId="1C5126C7" w14:textId="77777777" w:rsidR="00A648EC" w:rsidRDefault="00A648EC" w:rsidP="0062595A">
      <w:pPr>
        <w:spacing w:after="0"/>
        <w:rPr>
          <w:lang w:val="en-US"/>
        </w:rPr>
      </w:pPr>
    </w:p>
    <w:p w14:paraId="48C356DE" w14:textId="77777777" w:rsidR="00A648EC" w:rsidRDefault="00A648EC" w:rsidP="0062595A">
      <w:pPr>
        <w:spacing w:after="0"/>
        <w:rPr>
          <w:lang w:val="en-US"/>
        </w:rPr>
      </w:pPr>
      <w:r>
        <w:rPr>
          <w:lang w:val="en-US"/>
        </w:rPr>
        <w:t>Observation 6: direct has the disadvantage of not being able to predict RSRP (if needed).</w:t>
      </w:r>
    </w:p>
    <w:p w14:paraId="546D81E0" w14:textId="77777777" w:rsidR="00A648EC" w:rsidRDefault="00A648EC" w:rsidP="0062595A">
      <w:pPr>
        <w:spacing w:after="0"/>
        <w:rPr>
          <w:lang w:val="en-US"/>
        </w:rPr>
      </w:pPr>
    </w:p>
    <w:p w14:paraId="1F319B17" w14:textId="77777777" w:rsidR="00A648EC" w:rsidRDefault="00A648EC" w:rsidP="0062595A">
      <w:pPr>
        <w:spacing w:after="0"/>
        <w:rPr>
          <w:lang w:val="en-US"/>
        </w:rPr>
      </w:pPr>
      <w:r>
        <w:rPr>
          <w:lang w:val="en-US"/>
        </w:rPr>
        <w:t>Observation 7: the best implementation choice is likely to have both direct and indirect models, where direct is used most of the time (as it has significantly lower complexity) and the direct model “kicks in” only when an event is predicted (and if RSRP measurement is required).</w:t>
      </w:r>
    </w:p>
    <w:p w14:paraId="1CE067E4" w14:textId="77777777" w:rsidR="00A648EC" w:rsidRDefault="00A648EC" w:rsidP="0062595A">
      <w:pPr>
        <w:spacing w:after="0"/>
        <w:rPr>
          <w:lang w:val="en-US"/>
        </w:rPr>
      </w:pPr>
    </w:p>
    <w:p w14:paraId="243A6563" w14:textId="77777777" w:rsidR="00A648EC" w:rsidRPr="00A648EC" w:rsidRDefault="00A648EC" w:rsidP="0062595A">
      <w:pPr>
        <w:spacing w:after="0"/>
        <w:rPr>
          <w:b/>
          <w:bCs/>
          <w:lang w:val="en-US"/>
        </w:rPr>
      </w:pPr>
      <w:r w:rsidRPr="00A648EC">
        <w:rPr>
          <w:b/>
          <w:bCs/>
          <w:lang w:val="en-US"/>
        </w:rPr>
        <w:t>Proposal 3: No need to explicitly mention direct or indirect prediction in normative specifications; remove Note 7 in the WID.</w:t>
      </w:r>
    </w:p>
    <w:p w14:paraId="74350ED7" w14:textId="77777777" w:rsidR="00A648EC" w:rsidRPr="00A648EC" w:rsidRDefault="00A648EC" w:rsidP="0062595A">
      <w:pPr>
        <w:spacing w:after="0"/>
        <w:rPr>
          <w:b/>
          <w:bCs/>
          <w:lang w:val="en-US"/>
        </w:rPr>
      </w:pPr>
    </w:p>
    <w:p w14:paraId="05CC6F0A" w14:textId="32874551" w:rsidR="005E69AE" w:rsidRPr="00BE7552" w:rsidRDefault="00A648EC" w:rsidP="0062595A">
      <w:pPr>
        <w:spacing w:after="0"/>
        <w:rPr>
          <w:lang w:val="en-US"/>
        </w:rPr>
      </w:pPr>
      <w:r w:rsidRPr="00A648EC">
        <w:rPr>
          <w:b/>
          <w:bCs/>
          <w:lang w:val="en-US"/>
        </w:rPr>
        <w:t>Proposal 4: New A-like events (as opposed to extending A1-A6) are defined for AI/ML prediction.</w:t>
      </w:r>
      <w:r w:rsidR="0062595A" w:rsidRPr="00BE7552">
        <w:rPr>
          <w:lang w:val="en-US"/>
        </w:rPr>
        <w:br w:type="page"/>
      </w:r>
    </w:p>
    <w:p w14:paraId="5D2DDC34" w14:textId="77777777" w:rsidR="005E69AE" w:rsidRPr="00BE7552" w:rsidRDefault="005E69AE" w:rsidP="005E69AE">
      <w:pPr>
        <w:pStyle w:val="Heading1"/>
        <w:rPr>
          <w:lang w:val="en-US"/>
        </w:rPr>
      </w:pPr>
      <w:r w:rsidRPr="00BE7552">
        <w:rPr>
          <w:lang w:val="en-US"/>
        </w:rPr>
        <w:lastRenderedPageBreak/>
        <w:t>4</w:t>
      </w:r>
      <w:r w:rsidRPr="00BE7552">
        <w:rPr>
          <w:lang w:val="en-US"/>
        </w:rPr>
        <w:tab/>
        <w:t>References</w:t>
      </w:r>
    </w:p>
    <w:p w14:paraId="21F9D74F" w14:textId="7BAAFA37" w:rsidR="005E69AE" w:rsidRDefault="00A11470" w:rsidP="005E69AE">
      <w:pPr>
        <w:rPr>
          <w:lang w:val="en-US"/>
        </w:rPr>
      </w:pPr>
      <w:r>
        <w:rPr>
          <w:lang w:val="en-US"/>
        </w:rPr>
        <w:t>[1]</w:t>
      </w:r>
      <w:r>
        <w:rPr>
          <w:lang w:val="en-US"/>
        </w:rPr>
        <w:tab/>
      </w:r>
      <w:r w:rsidR="008D5E66" w:rsidRPr="008D5E66">
        <w:rPr>
          <w:lang w:val="en-US"/>
        </w:rPr>
        <w:t>R2-2600451</w:t>
      </w:r>
      <w:r>
        <w:rPr>
          <w:lang w:val="en-US"/>
        </w:rPr>
        <w:tab/>
        <w:t>Measurement prediction Apple</w:t>
      </w:r>
    </w:p>
    <w:p w14:paraId="710D9180" w14:textId="453B7C0B" w:rsidR="00122D81" w:rsidRDefault="00122D81" w:rsidP="005E69AE">
      <w:pPr>
        <w:rPr>
          <w:lang w:val="en-US"/>
        </w:rPr>
      </w:pPr>
      <w:r>
        <w:rPr>
          <w:lang w:val="en-US"/>
        </w:rPr>
        <w:t xml:space="preserve">[2] </w:t>
      </w:r>
      <w:r w:rsidR="00F54586">
        <w:rPr>
          <w:lang w:val="en-US"/>
        </w:rPr>
        <w:tab/>
      </w:r>
      <w:r w:rsidR="00F54586" w:rsidRPr="00F54586">
        <w:rPr>
          <w:lang w:val="en-US"/>
        </w:rPr>
        <w:t>RP-252899</w:t>
      </w:r>
      <w:r w:rsidR="00F54586">
        <w:rPr>
          <w:lang w:val="en-US"/>
        </w:rPr>
        <w:tab/>
      </w:r>
      <w:r w:rsidR="00F54586" w:rsidRPr="00F54586">
        <w:rPr>
          <w:lang w:val="en-US"/>
        </w:rPr>
        <w:t>Revised WI: Artificial Intelligence (AI)/Machine Learning (ML) for mobility in NR</w:t>
      </w:r>
    </w:p>
    <w:p w14:paraId="2E064F39" w14:textId="77D36BCA" w:rsidR="00F54586" w:rsidRPr="00F54586" w:rsidRDefault="00122D81" w:rsidP="00F54586">
      <w:r>
        <w:rPr>
          <w:lang w:val="en-US"/>
        </w:rPr>
        <w:t xml:space="preserve">[3] </w:t>
      </w:r>
      <w:r w:rsidR="00F54586" w:rsidRPr="00F54586">
        <w:t>TR 38.744</w:t>
      </w:r>
      <w:r w:rsidR="00F54586">
        <w:tab/>
      </w:r>
      <w:r w:rsidR="00F54586" w:rsidRPr="00F54586">
        <w:t>Study on Artificial Intelligence (AI)/Machine Learning (ML) for</w:t>
      </w:r>
      <w:r w:rsidR="00F54586">
        <w:t xml:space="preserve"> </w:t>
      </w:r>
      <w:r w:rsidR="00F54586" w:rsidRPr="00F54586">
        <w:t>Mobility in NR;</w:t>
      </w:r>
    </w:p>
    <w:p w14:paraId="2A3E7F2E" w14:textId="431A0D48" w:rsidR="00122D81" w:rsidRPr="00BE7552" w:rsidRDefault="00122D81" w:rsidP="005E69AE">
      <w:pPr>
        <w:rPr>
          <w:lang w:val="en-US"/>
        </w:rPr>
      </w:pPr>
    </w:p>
    <w:bookmarkEnd w:id="0"/>
    <w:p w14:paraId="08C5B690" w14:textId="77777777" w:rsidR="002675F0" w:rsidRPr="00BE7552" w:rsidRDefault="002675F0" w:rsidP="002675F0">
      <w:pPr>
        <w:rPr>
          <w:lang w:val="en-US"/>
        </w:rPr>
      </w:pPr>
    </w:p>
    <w:sectPr w:rsidR="002675F0" w:rsidRPr="00BE7552"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AFA2C" w14:textId="77777777" w:rsidR="00EA6A55" w:rsidRDefault="00EA6A55">
      <w:r>
        <w:separator/>
      </w:r>
    </w:p>
  </w:endnote>
  <w:endnote w:type="continuationSeparator" w:id="0">
    <w:p w14:paraId="1673DF4B" w14:textId="77777777" w:rsidR="00EA6A55" w:rsidRDefault="00EA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0F8E3" w14:textId="77777777" w:rsidR="00EA6A55" w:rsidRDefault="00EA6A55">
      <w:r>
        <w:separator/>
      </w:r>
    </w:p>
  </w:footnote>
  <w:footnote w:type="continuationSeparator" w:id="0">
    <w:p w14:paraId="461529C4" w14:textId="77777777" w:rsidR="00EA6A55" w:rsidRDefault="00EA6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7834EF"/>
    <w:multiLevelType w:val="hybridMultilevel"/>
    <w:tmpl w:val="EBACB7D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181910"/>
    <w:multiLevelType w:val="hybridMultilevel"/>
    <w:tmpl w:val="8112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1"/>
  </w:num>
  <w:num w:numId="4" w16cid:durableId="898367832">
    <w:abstractNumId w:val="15"/>
  </w:num>
  <w:num w:numId="5" w16cid:durableId="1422750717">
    <w:abstractNumId w:val="2"/>
  </w:num>
  <w:num w:numId="6" w16cid:durableId="1440370720">
    <w:abstractNumId w:val="2"/>
  </w:num>
  <w:num w:numId="7" w16cid:durableId="917642130">
    <w:abstractNumId w:val="11"/>
  </w:num>
  <w:num w:numId="8" w16cid:durableId="102581882">
    <w:abstractNumId w:val="4"/>
  </w:num>
  <w:num w:numId="9" w16cid:durableId="950668903">
    <w:abstractNumId w:val="7"/>
  </w:num>
  <w:num w:numId="10" w16cid:durableId="1134522811">
    <w:abstractNumId w:val="10"/>
  </w:num>
  <w:num w:numId="11" w16cid:durableId="542981474">
    <w:abstractNumId w:val="3"/>
  </w:num>
  <w:num w:numId="12" w16cid:durableId="290332690">
    <w:abstractNumId w:val="18"/>
  </w:num>
  <w:num w:numId="13" w16cid:durableId="517276599">
    <w:abstractNumId w:val="12"/>
  </w:num>
  <w:num w:numId="14" w16cid:durableId="1988707093">
    <w:abstractNumId w:val="6"/>
  </w:num>
  <w:num w:numId="15" w16cid:durableId="1508862586">
    <w:abstractNumId w:val="16"/>
  </w:num>
  <w:num w:numId="16" w16cid:durableId="390009328">
    <w:abstractNumId w:val="13"/>
  </w:num>
  <w:num w:numId="17" w16cid:durableId="727731125">
    <w:abstractNumId w:val="9"/>
  </w:num>
  <w:num w:numId="18" w16cid:durableId="625083321">
    <w:abstractNumId w:val="17"/>
  </w:num>
  <w:num w:numId="19" w16cid:durableId="1191600748">
    <w:abstractNumId w:val="14"/>
  </w:num>
  <w:num w:numId="20" w16cid:durableId="1571426318">
    <w:abstractNumId w:val="8"/>
  </w:num>
  <w:num w:numId="21" w16cid:durableId="18423095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52BD"/>
    <w:rsid w:val="00007FE7"/>
    <w:rsid w:val="00017881"/>
    <w:rsid w:val="00033397"/>
    <w:rsid w:val="00040095"/>
    <w:rsid w:val="00040B88"/>
    <w:rsid w:val="00051834"/>
    <w:rsid w:val="00054A22"/>
    <w:rsid w:val="0005610D"/>
    <w:rsid w:val="00062023"/>
    <w:rsid w:val="000646A3"/>
    <w:rsid w:val="000655A6"/>
    <w:rsid w:val="00080512"/>
    <w:rsid w:val="00081C9F"/>
    <w:rsid w:val="00085F66"/>
    <w:rsid w:val="000878C3"/>
    <w:rsid w:val="00097745"/>
    <w:rsid w:val="000A1DE1"/>
    <w:rsid w:val="000A365D"/>
    <w:rsid w:val="000A68F3"/>
    <w:rsid w:val="000B4DC4"/>
    <w:rsid w:val="000C050B"/>
    <w:rsid w:val="000C47C3"/>
    <w:rsid w:val="000D02E6"/>
    <w:rsid w:val="000D4F63"/>
    <w:rsid w:val="000D58AB"/>
    <w:rsid w:val="000E56A3"/>
    <w:rsid w:val="000E7969"/>
    <w:rsid w:val="000F26B0"/>
    <w:rsid w:val="000F4454"/>
    <w:rsid w:val="000F69CF"/>
    <w:rsid w:val="001012C0"/>
    <w:rsid w:val="0010469B"/>
    <w:rsid w:val="00104BC6"/>
    <w:rsid w:val="001055B3"/>
    <w:rsid w:val="00107F0B"/>
    <w:rsid w:val="00112082"/>
    <w:rsid w:val="00114E2C"/>
    <w:rsid w:val="00115A64"/>
    <w:rsid w:val="00122D81"/>
    <w:rsid w:val="00122E07"/>
    <w:rsid w:val="00132847"/>
    <w:rsid w:val="00133525"/>
    <w:rsid w:val="0015048D"/>
    <w:rsid w:val="00162D64"/>
    <w:rsid w:val="00163F71"/>
    <w:rsid w:val="00165A14"/>
    <w:rsid w:val="00165F37"/>
    <w:rsid w:val="00173B9A"/>
    <w:rsid w:val="00185443"/>
    <w:rsid w:val="00187BB2"/>
    <w:rsid w:val="001A38D5"/>
    <w:rsid w:val="001A4C42"/>
    <w:rsid w:val="001C21C3"/>
    <w:rsid w:val="001D02C2"/>
    <w:rsid w:val="001D2CF6"/>
    <w:rsid w:val="001E3E8D"/>
    <w:rsid w:val="001E55C2"/>
    <w:rsid w:val="001F0C1D"/>
    <w:rsid w:val="001F1132"/>
    <w:rsid w:val="001F168B"/>
    <w:rsid w:val="00212479"/>
    <w:rsid w:val="00216543"/>
    <w:rsid w:val="002347A2"/>
    <w:rsid w:val="00243964"/>
    <w:rsid w:val="00247926"/>
    <w:rsid w:val="002603B4"/>
    <w:rsid w:val="00261031"/>
    <w:rsid w:val="002675F0"/>
    <w:rsid w:val="002736C4"/>
    <w:rsid w:val="00276EE4"/>
    <w:rsid w:val="0027777C"/>
    <w:rsid w:val="00290EAA"/>
    <w:rsid w:val="00293E18"/>
    <w:rsid w:val="002B6339"/>
    <w:rsid w:val="002C2936"/>
    <w:rsid w:val="002C3155"/>
    <w:rsid w:val="002C7F73"/>
    <w:rsid w:val="002D4953"/>
    <w:rsid w:val="002E00EE"/>
    <w:rsid w:val="002E5DFF"/>
    <w:rsid w:val="002F5C68"/>
    <w:rsid w:val="00301FD5"/>
    <w:rsid w:val="003148B8"/>
    <w:rsid w:val="003172DC"/>
    <w:rsid w:val="00323898"/>
    <w:rsid w:val="00331B38"/>
    <w:rsid w:val="003339D3"/>
    <w:rsid w:val="003356E3"/>
    <w:rsid w:val="0034052F"/>
    <w:rsid w:val="0034378D"/>
    <w:rsid w:val="00347AD8"/>
    <w:rsid w:val="0035462D"/>
    <w:rsid w:val="00354C4D"/>
    <w:rsid w:val="003625CF"/>
    <w:rsid w:val="00372198"/>
    <w:rsid w:val="003765B8"/>
    <w:rsid w:val="003836CA"/>
    <w:rsid w:val="00390A48"/>
    <w:rsid w:val="00391627"/>
    <w:rsid w:val="00391877"/>
    <w:rsid w:val="00396F9A"/>
    <w:rsid w:val="003A0483"/>
    <w:rsid w:val="003A3586"/>
    <w:rsid w:val="003A56CB"/>
    <w:rsid w:val="003A6480"/>
    <w:rsid w:val="003B0183"/>
    <w:rsid w:val="003B2EBD"/>
    <w:rsid w:val="003B5F56"/>
    <w:rsid w:val="003C183A"/>
    <w:rsid w:val="003C3971"/>
    <w:rsid w:val="003C3F98"/>
    <w:rsid w:val="003D2985"/>
    <w:rsid w:val="003E38DF"/>
    <w:rsid w:val="003E7753"/>
    <w:rsid w:val="003F0FF0"/>
    <w:rsid w:val="003F4ABF"/>
    <w:rsid w:val="003F7D99"/>
    <w:rsid w:val="00423334"/>
    <w:rsid w:val="004250EC"/>
    <w:rsid w:val="00425F05"/>
    <w:rsid w:val="00427131"/>
    <w:rsid w:val="00431207"/>
    <w:rsid w:val="00433812"/>
    <w:rsid w:val="004345EC"/>
    <w:rsid w:val="004565B2"/>
    <w:rsid w:val="0047209D"/>
    <w:rsid w:val="00477CBC"/>
    <w:rsid w:val="004800CA"/>
    <w:rsid w:val="004826A9"/>
    <w:rsid w:val="00482CA4"/>
    <w:rsid w:val="00484824"/>
    <w:rsid w:val="00487439"/>
    <w:rsid w:val="004941CD"/>
    <w:rsid w:val="00494D17"/>
    <w:rsid w:val="00494D1F"/>
    <w:rsid w:val="004B14BD"/>
    <w:rsid w:val="004C1601"/>
    <w:rsid w:val="004C40D7"/>
    <w:rsid w:val="004C4F0C"/>
    <w:rsid w:val="004D3578"/>
    <w:rsid w:val="004E213A"/>
    <w:rsid w:val="004F0988"/>
    <w:rsid w:val="004F3340"/>
    <w:rsid w:val="004F3E3D"/>
    <w:rsid w:val="004F5D36"/>
    <w:rsid w:val="00505930"/>
    <w:rsid w:val="00505B89"/>
    <w:rsid w:val="005149F4"/>
    <w:rsid w:val="00524348"/>
    <w:rsid w:val="005257EC"/>
    <w:rsid w:val="0053388B"/>
    <w:rsid w:val="00535773"/>
    <w:rsid w:val="00542E17"/>
    <w:rsid w:val="00543E6C"/>
    <w:rsid w:val="0054567E"/>
    <w:rsid w:val="005520E6"/>
    <w:rsid w:val="005622A4"/>
    <w:rsid w:val="00565087"/>
    <w:rsid w:val="005659A8"/>
    <w:rsid w:val="00572E14"/>
    <w:rsid w:val="00577D76"/>
    <w:rsid w:val="00596E16"/>
    <w:rsid w:val="005973BE"/>
    <w:rsid w:val="005A1C73"/>
    <w:rsid w:val="005A5986"/>
    <w:rsid w:val="005B103F"/>
    <w:rsid w:val="005B5659"/>
    <w:rsid w:val="005C5001"/>
    <w:rsid w:val="005D2E01"/>
    <w:rsid w:val="005D7526"/>
    <w:rsid w:val="005E42FD"/>
    <w:rsid w:val="005E69AE"/>
    <w:rsid w:val="00602AEA"/>
    <w:rsid w:val="00607E3C"/>
    <w:rsid w:val="00612361"/>
    <w:rsid w:val="00614FDF"/>
    <w:rsid w:val="00620A55"/>
    <w:rsid w:val="006246A7"/>
    <w:rsid w:val="0062595A"/>
    <w:rsid w:val="00625E69"/>
    <w:rsid w:val="0063543D"/>
    <w:rsid w:val="00647114"/>
    <w:rsid w:val="0066344C"/>
    <w:rsid w:val="00663EA1"/>
    <w:rsid w:val="00664B99"/>
    <w:rsid w:val="00665E44"/>
    <w:rsid w:val="0067766F"/>
    <w:rsid w:val="006817BA"/>
    <w:rsid w:val="00687749"/>
    <w:rsid w:val="00696CE0"/>
    <w:rsid w:val="00697C4F"/>
    <w:rsid w:val="006A079E"/>
    <w:rsid w:val="006A323F"/>
    <w:rsid w:val="006B0293"/>
    <w:rsid w:val="006B30D0"/>
    <w:rsid w:val="006C3D95"/>
    <w:rsid w:val="006C5CF6"/>
    <w:rsid w:val="006E19A4"/>
    <w:rsid w:val="006E390D"/>
    <w:rsid w:val="006E5C86"/>
    <w:rsid w:val="006F0A83"/>
    <w:rsid w:val="006F49C1"/>
    <w:rsid w:val="00702BB9"/>
    <w:rsid w:val="00713C44"/>
    <w:rsid w:val="00721CA3"/>
    <w:rsid w:val="00727711"/>
    <w:rsid w:val="00727718"/>
    <w:rsid w:val="00731914"/>
    <w:rsid w:val="00734A5B"/>
    <w:rsid w:val="0074026F"/>
    <w:rsid w:val="0074269F"/>
    <w:rsid w:val="007428C7"/>
    <w:rsid w:val="007429F6"/>
    <w:rsid w:val="00744E76"/>
    <w:rsid w:val="007452C1"/>
    <w:rsid w:val="00752198"/>
    <w:rsid w:val="00753881"/>
    <w:rsid w:val="00756388"/>
    <w:rsid w:val="007644EA"/>
    <w:rsid w:val="00764C1A"/>
    <w:rsid w:val="00774DA4"/>
    <w:rsid w:val="00781F0F"/>
    <w:rsid w:val="00785F96"/>
    <w:rsid w:val="00786FD2"/>
    <w:rsid w:val="007A0336"/>
    <w:rsid w:val="007B5646"/>
    <w:rsid w:val="007B600E"/>
    <w:rsid w:val="007C188D"/>
    <w:rsid w:val="007D7B1C"/>
    <w:rsid w:val="007E69AC"/>
    <w:rsid w:val="007F0F4A"/>
    <w:rsid w:val="007F3CF7"/>
    <w:rsid w:val="007F7334"/>
    <w:rsid w:val="008010BE"/>
    <w:rsid w:val="00801569"/>
    <w:rsid w:val="008028A4"/>
    <w:rsid w:val="00803F44"/>
    <w:rsid w:val="00820B25"/>
    <w:rsid w:val="00825C2E"/>
    <w:rsid w:val="00830747"/>
    <w:rsid w:val="00834EEA"/>
    <w:rsid w:val="00837996"/>
    <w:rsid w:val="008503BA"/>
    <w:rsid w:val="0085303E"/>
    <w:rsid w:val="00854AE8"/>
    <w:rsid w:val="0085524D"/>
    <w:rsid w:val="00856AA6"/>
    <w:rsid w:val="008768CA"/>
    <w:rsid w:val="00881CB7"/>
    <w:rsid w:val="00883C9B"/>
    <w:rsid w:val="00886AE3"/>
    <w:rsid w:val="008B0655"/>
    <w:rsid w:val="008B2851"/>
    <w:rsid w:val="008B4C82"/>
    <w:rsid w:val="008B79B8"/>
    <w:rsid w:val="008C384C"/>
    <w:rsid w:val="008C4ED2"/>
    <w:rsid w:val="008D283C"/>
    <w:rsid w:val="008D5E66"/>
    <w:rsid w:val="008E720A"/>
    <w:rsid w:val="008E7986"/>
    <w:rsid w:val="00901963"/>
    <w:rsid w:val="0090271F"/>
    <w:rsid w:val="00902E23"/>
    <w:rsid w:val="00902E58"/>
    <w:rsid w:val="009114D7"/>
    <w:rsid w:val="0091348E"/>
    <w:rsid w:val="00917CCB"/>
    <w:rsid w:val="0092256B"/>
    <w:rsid w:val="00930A1D"/>
    <w:rsid w:val="00931236"/>
    <w:rsid w:val="00941D9C"/>
    <w:rsid w:val="00942EC2"/>
    <w:rsid w:val="00957809"/>
    <w:rsid w:val="00967376"/>
    <w:rsid w:val="00972BE9"/>
    <w:rsid w:val="009735D1"/>
    <w:rsid w:val="00982336"/>
    <w:rsid w:val="009A1026"/>
    <w:rsid w:val="009A274B"/>
    <w:rsid w:val="009A6064"/>
    <w:rsid w:val="009B354C"/>
    <w:rsid w:val="009C247D"/>
    <w:rsid w:val="009C3FEE"/>
    <w:rsid w:val="009D088C"/>
    <w:rsid w:val="009D0DEA"/>
    <w:rsid w:val="009D4D69"/>
    <w:rsid w:val="009E1B83"/>
    <w:rsid w:val="009E3C8E"/>
    <w:rsid w:val="009E4D54"/>
    <w:rsid w:val="009F37B7"/>
    <w:rsid w:val="009F5E43"/>
    <w:rsid w:val="00A00A9E"/>
    <w:rsid w:val="00A02648"/>
    <w:rsid w:val="00A10F02"/>
    <w:rsid w:val="00A11470"/>
    <w:rsid w:val="00A11C21"/>
    <w:rsid w:val="00A151B9"/>
    <w:rsid w:val="00A164B4"/>
    <w:rsid w:val="00A17F53"/>
    <w:rsid w:val="00A24197"/>
    <w:rsid w:val="00A26956"/>
    <w:rsid w:val="00A278EB"/>
    <w:rsid w:val="00A33EC6"/>
    <w:rsid w:val="00A53724"/>
    <w:rsid w:val="00A610D7"/>
    <w:rsid w:val="00A61698"/>
    <w:rsid w:val="00A648EC"/>
    <w:rsid w:val="00A702D5"/>
    <w:rsid w:val="00A70C4A"/>
    <w:rsid w:val="00A71123"/>
    <w:rsid w:val="00A73129"/>
    <w:rsid w:val="00A75694"/>
    <w:rsid w:val="00A77312"/>
    <w:rsid w:val="00A82346"/>
    <w:rsid w:val="00A863A5"/>
    <w:rsid w:val="00A92BA1"/>
    <w:rsid w:val="00AB7C35"/>
    <w:rsid w:val="00AC6BC6"/>
    <w:rsid w:val="00AD2059"/>
    <w:rsid w:val="00AE3797"/>
    <w:rsid w:val="00B03044"/>
    <w:rsid w:val="00B05A6C"/>
    <w:rsid w:val="00B15449"/>
    <w:rsid w:val="00B1566B"/>
    <w:rsid w:val="00B2200C"/>
    <w:rsid w:val="00B31860"/>
    <w:rsid w:val="00B3598B"/>
    <w:rsid w:val="00B36360"/>
    <w:rsid w:val="00B41FE8"/>
    <w:rsid w:val="00B42525"/>
    <w:rsid w:val="00B53167"/>
    <w:rsid w:val="00B6425F"/>
    <w:rsid w:val="00B77F6F"/>
    <w:rsid w:val="00B93086"/>
    <w:rsid w:val="00BA19ED"/>
    <w:rsid w:val="00BA300B"/>
    <w:rsid w:val="00BA4B8D"/>
    <w:rsid w:val="00BA7C1F"/>
    <w:rsid w:val="00BC0F7D"/>
    <w:rsid w:val="00BC2A2A"/>
    <w:rsid w:val="00BC6691"/>
    <w:rsid w:val="00BE3255"/>
    <w:rsid w:val="00BE7552"/>
    <w:rsid w:val="00BE7AE3"/>
    <w:rsid w:val="00BF128E"/>
    <w:rsid w:val="00BF5781"/>
    <w:rsid w:val="00BF78A4"/>
    <w:rsid w:val="00C1401E"/>
    <w:rsid w:val="00C1496A"/>
    <w:rsid w:val="00C162B3"/>
    <w:rsid w:val="00C1693B"/>
    <w:rsid w:val="00C26333"/>
    <w:rsid w:val="00C33079"/>
    <w:rsid w:val="00C44CDA"/>
    <w:rsid w:val="00C45231"/>
    <w:rsid w:val="00C54210"/>
    <w:rsid w:val="00C56126"/>
    <w:rsid w:val="00C640ED"/>
    <w:rsid w:val="00C72833"/>
    <w:rsid w:val="00C771A3"/>
    <w:rsid w:val="00C80F1D"/>
    <w:rsid w:val="00C824D5"/>
    <w:rsid w:val="00C87E66"/>
    <w:rsid w:val="00C93F40"/>
    <w:rsid w:val="00CA3D0C"/>
    <w:rsid w:val="00CA5316"/>
    <w:rsid w:val="00CB36DD"/>
    <w:rsid w:val="00CD2385"/>
    <w:rsid w:val="00CE2710"/>
    <w:rsid w:val="00CE2AA6"/>
    <w:rsid w:val="00CE4699"/>
    <w:rsid w:val="00CE503F"/>
    <w:rsid w:val="00CF20E3"/>
    <w:rsid w:val="00CF7139"/>
    <w:rsid w:val="00CF74E2"/>
    <w:rsid w:val="00D04191"/>
    <w:rsid w:val="00D227E3"/>
    <w:rsid w:val="00D3003B"/>
    <w:rsid w:val="00D309CC"/>
    <w:rsid w:val="00D3223E"/>
    <w:rsid w:val="00D41D1E"/>
    <w:rsid w:val="00D46431"/>
    <w:rsid w:val="00D46F7A"/>
    <w:rsid w:val="00D50786"/>
    <w:rsid w:val="00D53FF7"/>
    <w:rsid w:val="00D5516F"/>
    <w:rsid w:val="00D56A52"/>
    <w:rsid w:val="00D57972"/>
    <w:rsid w:val="00D675A9"/>
    <w:rsid w:val="00D72474"/>
    <w:rsid w:val="00D738D6"/>
    <w:rsid w:val="00D755EB"/>
    <w:rsid w:val="00D761E4"/>
    <w:rsid w:val="00D8758F"/>
    <w:rsid w:val="00D87E00"/>
    <w:rsid w:val="00D9134D"/>
    <w:rsid w:val="00D968CA"/>
    <w:rsid w:val="00D96CCA"/>
    <w:rsid w:val="00DA3C2B"/>
    <w:rsid w:val="00DA7A03"/>
    <w:rsid w:val="00DB1818"/>
    <w:rsid w:val="00DC034C"/>
    <w:rsid w:val="00DC309B"/>
    <w:rsid w:val="00DC4DA2"/>
    <w:rsid w:val="00DD24D9"/>
    <w:rsid w:val="00DD4C17"/>
    <w:rsid w:val="00DF2B1F"/>
    <w:rsid w:val="00DF6189"/>
    <w:rsid w:val="00DF62CD"/>
    <w:rsid w:val="00E16509"/>
    <w:rsid w:val="00E16E58"/>
    <w:rsid w:val="00E22349"/>
    <w:rsid w:val="00E27AD7"/>
    <w:rsid w:val="00E42ED3"/>
    <w:rsid w:val="00E44582"/>
    <w:rsid w:val="00E44EFC"/>
    <w:rsid w:val="00E4560C"/>
    <w:rsid w:val="00E52814"/>
    <w:rsid w:val="00E52F99"/>
    <w:rsid w:val="00E72324"/>
    <w:rsid w:val="00E72ABE"/>
    <w:rsid w:val="00E74805"/>
    <w:rsid w:val="00E77645"/>
    <w:rsid w:val="00E7793A"/>
    <w:rsid w:val="00E90EFC"/>
    <w:rsid w:val="00E95F33"/>
    <w:rsid w:val="00EA0554"/>
    <w:rsid w:val="00EA20D3"/>
    <w:rsid w:val="00EA6A55"/>
    <w:rsid w:val="00EC0003"/>
    <w:rsid w:val="00EC4A25"/>
    <w:rsid w:val="00EC4E3D"/>
    <w:rsid w:val="00EC5AE9"/>
    <w:rsid w:val="00EC6825"/>
    <w:rsid w:val="00ED064F"/>
    <w:rsid w:val="00EE5AA7"/>
    <w:rsid w:val="00EF413C"/>
    <w:rsid w:val="00F025A2"/>
    <w:rsid w:val="00F04712"/>
    <w:rsid w:val="00F10FCA"/>
    <w:rsid w:val="00F21311"/>
    <w:rsid w:val="00F22EC7"/>
    <w:rsid w:val="00F325C8"/>
    <w:rsid w:val="00F43659"/>
    <w:rsid w:val="00F52D9F"/>
    <w:rsid w:val="00F54586"/>
    <w:rsid w:val="00F564E9"/>
    <w:rsid w:val="00F62AEB"/>
    <w:rsid w:val="00F653B8"/>
    <w:rsid w:val="00F70647"/>
    <w:rsid w:val="00F72806"/>
    <w:rsid w:val="00F81F17"/>
    <w:rsid w:val="00F83A73"/>
    <w:rsid w:val="00F87DF1"/>
    <w:rsid w:val="00F90DFE"/>
    <w:rsid w:val="00F911A6"/>
    <w:rsid w:val="00FA079D"/>
    <w:rsid w:val="00FA1266"/>
    <w:rsid w:val="00FA6867"/>
    <w:rsid w:val="00FB2B78"/>
    <w:rsid w:val="00FB6804"/>
    <w:rsid w:val="00FC1192"/>
    <w:rsid w:val="00FC7A1F"/>
    <w:rsid w:val="00FD2B6B"/>
    <w:rsid w:val="00FD545B"/>
    <w:rsid w:val="00FD5BDC"/>
    <w:rsid w:val="00FE05F3"/>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F96AB803-7DA6-514D-BC53-B8FCA33EF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iPriority w:val="35"/>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basedOn w:val="Normal"/>
    <w:uiPriority w:val="34"/>
    <w:qFormat/>
    <w:rsid w:val="00E42ED3"/>
    <w:pPr>
      <w:ind w:left="720"/>
      <w:contextualSpacing/>
    </w:pPr>
  </w:style>
  <w:style w:type="character" w:styleId="PlaceholderText">
    <w:name w:val="Placeholder Text"/>
    <w:basedOn w:val="DefaultParagraphFont"/>
    <w:uiPriority w:val="99"/>
    <w:semiHidden/>
    <w:rsid w:val="00CD2385"/>
    <w:rPr>
      <w:color w:val="666666"/>
    </w:rPr>
  </w:style>
  <w:style w:type="character" w:customStyle="1" w:styleId="TAHCar">
    <w:name w:val="TAH Car"/>
    <w:link w:val="TAH"/>
    <w:qFormat/>
    <w:rsid w:val="00756388"/>
    <w:rPr>
      <w:rFonts w:ascii="Arial" w:hAnsi="Arial"/>
      <w:b/>
      <w:sz w:val="18"/>
      <w:lang w:eastAsia="en-US"/>
    </w:rPr>
  </w:style>
  <w:style w:type="character" w:customStyle="1" w:styleId="TALCar">
    <w:name w:val="TAL Car"/>
    <w:link w:val="TAL"/>
    <w:qFormat/>
    <w:locked/>
    <w:rsid w:val="00756388"/>
    <w:rPr>
      <w:rFonts w:ascii="Arial" w:hAnsi="Arial"/>
      <w:sz w:val="18"/>
      <w:lang w:eastAsia="en-US"/>
    </w:rPr>
  </w:style>
  <w:style w:type="character" w:styleId="CommentReference">
    <w:name w:val="annotation reference"/>
    <w:basedOn w:val="DefaultParagraphFont"/>
    <w:rsid w:val="00372198"/>
    <w:rPr>
      <w:sz w:val="16"/>
      <w:szCs w:val="16"/>
    </w:rPr>
  </w:style>
  <w:style w:type="paragraph" w:styleId="CommentText">
    <w:name w:val="annotation text"/>
    <w:basedOn w:val="Normal"/>
    <w:link w:val="CommentTextChar"/>
    <w:rsid w:val="00372198"/>
  </w:style>
  <w:style w:type="character" w:customStyle="1" w:styleId="CommentTextChar">
    <w:name w:val="Comment Text Char"/>
    <w:basedOn w:val="DefaultParagraphFont"/>
    <w:link w:val="CommentText"/>
    <w:rsid w:val="00372198"/>
    <w:rPr>
      <w:lang w:eastAsia="en-US"/>
    </w:rPr>
  </w:style>
  <w:style w:type="paragraph" w:styleId="CommentSubject">
    <w:name w:val="annotation subject"/>
    <w:basedOn w:val="CommentText"/>
    <w:next w:val="CommentText"/>
    <w:link w:val="CommentSubjectChar"/>
    <w:rsid w:val="00372198"/>
    <w:rPr>
      <w:b/>
      <w:bCs/>
    </w:rPr>
  </w:style>
  <w:style w:type="character" w:customStyle="1" w:styleId="CommentSubjectChar">
    <w:name w:val="Comment Subject Char"/>
    <w:basedOn w:val="CommentTextChar"/>
    <w:link w:val="CommentSubject"/>
    <w:rsid w:val="003721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1494641719">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20371946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8.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1666</Words>
  <Characters>9501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 [final review]</cp:lastModifiedBy>
  <cp:revision>4</cp:revision>
  <cp:lastPrinted>2019-02-25T14:05:00Z</cp:lastPrinted>
  <dcterms:created xsi:type="dcterms:W3CDTF">2026-01-28T08:57:00Z</dcterms:created>
  <dcterms:modified xsi:type="dcterms:W3CDTF">2026-01-29T12:10:00Z</dcterms:modified>
  <cp:category/>
</cp:coreProperties>
</file>