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Default="00182696">
      <w:pPr>
        <w:pStyle w:val="af0"/>
        <w:tabs>
          <w:tab w:val="right" w:pos="9498"/>
        </w:tabs>
        <w:jc w:val="left"/>
        <w:rPr>
          <w:rFonts w:cs="Arial"/>
          <w:bCs/>
          <w:sz w:val="22"/>
          <w:lang w:val="en-US"/>
        </w:rPr>
      </w:pPr>
      <w:r w:rsidRPr="00182696">
        <w:rPr>
          <w:rFonts w:cs="Arial"/>
          <w:bCs/>
          <w:sz w:val="22"/>
          <w:lang w:val="en-US"/>
        </w:rPr>
        <w:t>3GPP TSG RAN WG1 #124</w:t>
      </w:r>
      <w:r w:rsidR="007D207F">
        <w:rPr>
          <w:rFonts w:cs="Arial"/>
          <w:bCs/>
          <w:sz w:val="22"/>
          <w:lang w:val="en-US"/>
        </w:rPr>
        <w:tab/>
      </w:r>
      <w:bookmarkStart w:id="0" w:name="_Hlk87959957"/>
      <w:r w:rsidR="00AE5794" w:rsidRPr="00182696">
        <w:rPr>
          <w:rFonts w:cs="Arial"/>
          <w:bCs/>
          <w:sz w:val="22"/>
          <w:highlight w:val="yellow"/>
          <w:lang w:val="en-US"/>
        </w:rPr>
        <w:t xml:space="preserve">Draft </w:t>
      </w:r>
      <w:r w:rsidR="007D207F" w:rsidRPr="00182696">
        <w:rPr>
          <w:rFonts w:cs="Arial"/>
          <w:bCs/>
          <w:sz w:val="22"/>
          <w:szCs w:val="22"/>
          <w:highlight w:val="yellow"/>
          <w:lang w:val="en-US"/>
        </w:rPr>
        <w:t>R1-</w:t>
      </w:r>
      <w:bookmarkEnd w:id="0"/>
      <w:r w:rsidR="00AE5794" w:rsidRPr="00182696">
        <w:rPr>
          <w:sz w:val="22"/>
          <w:szCs w:val="22"/>
          <w:highlight w:val="yellow"/>
          <w:lang w:val="en-US"/>
        </w:rPr>
        <w:t>2</w:t>
      </w:r>
      <w:r>
        <w:rPr>
          <w:sz w:val="22"/>
          <w:szCs w:val="22"/>
          <w:highlight w:val="yellow"/>
          <w:lang w:val="en-US"/>
        </w:rPr>
        <w:t>6</w:t>
      </w:r>
      <w:r w:rsidR="00C40B13" w:rsidRPr="00182696">
        <w:rPr>
          <w:sz w:val="22"/>
          <w:szCs w:val="22"/>
          <w:highlight w:val="yellow"/>
          <w:lang w:val="en-US"/>
        </w:rPr>
        <w:t>0XXXX</w:t>
      </w:r>
      <w:r w:rsidR="00C40B13" w:rsidRPr="00C40B13">
        <w:rPr>
          <w:sz w:val="22"/>
          <w:szCs w:val="22"/>
          <w:lang w:val="en-US"/>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8"/>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a"/>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a"/>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Study and if feasible, specify UE transmit power higher than PC1 (</w:t>
            </w:r>
            <w:proofErr w:type="gramStart"/>
            <w:r w:rsidRPr="004365F4">
              <w:rPr>
                <w:rFonts w:eastAsiaTheme="minorEastAsia"/>
                <w:lang w:val="en-GB"/>
              </w:rPr>
              <w:t>e.g.</w:t>
            </w:r>
            <w:proofErr w:type="gramEnd"/>
            <w:r w:rsidRPr="004365F4">
              <w:rPr>
                <w:rFonts w:eastAsiaTheme="minorEastAsia"/>
                <w:lang w:val="en-GB"/>
              </w:rPr>
              <w:t xml:space="preserve"> up to 37dBm) for NB-IoT-NTN [RAN4] </w:t>
            </w:r>
          </w:p>
          <w:p w14:paraId="76401A1F"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60FBA7E1"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w:t>
      </w:r>
      <w:proofErr w:type="gramStart"/>
      <w:r w:rsidRPr="00602C19">
        <w:rPr>
          <w:highlight w:val="yellow"/>
          <w:lang w:val="en-US"/>
        </w:rPr>
        <w:t>1][</w:t>
      </w:r>
      <w:proofErr w:type="gramEnd"/>
      <w:r w:rsidRPr="00602C19">
        <w:rPr>
          <w:highlight w:val="yellow"/>
          <w:lang w:val="en-US"/>
        </w:rPr>
        <w:t>H]</w:t>
      </w:r>
      <w:r w:rsidR="00BE0140">
        <w:rPr>
          <w:lang w:val="en-US"/>
        </w:rPr>
        <w:t xml:space="preserve"> and </w:t>
      </w:r>
      <w:r w:rsidR="00BE0140" w:rsidRPr="00BE0140">
        <w:rPr>
          <w:highlight w:val="yellow"/>
          <w:lang w:val="en-US"/>
        </w:rPr>
        <w:t>[FL][M]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4618B0DF" w:rsidR="00C9367E" w:rsidRDefault="00C9367E" w:rsidP="00C76B25">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0615C0AF" w14:textId="5D8EB092" w:rsidR="00C9367E" w:rsidRDefault="00C9367E" w:rsidP="00C76B25">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0B8DB3B9" w14:textId="0DF3D067" w:rsidR="00C9367E" w:rsidRDefault="00C9367E" w:rsidP="00C76B25">
            <w:pPr>
              <w:spacing w:after="0"/>
              <w:jc w:val="center"/>
              <w:rPr>
                <w:rFonts w:eastAsiaTheme="minorEastAsia"/>
                <w:lang w:val="en-US" w:eastAsia="zh-CN"/>
              </w:rPr>
            </w:pPr>
          </w:p>
        </w:tc>
      </w:tr>
      <w:tr w:rsidR="00C9367E"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77777777" w:rsidR="00C9367E" w:rsidRDefault="00C9367E" w:rsidP="00C76B25">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2262A6E7" w14:textId="77777777" w:rsidR="00C9367E" w:rsidRDefault="00C9367E" w:rsidP="00C76B25">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3DA9B127" w14:textId="77777777" w:rsidR="00C9367E" w:rsidRDefault="00C9367E" w:rsidP="00C76B25">
            <w:pPr>
              <w:spacing w:after="0"/>
              <w:jc w:val="center"/>
              <w:rPr>
                <w:rFonts w:eastAsiaTheme="minorEastAsia"/>
                <w:lang w:val="en-US" w:eastAsia="zh-CN"/>
              </w:rPr>
            </w:pPr>
          </w:p>
        </w:tc>
      </w:tr>
      <w:tr w:rsidR="00C9367E"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77777777" w:rsidR="00C9367E" w:rsidRDefault="00C9367E" w:rsidP="00C76B25">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8E980A1" w14:textId="77777777" w:rsidR="00C9367E" w:rsidRDefault="00C9367E" w:rsidP="00C76B25">
            <w:pPr>
              <w:spacing w:after="0"/>
              <w:jc w:val="center"/>
              <w:rPr>
                <w:rFonts w:eastAsia="Yu Mincho"/>
                <w:lang w:val="en-US" w:eastAsia="ja-JP"/>
              </w:rPr>
            </w:pPr>
          </w:p>
        </w:tc>
        <w:tc>
          <w:tcPr>
            <w:tcW w:w="4394" w:type="dxa"/>
            <w:tcBorders>
              <w:top w:val="single" w:sz="4" w:space="0" w:color="auto"/>
              <w:left w:val="single" w:sz="4" w:space="0" w:color="auto"/>
              <w:bottom w:val="single" w:sz="4" w:space="0" w:color="auto"/>
              <w:right w:val="single" w:sz="4" w:space="0" w:color="auto"/>
            </w:tcBorders>
          </w:tcPr>
          <w:p w14:paraId="70F875AE" w14:textId="77777777" w:rsidR="00C9367E" w:rsidRDefault="00C9367E" w:rsidP="00C76B25">
            <w:pPr>
              <w:spacing w:after="0"/>
              <w:jc w:val="center"/>
              <w:rPr>
                <w:lang w:val="en-US"/>
              </w:rPr>
            </w:pPr>
          </w:p>
        </w:tc>
      </w:tr>
      <w:tr w:rsidR="00811B36" w14:paraId="23BE9036" w14:textId="77777777" w:rsidTr="00811B36">
        <w:tc>
          <w:tcPr>
            <w:tcW w:w="2263" w:type="dxa"/>
          </w:tcPr>
          <w:p w14:paraId="16D59611" w14:textId="77777777" w:rsidR="00811B36" w:rsidRDefault="00811B36" w:rsidP="009323A6">
            <w:pPr>
              <w:spacing w:after="0"/>
              <w:jc w:val="center"/>
              <w:rPr>
                <w:rFonts w:eastAsiaTheme="minorEastAsia"/>
                <w:lang w:val="en-US" w:eastAsia="zh-CN"/>
              </w:rPr>
            </w:pPr>
          </w:p>
        </w:tc>
        <w:tc>
          <w:tcPr>
            <w:tcW w:w="2977" w:type="dxa"/>
          </w:tcPr>
          <w:p w14:paraId="1AEAD4CF" w14:textId="77777777" w:rsidR="00811B36" w:rsidRDefault="00811B36" w:rsidP="009323A6">
            <w:pPr>
              <w:spacing w:after="0"/>
              <w:jc w:val="center"/>
              <w:rPr>
                <w:rFonts w:eastAsiaTheme="minorEastAsia"/>
                <w:lang w:val="en-US" w:eastAsia="zh-CN"/>
              </w:rPr>
            </w:pPr>
          </w:p>
        </w:tc>
        <w:tc>
          <w:tcPr>
            <w:tcW w:w="4394" w:type="dxa"/>
          </w:tcPr>
          <w:p w14:paraId="3DF2B961" w14:textId="77777777" w:rsidR="00811B36" w:rsidRDefault="00811B36" w:rsidP="009323A6">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9323A6">
            <w:pPr>
              <w:spacing w:after="0"/>
              <w:jc w:val="center"/>
              <w:rPr>
                <w:rFonts w:eastAsia="Yu Mincho"/>
                <w:lang w:val="en-US" w:eastAsia="ja-JP"/>
              </w:rPr>
            </w:pPr>
          </w:p>
        </w:tc>
        <w:tc>
          <w:tcPr>
            <w:tcW w:w="2977" w:type="dxa"/>
          </w:tcPr>
          <w:p w14:paraId="3CCB4A0F" w14:textId="77777777" w:rsidR="00811B36" w:rsidRDefault="00811B36" w:rsidP="009323A6">
            <w:pPr>
              <w:spacing w:after="0"/>
              <w:jc w:val="center"/>
              <w:rPr>
                <w:rFonts w:eastAsia="Yu Mincho"/>
                <w:lang w:val="en-US" w:eastAsia="ja-JP"/>
              </w:rPr>
            </w:pPr>
          </w:p>
        </w:tc>
        <w:tc>
          <w:tcPr>
            <w:tcW w:w="4394" w:type="dxa"/>
          </w:tcPr>
          <w:p w14:paraId="5DE4EEB3" w14:textId="77777777" w:rsidR="00811B36" w:rsidRDefault="00811B36" w:rsidP="009323A6">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9323A6">
            <w:pPr>
              <w:spacing w:after="0"/>
              <w:jc w:val="center"/>
              <w:rPr>
                <w:rFonts w:eastAsia="Yu Mincho"/>
                <w:lang w:val="en-US" w:eastAsia="ja-JP"/>
              </w:rPr>
            </w:pPr>
          </w:p>
        </w:tc>
        <w:tc>
          <w:tcPr>
            <w:tcW w:w="2977" w:type="dxa"/>
          </w:tcPr>
          <w:p w14:paraId="7BE151FA" w14:textId="77777777" w:rsidR="00811B36" w:rsidRDefault="00811B36" w:rsidP="009323A6">
            <w:pPr>
              <w:spacing w:after="0"/>
              <w:jc w:val="center"/>
              <w:rPr>
                <w:rFonts w:eastAsia="Yu Mincho"/>
                <w:lang w:val="en-US" w:eastAsia="ja-JP"/>
              </w:rPr>
            </w:pPr>
          </w:p>
        </w:tc>
        <w:tc>
          <w:tcPr>
            <w:tcW w:w="4394" w:type="dxa"/>
          </w:tcPr>
          <w:p w14:paraId="0E12E620" w14:textId="77777777" w:rsidR="00811B36" w:rsidRDefault="00811B36" w:rsidP="009323A6">
            <w:pPr>
              <w:spacing w:after="0"/>
              <w:jc w:val="center"/>
              <w:rPr>
                <w:lang w:val="en-US"/>
              </w:rPr>
            </w:pPr>
          </w:p>
        </w:tc>
      </w:tr>
      <w:tr w:rsidR="0030562D" w14:paraId="4322DDE3" w14:textId="77777777" w:rsidTr="0030562D">
        <w:tc>
          <w:tcPr>
            <w:tcW w:w="2263" w:type="dxa"/>
          </w:tcPr>
          <w:p w14:paraId="56F04A0D" w14:textId="77777777" w:rsidR="0030562D" w:rsidRDefault="0030562D" w:rsidP="00602F02">
            <w:pPr>
              <w:spacing w:after="0"/>
              <w:jc w:val="center"/>
              <w:rPr>
                <w:rFonts w:eastAsiaTheme="minorEastAsia"/>
                <w:lang w:val="en-US" w:eastAsia="zh-CN"/>
              </w:rPr>
            </w:pPr>
          </w:p>
        </w:tc>
        <w:tc>
          <w:tcPr>
            <w:tcW w:w="2977" w:type="dxa"/>
          </w:tcPr>
          <w:p w14:paraId="5B55C8A3" w14:textId="77777777" w:rsidR="0030562D" w:rsidRDefault="0030562D" w:rsidP="00602F02">
            <w:pPr>
              <w:spacing w:after="0"/>
              <w:jc w:val="center"/>
              <w:rPr>
                <w:rFonts w:eastAsiaTheme="minorEastAsia"/>
                <w:lang w:val="en-US" w:eastAsia="zh-CN"/>
              </w:rPr>
            </w:pPr>
          </w:p>
        </w:tc>
        <w:tc>
          <w:tcPr>
            <w:tcW w:w="4394" w:type="dxa"/>
          </w:tcPr>
          <w:p w14:paraId="04FEEEFC" w14:textId="77777777" w:rsidR="0030562D" w:rsidRDefault="0030562D" w:rsidP="00602F02">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602F02">
            <w:pPr>
              <w:spacing w:after="0"/>
              <w:jc w:val="center"/>
              <w:rPr>
                <w:rFonts w:eastAsia="Yu Mincho"/>
                <w:lang w:val="en-US" w:eastAsia="ja-JP"/>
              </w:rPr>
            </w:pPr>
          </w:p>
        </w:tc>
        <w:tc>
          <w:tcPr>
            <w:tcW w:w="2977" w:type="dxa"/>
          </w:tcPr>
          <w:p w14:paraId="472886AC" w14:textId="77777777" w:rsidR="0030562D" w:rsidRDefault="0030562D" w:rsidP="00602F02">
            <w:pPr>
              <w:spacing w:after="0"/>
              <w:jc w:val="center"/>
              <w:rPr>
                <w:rFonts w:eastAsia="Yu Mincho"/>
                <w:lang w:val="en-US" w:eastAsia="ja-JP"/>
              </w:rPr>
            </w:pPr>
          </w:p>
        </w:tc>
        <w:tc>
          <w:tcPr>
            <w:tcW w:w="4394" w:type="dxa"/>
          </w:tcPr>
          <w:p w14:paraId="78C343C1" w14:textId="77777777" w:rsidR="0030562D" w:rsidRDefault="0030562D" w:rsidP="00602F02">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602F02">
            <w:pPr>
              <w:spacing w:after="0"/>
              <w:jc w:val="center"/>
              <w:rPr>
                <w:rFonts w:eastAsia="Yu Mincho"/>
                <w:lang w:val="en-US" w:eastAsia="ja-JP"/>
              </w:rPr>
            </w:pPr>
          </w:p>
        </w:tc>
        <w:tc>
          <w:tcPr>
            <w:tcW w:w="2977" w:type="dxa"/>
          </w:tcPr>
          <w:p w14:paraId="68924E93" w14:textId="77777777" w:rsidR="0030562D" w:rsidRDefault="0030562D" w:rsidP="00602F02">
            <w:pPr>
              <w:spacing w:after="0"/>
              <w:jc w:val="center"/>
              <w:rPr>
                <w:rFonts w:eastAsia="Yu Mincho"/>
                <w:lang w:val="en-US" w:eastAsia="ja-JP"/>
              </w:rPr>
            </w:pPr>
          </w:p>
        </w:tc>
        <w:tc>
          <w:tcPr>
            <w:tcW w:w="4394" w:type="dxa"/>
          </w:tcPr>
          <w:p w14:paraId="4FDD5031" w14:textId="77777777" w:rsidR="0030562D" w:rsidRDefault="0030562D" w:rsidP="00602F02">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a"/>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a"/>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a"/>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a"/>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aa"/>
        <w:rPr>
          <w:rFonts w:ascii="Times New Roman" w:eastAsia="宋体" w:hAnsi="Times New Roman"/>
        </w:rPr>
      </w:pPr>
      <w:r w:rsidRPr="0096003D">
        <w:rPr>
          <w:rFonts w:ascii="Times New Roman" w:eastAsia="宋体"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156pt" o:ole="">
            <v:imagedata r:id="rId11" o:title=""/>
          </v:shape>
          <o:OLEObject Type="Embed" ProgID="Visio.Drawing.15" ShapeID="_x0000_i1025" DrawAspect="Content" ObjectID="_1832033331" r:id="rId12"/>
        </w:object>
      </w:r>
    </w:p>
    <w:p w14:paraId="19A7B493" w14:textId="325D453C" w:rsidR="007D722F" w:rsidRPr="0096003D" w:rsidRDefault="007D722F" w:rsidP="007D722F">
      <w:pPr>
        <w:pStyle w:val="a4"/>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xml:space="preserve">. In addition to that, [18] notes that the codec bitrate or bundle size may also change at the application layer due to congestion detection or poor coverage conditions. Furthermore, </w:t>
      </w:r>
      <w:proofErr w:type="spellStart"/>
      <w:r>
        <w:t>eNB</w:t>
      </w:r>
      <w:proofErr w:type="spellEnd"/>
      <w:r>
        <w:t xml:space="preserve">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proofErr w:type="gramStart"/>
      <w:r w:rsidR="00D61A0A" w:rsidRPr="00E17451">
        <w:rPr>
          <w:lang w:val="en-US" w:eastAsia="zh-CN"/>
        </w:rPr>
        <w:t>TBS</w:t>
      </w:r>
      <w:r w:rsidR="000301F5">
        <w:rPr>
          <w:lang w:val="en-US" w:eastAsia="zh-CN"/>
        </w:rPr>
        <w:t>,</w:t>
      </w:r>
      <w:r w:rsidR="00E1541A">
        <w:rPr>
          <w:lang w:val="en-US" w:eastAsia="zh-CN"/>
        </w:rPr>
        <w:t>MCS</w:t>
      </w:r>
      <w:proofErr w:type="gramEnd"/>
      <w:r w:rsidR="00E1541A">
        <w:rPr>
          <w:lang w:val="en-US" w:eastAsia="zh-CN"/>
        </w:rPr>
        <w:t xml:space="preserve">,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r w:rsidRPr="00EB1437">
        <w:rPr>
          <w:rFonts w:eastAsiaTheme="minorEastAsia"/>
          <w:lang w:val="en-US" w:eastAsia="zh-CN"/>
        </w:rPr>
        <w:t>TDMed</w:t>
      </w:r>
      <w:proofErr w:type="spellEnd"/>
      <w:r w:rsidRPr="00EB1437">
        <w:rPr>
          <w:rFonts w:eastAsiaTheme="minorEastAsia"/>
          <w:lang w:val="en-US" w:eastAsia="zh-CN"/>
        </w:rPr>
        <w:t xml:space="preserve">/switched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f"/>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498AAEE9" w:rsidR="004C461C" w:rsidRPr="00BA04CF"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can be active simultaneously</w:t>
      </w:r>
    </w:p>
    <w:p w14:paraId="76CDDE26" w14:textId="6FFFE67A" w:rsidR="00740CCD" w:rsidRPr="00BA04CF" w:rsidRDefault="004C461C"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can be active simultaneously</w:t>
      </w:r>
    </w:p>
    <w:p w14:paraId="32EE5FC7" w14:textId="7775E480" w:rsidR="00740CCD"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40CCD" w14:paraId="69EB5B31" w14:textId="77777777" w:rsidTr="008A69C7">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8A69C7">
        <w:tc>
          <w:tcPr>
            <w:tcW w:w="1479" w:type="dxa"/>
          </w:tcPr>
          <w:p w14:paraId="05165300" w14:textId="77777777" w:rsidR="00740CCD" w:rsidRDefault="00740CCD" w:rsidP="00F70D0E">
            <w:pPr>
              <w:spacing w:before="120" w:after="120" w:line="240" w:lineRule="atLeast"/>
              <w:rPr>
                <w:rFonts w:eastAsiaTheme="minorEastAsia"/>
                <w:lang w:val="en-US" w:eastAsia="zh-CN"/>
              </w:rPr>
            </w:pPr>
          </w:p>
        </w:tc>
        <w:tc>
          <w:tcPr>
            <w:tcW w:w="1372" w:type="dxa"/>
          </w:tcPr>
          <w:p w14:paraId="447AE591" w14:textId="77777777" w:rsidR="00740CCD" w:rsidRDefault="00740CCD" w:rsidP="00F70D0E">
            <w:pPr>
              <w:tabs>
                <w:tab w:val="left" w:pos="551"/>
              </w:tabs>
              <w:spacing w:before="120" w:after="120" w:line="240" w:lineRule="atLeast"/>
              <w:rPr>
                <w:rFonts w:eastAsiaTheme="minorEastAsia"/>
                <w:lang w:val="en-US" w:eastAsia="zh-CN"/>
              </w:rPr>
            </w:pPr>
          </w:p>
        </w:tc>
        <w:tc>
          <w:tcPr>
            <w:tcW w:w="6780" w:type="dxa"/>
          </w:tcPr>
          <w:p w14:paraId="39C5B8DA" w14:textId="77777777" w:rsidR="00740CCD" w:rsidRDefault="00740CCD" w:rsidP="00F70D0E">
            <w:pPr>
              <w:spacing w:before="120" w:after="120" w:line="240" w:lineRule="atLeast"/>
              <w:rPr>
                <w:rFonts w:eastAsiaTheme="minorEastAsia"/>
                <w:lang w:val="en-US" w:eastAsia="zh-CN"/>
              </w:rPr>
            </w:pPr>
          </w:p>
        </w:tc>
      </w:tr>
      <w:tr w:rsidR="00740CCD" w14:paraId="0EB69506" w14:textId="77777777" w:rsidTr="008A69C7">
        <w:tc>
          <w:tcPr>
            <w:tcW w:w="1479" w:type="dxa"/>
          </w:tcPr>
          <w:p w14:paraId="59EF2DFE" w14:textId="77777777" w:rsidR="00740CCD" w:rsidRDefault="00740CCD" w:rsidP="00F70D0E">
            <w:pPr>
              <w:spacing w:before="120" w:after="120" w:line="240" w:lineRule="atLeast"/>
              <w:rPr>
                <w:rFonts w:eastAsiaTheme="minorEastAsia"/>
                <w:lang w:val="en-US" w:eastAsia="zh-CN"/>
              </w:rPr>
            </w:pPr>
          </w:p>
        </w:tc>
        <w:tc>
          <w:tcPr>
            <w:tcW w:w="1372" w:type="dxa"/>
          </w:tcPr>
          <w:p w14:paraId="47C444E9" w14:textId="77777777" w:rsidR="00740CCD" w:rsidRDefault="00740CCD" w:rsidP="00F70D0E">
            <w:pPr>
              <w:tabs>
                <w:tab w:val="left" w:pos="551"/>
              </w:tabs>
              <w:spacing w:before="120" w:after="120" w:line="240" w:lineRule="atLeast"/>
              <w:rPr>
                <w:rFonts w:eastAsiaTheme="minorEastAsia"/>
                <w:lang w:val="en-US" w:eastAsia="zh-CN"/>
              </w:rPr>
            </w:pPr>
          </w:p>
        </w:tc>
        <w:tc>
          <w:tcPr>
            <w:tcW w:w="6780" w:type="dxa"/>
          </w:tcPr>
          <w:p w14:paraId="4F947E1A" w14:textId="77777777" w:rsidR="00740CCD" w:rsidRDefault="00740CCD" w:rsidP="00F70D0E">
            <w:pPr>
              <w:spacing w:before="120" w:after="120" w:line="240" w:lineRule="atLeast"/>
              <w:rPr>
                <w:rFonts w:eastAsiaTheme="minorEastAsia"/>
                <w:lang w:val="en-US" w:eastAsia="zh-CN"/>
              </w:rPr>
            </w:pPr>
          </w:p>
        </w:tc>
      </w:tr>
      <w:tr w:rsidR="00740CCD" w14:paraId="288829F0" w14:textId="77777777" w:rsidTr="008A69C7">
        <w:tc>
          <w:tcPr>
            <w:tcW w:w="1479" w:type="dxa"/>
          </w:tcPr>
          <w:p w14:paraId="0D7FB809" w14:textId="77777777" w:rsidR="00740CCD" w:rsidRDefault="00740CCD" w:rsidP="00F70D0E">
            <w:pPr>
              <w:spacing w:before="120" w:after="120" w:line="240" w:lineRule="atLeast"/>
              <w:rPr>
                <w:rFonts w:eastAsiaTheme="minorEastAsia"/>
                <w:lang w:val="en-US" w:eastAsia="zh-CN"/>
              </w:rPr>
            </w:pPr>
          </w:p>
        </w:tc>
        <w:tc>
          <w:tcPr>
            <w:tcW w:w="1372" w:type="dxa"/>
          </w:tcPr>
          <w:p w14:paraId="77C3F53A" w14:textId="77777777" w:rsidR="00740CCD" w:rsidRDefault="00740CCD" w:rsidP="00F70D0E">
            <w:pPr>
              <w:tabs>
                <w:tab w:val="left" w:pos="551"/>
              </w:tabs>
              <w:spacing w:before="120" w:after="120" w:line="240" w:lineRule="atLeast"/>
              <w:rPr>
                <w:rFonts w:eastAsiaTheme="minorEastAsia"/>
                <w:lang w:val="en-US" w:eastAsia="zh-CN"/>
              </w:rPr>
            </w:pPr>
          </w:p>
        </w:tc>
        <w:tc>
          <w:tcPr>
            <w:tcW w:w="6780" w:type="dxa"/>
          </w:tcPr>
          <w:p w14:paraId="33A3A89C" w14:textId="77777777" w:rsidR="00740CCD" w:rsidRDefault="00740CCD" w:rsidP="00F70D0E">
            <w:pPr>
              <w:spacing w:before="120" w:after="120" w:line="240" w:lineRule="atLeast"/>
              <w:rPr>
                <w:rFonts w:eastAsiaTheme="minorEastAsia"/>
                <w:lang w:val="en-US" w:eastAsia="zh-CN"/>
              </w:rPr>
            </w:pPr>
          </w:p>
        </w:tc>
      </w:tr>
    </w:tbl>
    <w:p w14:paraId="0B6CAF58" w14:textId="03DFB157" w:rsidR="0060718A"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f"/>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26417BD2"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Pr>
          <w:b/>
          <w:bCs/>
          <w:lang w:val="en-US"/>
        </w:rPr>
        <w:t xml:space="preserve">an </w:t>
      </w:r>
      <w:r w:rsidR="00BD2C8D" w:rsidRPr="00BD2C8D">
        <w:rPr>
          <w:b/>
          <w:bCs/>
          <w:lang w:val="en-US"/>
        </w:rPr>
        <w:t>activation or release command is supported</w:t>
      </w:r>
      <w:r w:rsidR="00C875B7">
        <w:rPr>
          <w:b/>
          <w:bCs/>
          <w:lang w:val="en-US"/>
        </w:rPr>
        <w:t>.</w:t>
      </w:r>
    </w:p>
    <w:p w14:paraId="3E3B8C17" w14:textId="23E57047" w:rsidR="00F51F7A" w:rsidRDefault="0023320F"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 how to convey the command</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8"/>
        <w:tblW w:w="9631" w:type="dxa"/>
        <w:tblLayout w:type="fixed"/>
        <w:tblLook w:val="04A0" w:firstRow="1" w:lastRow="0" w:firstColumn="1" w:lastColumn="0" w:noHBand="0" w:noVBand="1"/>
      </w:tblPr>
      <w:tblGrid>
        <w:gridCol w:w="1479"/>
        <w:gridCol w:w="1372"/>
        <w:gridCol w:w="6780"/>
      </w:tblGrid>
      <w:tr w:rsidR="00F51F7A" w14:paraId="49012914" w14:textId="77777777" w:rsidTr="008A69C7">
        <w:tc>
          <w:tcPr>
            <w:tcW w:w="1479" w:type="dxa"/>
            <w:shd w:val="clear" w:color="auto" w:fill="D9D9D9" w:themeFill="background1" w:themeFillShade="D9"/>
          </w:tcPr>
          <w:p w14:paraId="220BBBD9" w14:textId="77777777" w:rsidR="00F51F7A" w:rsidRDefault="00F51F7A" w:rsidP="008A69C7">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8A69C7">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8A69C7">
            <w:pPr>
              <w:rPr>
                <w:b/>
                <w:bCs/>
                <w:lang w:val="en-US"/>
              </w:rPr>
            </w:pPr>
            <w:r>
              <w:rPr>
                <w:b/>
                <w:bCs/>
                <w:lang w:val="en-US"/>
              </w:rPr>
              <w:t>Comments</w:t>
            </w:r>
          </w:p>
        </w:tc>
      </w:tr>
      <w:tr w:rsidR="00F51F7A" w14:paraId="0DEA6824" w14:textId="77777777" w:rsidTr="008A69C7">
        <w:tc>
          <w:tcPr>
            <w:tcW w:w="1479" w:type="dxa"/>
          </w:tcPr>
          <w:p w14:paraId="4C91C932" w14:textId="77777777" w:rsidR="00F51F7A" w:rsidRDefault="00F51F7A" w:rsidP="008A69C7">
            <w:pPr>
              <w:rPr>
                <w:rFonts w:eastAsiaTheme="minorEastAsia"/>
                <w:lang w:val="en-US" w:eastAsia="zh-CN"/>
              </w:rPr>
            </w:pPr>
          </w:p>
        </w:tc>
        <w:tc>
          <w:tcPr>
            <w:tcW w:w="1372" w:type="dxa"/>
          </w:tcPr>
          <w:p w14:paraId="0FE05058" w14:textId="77777777" w:rsidR="00F51F7A" w:rsidRDefault="00F51F7A" w:rsidP="008A69C7">
            <w:pPr>
              <w:tabs>
                <w:tab w:val="left" w:pos="551"/>
              </w:tabs>
              <w:rPr>
                <w:rFonts w:eastAsiaTheme="minorEastAsia"/>
                <w:lang w:val="en-US" w:eastAsia="zh-CN"/>
              </w:rPr>
            </w:pPr>
          </w:p>
        </w:tc>
        <w:tc>
          <w:tcPr>
            <w:tcW w:w="6780" w:type="dxa"/>
          </w:tcPr>
          <w:p w14:paraId="2B76F6E5" w14:textId="77777777" w:rsidR="00F51F7A" w:rsidRDefault="00F51F7A" w:rsidP="008A69C7">
            <w:pPr>
              <w:rPr>
                <w:rFonts w:eastAsiaTheme="minorEastAsia"/>
                <w:lang w:val="en-US" w:eastAsia="zh-CN"/>
              </w:rPr>
            </w:pPr>
          </w:p>
        </w:tc>
      </w:tr>
      <w:tr w:rsidR="00F51F7A" w14:paraId="6124D2FB" w14:textId="77777777" w:rsidTr="008A69C7">
        <w:tc>
          <w:tcPr>
            <w:tcW w:w="1479" w:type="dxa"/>
          </w:tcPr>
          <w:p w14:paraId="74A9E259" w14:textId="77777777" w:rsidR="00F51F7A" w:rsidRDefault="00F51F7A" w:rsidP="008A69C7">
            <w:pPr>
              <w:rPr>
                <w:rFonts w:eastAsiaTheme="minorEastAsia"/>
                <w:lang w:val="en-US" w:eastAsia="zh-CN"/>
              </w:rPr>
            </w:pPr>
          </w:p>
        </w:tc>
        <w:tc>
          <w:tcPr>
            <w:tcW w:w="1372" w:type="dxa"/>
          </w:tcPr>
          <w:p w14:paraId="345D7628" w14:textId="77777777" w:rsidR="00F51F7A" w:rsidRDefault="00F51F7A" w:rsidP="008A69C7">
            <w:pPr>
              <w:tabs>
                <w:tab w:val="left" w:pos="551"/>
              </w:tabs>
              <w:rPr>
                <w:rFonts w:eastAsiaTheme="minorEastAsia"/>
                <w:lang w:val="en-US" w:eastAsia="zh-CN"/>
              </w:rPr>
            </w:pPr>
          </w:p>
        </w:tc>
        <w:tc>
          <w:tcPr>
            <w:tcW w:w="6780" w:type="dxa"/>
          </w:tcPr>
          <w:p w14:paraId="008A9FE5" w14:textId="77777777" w:rsidR="00F51F7A" w:rsidRDefault="00F51F7A" w:rsidP="008A69C7">
            <w:pPr>
              <w:rPr>
                <w:rFonts w:eastAsiaTheme="minorEastAsia"/>
                <w:lang w:val="en-US" w:eastAsia="zh-CN"/>
              </w:rPr>
            </w:pPr>
          </w:p>
        </w:tc>
      </w:tr>
      <w:tr w:rsidR="00F51F7A" w14:paraId="5F85704B" w14:textId="77777777" w:rsidTr="008A69C7">
        <w:tc>
          <w:tcPr>
            <w:tcW w:w="1479" w:type="dxa"/>
          </w:tcPr>
          <w:p w14:paraId="5CBEC944" w14:textId="77777777" w:rsidR="00F51F7A" w:rsidRDefault="00F51F7A" w:rsidP="008A69C7">
            <w:pPr>
              <w:rPr>
                <w:rFonts w:eastAsiaTheme="minorEastAsia"/>
                <w:lang w:val="en-US" w:eastAsia="zh-CN"/>
              </w:rPr>
            </w:pPr>
          </w:p>
        </w:tc>
        <w:tc>
          <w:tcPr>
            <w:tcW w:w="1372" w:type="dxa"/>
          </w:tcPr>
          <w:p w14:paraId="1E3C1218" w14:textId="77777777" w:rsidR="00F51F7A" w:rsidRDefault="00F51F7A" w:rsidP="008A69C7">
            <w:pPr>
              <w:tabs>
                <w:tab w:val="left" w:pos="551"/>
              </w:tabs>
              <w:rPr>
                <w:rFonts w:eastAsiaTheme="minorEastAsia"/>
                <w:lang w:val="en-US" w:eastAsia="zh-CN"/>
              </w:rPr>
            </w:pPr>
          </w:p>
        </w:tc>
        <w:tc>
          <w:tcPr>
            <w:tcW w:w="6780" w:type="dxa"/>
          </w:tcPr>
          <w:p w14:paraId="018ED4C6" w14:textId="77777777" w:rsidR="00F51F7A" w:rsidRDefault="00F51F7A" w:rsidP="008A69C7">
            <w:pPr>
              <w:rPr>
                <w:rFonts w:eastAsiaTheme="minorEastAsia"/>
                <w:lang w:val="en-US" w:eastAsia="zh-CN"/>
              </w:rPr>
            </w:pPr>
          </w:p>
        </w:tc>
      </w:tr>
    </w:tbl>
    <w:p w14:paraId="4149E25B" w14:textId="77777777" w:rsidR="00F51F7A" w:rsidRPr="00F51F7A"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[9],[11],[14],[13],[19]</w:t>
      </w:r>
      <w:proofErr w:type="gramStart"/>
      <w:r w:rsidRPr="00FF555F">
        <w:rPr>
          <w:rFonts w:ascii="Times New Roman" w:hAnsi="Times New Roman" w:cs="Times New Roman"/>
          <w:sz w:val="20"/>
          <w:szCs w:val="20"/>
          <w:lang w:val="en-US"/>
        </w:rPr>
        <w:t xml:space="preserve">) </w:t>
      </w:r>
      <w:r w:rsidR="00D0422B">
        <w:rPr>
          <w:rFonts w:ascii="Times New Roman" w:hAnsi="Times New Roman" w:cs="Times New Roman"/>
          <w:sz w:val="20"/>
          <w:szCs w:val="20"/>
          <w:lang w:val="en-US"/>
        </w:rPr>
        <w:t>,</w:t>
      </w:r>
      <w:proofErr w:type="gramEnd"/>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f"/>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[11], [18</w:t>
      </w:r>
      <w:proofErr w:type="gramStart"/>
      <w:r w:rsidRPr="00FF555F">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rPr>
        <w:lastRenderedPageBreak/>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w:t>
      </w:r>
      <w:proofErr w:type="gramStart"/>
      <w:r>
        <w:rPr>
          <w:rFonts w:ascii="Arial" w:hAnsi="Arial" w:cs="Arial"/>
        </w:rPr>
        <w:t>1]</w:t>
      </w:r>
      <w:r w:rsidR="004112B4" w:rsidRPr="004112B4">
        <w:rPr>
          <w:rFonts w:ascii="Arial" w:hAnsi="Arial" w:cs="Arial"/>
        </w:rPr>
        <w:t>[</w:t>
      </w:r>
      <w:proofErr w:type="gramEnd"/>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000DE2F5"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3676EB">
        <w:rPr>
          <w:b/>
          <w:bCs/>
          <w:lang w:val="en-US"/>
        </w:rPr>
        <w:t xml:space="preserve">the command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8A69C7">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8A69C7">
        <w:tc>
          <w:tcPr>
            <w:tcW w:w="1479" w:type="dxa"/>
          </w:tcPr>
          <w:p w14:paraId="4E359F04" w14:textId="77777777" w:rsidR="00D86B52" w:rsidRPr="002F59BC" w:rsidRDefault="00D86B52" w:rsidP="002F59BC">
            <w:pPr>
              <w:spacing w:before="120" w:after="120" w:line="240" w:lineRule="atLeast"/>
              <w:rPr>
                <w:rFonts w:eastAsiaTheme="minorEastAsia"/>
                <w:lang w:val="en-US" w:eastAsia="zh-CN"/>
              </w:rPr>
            </w:pPr>
          </w:p>
        </w:tc>
        <w:tc>
          <w:tcPr>
            <w:tcW w:w="1372" w:type="dxa"/>
          </w:tcPr>
          <w:p w14:paraId="7A2243B3" w14:textId="77777777" w:rsidR="00D86B52" w:rsidRPr="002F59BC" w:rsidRDefault="00D86B52" w:rsidP="002F59BC">
            <w:pPr>
              <w:tabs>
                <w:tab w:val="left" w:pos="551"/>
              </w:tabs>
              <w:spacing w:before="120" w:after="120" w:line="240" w:lineRule="atLeast"/>
              <w:rPr>
                <w:rFonts w:eastAsiaTheme="minorEastAsia"/>
                <w:lang w:val="en-US" w:eastAsia="zh-CN"/>
              </w:rPr>
            </w:pPr>
          </w:p>
        </w:tc>
        <w:tc>
          <w:tcPr>
            <w:tcW w:w="6780" w:type="dxa"/>
          </w:tcPr>
          <w:p w14:paraId="0F8C35C6" w14:textId="77777777" w:rsidR="00D86B52" w:rsidRPr="002F59BC" w:rsidRDefault="00D86B52" w:rsidP="002F59BC">
            <w:pPr>
              <w:spacing w:before="120" w:after="120" w:line="240" w:lineRule="atLeast"/>
              <w:rPr>
                <w:rFonts w:eastAsiaTheme="minorEastAsia"/>
                <w:lang w:val="en-US" w:eastAsia="zh-CN"/>
              </w:rPr>
            </w:pPr>
          </w:p>
        </w:tc>
      </w:tr>
      <w:tr w:rsidR="00D86B52" w:rsidRPr="002F59BC" w14:paraId="74617895" w14:textId="77777777" w:rsidTr="008A69C7">
        <w:tc>
          <w:tcPr>
            <w:tcW w:w="1479" w:type="dxa"/>
          </w:tcPr>
          <w:p w14:paraId="0572D73C" w14:textId="77777777" w:rsidR="00D86B52" w:rsidRPr="002F59BC" w:rsidRDefault="00D86B52" w:rsidP="002F59BC">
            <w:pPr>
              <w:spacing w:before="120" w:after="120" w:line="240" w:lineRule="atLeast"/>
              <w:rPr>
                <w:rFonts w:eastAsiaTheme="minorEastAsia"/>
                <w:lang w:val="en-US" w:eastAsia="zh-CN"/>
              </w:rPr>
            </w:pPr>
          </w:p>
        </w:tc>
        <w:tc>
          <w:tcPr>
            <w:tcW w:w="1372" w:type="dxa"/>
          </w:tcPr>
          <w:p w14:paraId="21B7CFDF" w14:textId="77777777" w:rsidR="00D86B52" w:rsidRPr="002F59BC" w:rsidRDefault="00D86B52" w:rsidP="002F59BC">
            <w:pPr>
              <w:tabs>
                <w:tab w:val="left" w:pos="551"/>
              </w:tabs>
              <w:spacing w:before="120" w:after="120" w:line="240" w:lineRule="atLeast"/>
              <w:rPr>
                <w:rFonts w:eastAsiaTheme="minorEastAsia"/>
                <w:lang w:val="en-US" w:eastAsia="zh-CN"/>
              </w:rPr>
            </w:pPr>
          </w:p>
        </w:tc>
        <w:tc>
          <w:tcPr>
            <w:tcW w:w="6780" w:type="dxa"/>
          </w:tcPr>
          <w:p w14:paraId="23AE64E5" w14:textId="77777777" w:rsidR="00D86B52" w:rsidRPr="002F59BC" w:rsidRDefault="00D86B52" w:rsidP="002F59BC">
            <w:pPr>
              <w:spacing w:before="120" w:after="120" w:line="240" w:lineRule="atLeast"/>
              <w:rPr>
                <w:rFonts w:eastAsiaTheme="minorEastAsia"/>
                <w:lang w:val="en-US" w:eastAsia="zh-CN"/>
              </w:rPr>
            </w:pPr>
          </w:p>
        </w:tc>
      </w:tr>
      <w:tr w:rsidR="00D86B52" w:rsidRPr="002F59BC" w14:paraId="4900E27F" w14:textId="77777777" w:rsidTr="008A69C7">
        <w:tc>
          <w:tcPr>
            <w:tcW w:w="1479" w:type="dxa"/>
          </w:tcPr>
          <w:p w14:paraId="5A5BF2B3" w14:textId="77777777" w:rsidR="00D86B52" w:rsidRPr="002F59BC" w:rsidRDefault="00D86B52" w:rsidP="002F59BC">
            <w:pPr>
              <w:spacing w:before="120" w:after="120" w:line="240" w:lineRule="atLeast"/>
              <w:rPr>
                <w:rFonts w:eastAsiaTheme="minorEastAsia"/>
                <w:lang w:val="en-US" w:eastAsia="zh-CN"/>
              </w:rPr>
            </w:pPr>
          </w:p>
        </w:tc>
        <w:tc>
          <w:tcPr>
            <w:tcW w:w="1372" w:type="dxa"/>
          </w:tcPr>
          <w:p w14:paraId="147A9F90" w14:textId="77777777" w:rsidR="00D86B52" w:rsidRPr="002F59BC" w:rsidRDefault="00D86B52" w:rsidP="002F59BC">
            <w:pPr>
              <w:tabs>
                <w:tab w:val="left" w:pos="551"/>
              </w:tabs>
              <w:spacing w:before="120" w:after="120" w:line="240" w:lineRule="atLeast"/>
              <w:rPr>
                <w:rFonts w:eastAsiaTheme="minorEastAsia"/>
                <w:lang w:val="en-US" w:eastAsia="zh-CN"/>
              </w:rPr>
            </w:pPr>
          </w:p>
        </w:tc>
        <w:tc>
          <w:tcPr>
            <w:tcW w:w="6780" w:type="dxa"/>
          </w:tcPr>
          <w:p w14:paraId="3F480552" w14:textId="77777777" w:rsidR="00D86B52" w:rsidRPr="002F59BC" w:rsidRDefault="00D86B52" w:rsidP="002F59BC">
            <w:pPr>
              <w:spacing w:before="120" w:after="120" w:line="240" w:lineRule="atLeast"/>
              <w:rPr>
                <w:rFonts w:eastAsiaTheme="minorEastAsia"/>
                <w:lang w:val="en-US" w:eastAsia="zh-CN"/>
              </w:rPr>
            </w:pP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6116137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command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f"/>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D86B52" w14:paraId="551D35D7" w14:textId="77777777" w:rsidTr="008A69C7">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8A69C7">
        <w:tc>
          <w:tcPr>
            <w:tcW w:w="1479" w:type="dxa"/>
          </w:tcPr>
          <w:p w14:paraId="5CA76AB2" w14:textId="77777777" w:rsidR="00D86B52" w:rsidRDefault="00D86B52" w:rsidP="002F59BC">
            <w:pPr>
              <w:spacing w:before="120" w:after="120" w:line="240" w:lineRule="atLeast"/>
              <w:rPr>
                <w:rFonts w:eastAsiaTheme="minorEastAsia"/>
                <w:lang w:val="en-US" w:eastAsia="zh-CN"/>
              </w:rPr>
            </w:pPr>
          </w:p>
        </w:tc>
        <w:tc>
          <w:tcPr>
            <w:tcW w:w="1372" w:type="dxa"/>
          </w:tcPr>
          <w:p w14:paraId="1DB51698" w14:textId="77777777" w:rsidR="00D86B52" w:rsidRDefault="00D86B52" w:rsidP="002F59BC">
            <w:pPr>
              <w:tabs>
                <w:tab w:val="left" w:pos="551"/>
              </w:tabs>
              <w:spacing w:before="120" w:after="120" w:line="240" w:lineRule="atLeast"/>
              <w:rPr>
                <w:rFonts w:eastAsiaTheme="minorEastAsia"/>
                <w:lang w:val="en-US" w:eastAsia="zh-CN"/>
              </w:rPr>
            </w:pPr>
          </w:p>
        </w:tc>
        <w:tc>
          <w:tcPr>
            <w:tcW w:w="6780" w:type="dxa"/>
          </w:tcPr>
          <w:p w14:paraId="47307639" w14:textId="77777777" w:rsidR="00D86B52" w:rsidRDefault="00D86B52" w:rsidP="002F59BC">
            <w:pPr>
              <w:spacing w:before="120" w:after="120" w:line="240" w:lineRule="atLeast"/>
              <w:rPr>
                <w:rFonts w:eastAsiaTheme="minorEastAsia"/>
                <w:lang w:val="en-US" w:eastAsia="zh-CN"/>
              </w:rPr>
            </w:pPr>
          </w:p>
        </w:tc>
      </w:tr>
      <w:tr w:rsidR="00D86B52" w14:paraId="43ABCA08" w14:textId="77777777" w:rsidTr="008A69C7">
        <w:tc>
          <w:tcPr>
            <w:tcW w:w="1479" w:type="dxa"/>
          </w:tcPr>
          <w:p w14:paraId="53B9143D" w14:textId="77777777" w:rsidR="00D86B52" w:rsidRDefault="00D86B52" w:rsidP="002F59BC">
            <w:pPr>
              <w:spacing w:before="120" w:after="120" w:line="240" w:lineRule="atLeast"/>
              <w:rPr>
                <w:rFonts w:eastAsiaTheme="minorEastAsia"/>
                <w:lang w:val="en-US" w:eastAsia="zh-CN"/>
              </w:rPr>
            </w:pPr>
          </w:p>
        </w:tc>
        <w:tc>
          <w:tcPr>
            <w:tcW w:w="1372" w:type="dxa"/>
          </w:tcPr>
          <w:p w14:paraId="7E4A5062" w14:textId="77777777" w:rsidR="00D86B52" w:rsidRDefault="00D86B52" w:rsidP="002F59BC">
            <w:pPr>
              <w:tabs>
                <w:tab w:val="left" w:pos="551"/>
              </w:tabs>
              <w:spacing w:before="120" w:after="120" w:line="240" w:lineRule="atLeast"/>
              <w:rPr>
                <w:rFonts w:eastAsiaTheme="minorEastAsia"/>
                <w:lang w:val="en-US" w:eastAsia="zh-CN"/>
              </w:rPr>
            </w:pPr>
          </w:p>
        </w:tc>
        <w:tc>
          <w:tcPr>
            <w:tcW w:w="6780" w:type="dxa"/>
          </w:tcPr>
          <w:p w14:paraId="03FAB2D8" w14:textId="77777777" w:rsidR="00D86B52" w:rsidRDefault="00D86B52" w:rsidP="002F59BC">
            <w:pPr>
              <w:spacing w:before="120" w:after="120" w:line="240" w:lineRule="atLeast"/>
              <w:rPr>
                <w:rFonts w:eastAsiaTheme="minorEastAsia"/>
                <w:lang w:val="en-US" w:eastAsia="zh-CN"/>
              </w:rPr>
            </w:pPr>
          </w:p>
        </w:tc>
      </w:tr>
      <w:tr w:rsidR="00D86B52" w14:paraId="7D8546A3" w14:textId="77777777" w:rsidTr="008A69C7">
        <w:tc>
          <w:tcPr>
            <w:tcW w:w="1479" w:type="dxa"/>
          </w:tcPr>
          <w:p w14:paraId="30726C46" w14:textId="77777777" w:rsidR="00D86B52" w:rsidRDefault="00D86B52" w:rsidP="002F59BC">
            <w:pPr>
              <w:spacing w:before="120" w:after="120" w:line="240" w:lineRule="atLeast"/>
              <w:rPr>
                <w:rFonts w:eastAsiaTheme="minorEastAsia"/>
                <w:lang w:val="en-US" w:eastAsia="zh-CN"/>
              </w:rPr>
            </w:pPr>
          </w:p>
        </w:tc>
        <w:tc>
          <w:tcPr>
            <w:tcW w:w="1372" w:type="dxa"/>
          </w:tcPr>
          <w:p w14:paraId="30B08B54" w14:textId="77777777" w:rsidR="00D86B52" w:rsidRDefault="00D86B52" w:rsidP="002F59BC">
            <w:pPr>
              <w:tabs>
                <w:tab w:val="left" w:pos="551"/>
              </w:tabs>
              <w:spacing w:before="120" w:after="120" w:line="240" w:lineRule="atLeast"/>
              <w:rPr>
                <w:rFonts w:eastAsiaTheme="minorEastAsia"/>
                <w:lang w:val="en-US" w:eastAsia="zh-CN"/>
              </w:rPr>
            </w:pPr>
          </w:p>
        </w:tc>
        <w:tc>
          <w:tcPr>
            <w:tcW w:w="6780" w:type="dxa"/>
          </w:tcPr>
          <w:p w14:paraId="7FDDDD71" w14:textId="77777777" w:rsidR="00D86B52" w:rsidRDefault="00D86B52" w:rsidP="002F59BC">
            <w:pPr>
              <w:spacing w:before="120" w:after="120" w:line="240" w:lineRule="atLeast"/>
              <w:rPr>
                <w:rFonts w:eastAsiaTheme="minorEastAsia"/>
                <w:lang w:val="en-US" w:eastAsia="zh-CN"/>
              </w:rPr>
            </w:pP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9.3pt;height:81.1pt" o:ole="">
            <v:imagedata r:id="rId14" o:title=""/>
          </v:shape>
          <o:OLEObject Type="Embed" ProgID="Visio.Drawing.15" ShapeID="_x0000_i1026" DrawAspect="Content" ObjectID="_1832033332"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lastRenderedPageBreak/>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f"/>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f"/>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8"/>
        <w:tblW w:w="9631" w:type="dxa"/>
        <w:tblLayout w:type="fixed"/>
        <w:tblLook w:val="04A0" w:firstRow="1" w:lastRow="0" w:firstColumn="1" w:lastColumn="0" w:noHBand="0" w:noVBand="1"/>
      </w:tblPr>
      <w:tblGrid>
        <w:gridCol w:w="1479"/>
        <w:gridCol w:w="1372"/>
        <w:gridCol w:w="6780"/>
      </w:tblGrid>
      <w:tr w:rsidR="00C74CCE" w14:paraId="054CDA3A" w14:textId="77777777" w:rsidTr="008A69C7">
        <w:tc>
          <w:tcPr>
            <w:tcW w:w="1479" w:type="dxa"/>
            <w:shd w:val="clear" w:color="auto" w:fill="D9D9D9" w:themeFill="background1" w:themeFillShade="D9"/>
          </w:tcPr>
          <w:p w14:paraId="1780F558" w14:textId="77777777" w:rsidR="00C74CCE" w:rsidRDefault="00C74CCE" w:rsidP="008A69C7">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8A69C7">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8A69C7">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8A69C7">
        <w:tc>
          <w:tcPr>
            <w:tcW w:w="1479" w:type="dxa"/>
          </w:tcPr>
          <w:p w14:paraId="705C8F93" w14:textId="77777777" w:rsidR="00C74CCE" w:rsidRDefault="00C74CCE" w:rsidP="008A69C7">
            <w:pPr>
              <w:rPr>
                <w:rFonts w:eastAsiaTheme="minorEastAsia"/>
                <w:lang w:val="en-US" w:eastAsia="zh-CN"/>
              </w:rPr>
            </w:pPr>
          </w:p>
        </w:tc>
        <w:tc>
          <w:tcPr>
            <w:tcW w:w="1372" w:type="dxa"/>
          </w:tcPr>
          <w:p w14:paraId="29FCF68F" w14:textId="77777777" w:rsidR="00C74CCE" w:rsidRDefault="00C74CCE" w:rsidP="008A69C7">
            <w:pPr>
              <w:tabs>
                <w:tab w:val="left" w:pos="551"/>
              </w:tabs>
              <w:rPr>
                <w:rFonts w:eastAsiaTheme="minorEastAsia"/>
                <w:lang w:val="en-US" w:eastAsia="zh-CN"/>
              </w:rPr>
            </w:pPr>
          </w:p>
        </w:tc>
        <w:tc>
          <w:tcPr>
            <w:tcW w:w="6780" w:type="dxa"/>
          </w:tcPr>
          <w:p w14:paraId="688BA509" w14:textId="77777777" w:rsidR="00C74CCE" w:rsidRDefault="00C74CCE" w:rsidP="008A69C7">
            <w:pPr>
              <w:rPr>
                <w:rFonts w:eastAsiaTheme="minorEastAsia"/>
                <w:lang w:val="en-US" w:eastAsia="zh-CN"/>
              </w:rPr>
            </w:pPr>
          </w:p>
        </w:tc>
      </w:tr>
      <w:tr w:rsidR="00C74CCE" w14:paraId="59B22C06" w14:textId="77777777" w:rsidTr="008A69C7">
        <w:tc>
          <w:tcPr>
            <w:tcW w:w="1479" w:type="dxa"/>
          </w:tcPr>
          <w:p w14:paraId="59D5B791" w14:textId="77777777" w:rsidR="00C74CCE" w:rsidRDefault="00C74CCE" w:rsidP="008A69C7">
            <w:pPr>
              <w:rPr>
                <w:rFonts w:eastAsiaTheme="minorEastAsia"/>
                <w:lang w:val="en-US" w:eastAsia="zh-CN"/>
              </w:rPr>
            </w:pPr>
          </w:p>
        </w:tc>
        <w:tc>
          <w:tcPr>
            <w:tcW w:w="1372" w:type="dxa"/>
          </w:tcPr>
          <w:p w14:paraId="76F02684" w14:textId="77777777" w:rsidR="00C74CCE" w:rsidRDefault="00C74CCE" w:rsidP="008A69C7">
            <w:pPr>
              <w:tabs>
                <w:tab w:val="left" w:pos="551"/>
              </w:tabs>
              <w:rPr>
                <w:rFonts w:eastAsiaTheme="minorEastAsia"/>
                <w:lang w:val="en-US" w:eastAsia="zh-CN"/>
              </w:rPr>
            </w:pPr>
          </w:p>
        </w:tc>
        <w:tc>
          <w:tcPr>
            <w:tcW w:w="6780" w:type="dxa"/>
          </w:tcPr>
          <w:p w14:paraId="760284EB" w14:textId="77777777" w:rsidR="00C74CCE" w:rsidRDefault="00C74CCE" w:rsidP="008A69C7">
            <w:pPr>
              <w:rPr>
                <w:rFonts w:eastAsiaTheme="minorEastAsia"/>
                <w:lang w:val="en-US" w:eastAsia="zh-CN"/>
              </w:rPr>
            </w:pPr>
          </w:p>
        </w:tc>
      </w:tr>
      <w:tr w:rsidR="00C74CCE" w14:paraId="39436321" w14:textId="77777777" w:rsidTr="008A69C7">
        <w:tc>
          <w:tcPr>
            <w:tcW w:w="1479" w:type="dxa"/>
          </w:tcPr>
          <w:p w14:paraId="234FB760" w14:textId="77777777" w:rsidR="00C74CCE" w:rsidRDefault="00C74CCE" w:rsidP="008A69C7">
            <w:pPr>
              <w:rPr>
                <w:rFonts w:eastAsiaTheme="minorEastAsia"/>
                <w:lang w:val="en-US" w:eastAsia="zh-CN"/>
              </w:rPr>
            </w:pPr>
          </w:p>
        </w:tc>
        <w:tc>
          <w:tcPr>
            <w:tcW w:w="1372" w:type="dxa"/>
          </w:tcPr>
          <w:p w14:paraId="443AA582" w14:textId="77777777" w:rsidR="00C74CCE" w:rsidRDefault="00C74CCE" w:rsidP="008A69C7">
            <w:pPr>
              <w:tabs>
                <w:tab w:val="left" w:pos="551"/>
              </w:tabs>
              <w:rPr>
                <w:rFonts w:eastAsiaTheme="minorEastAsia"/>
                <w:lang w:val="en-US" w:eastAsia="zh-CN"/>
              </w:rPr>
            </w:pPr>
          </w:p>
        </w:tc>
        <w:tc>
          <w:tcPr>
            <w:tcW w:w="6780" w:type="dxa"/>
          </w:tcPr>
          <w:p w14:paraId="18EC3895" w14:textId="77777777" w:rsidR="00C74CCE" w:rsidRDefault="00C74CCE" w:rsidP="008A69C7">
            <w:pPr>
              <w:rPr>
                <w:rFonts w:eastAsiaTheme="minorEastAsia"/>
                <w:lang w:val="en-US" w:eastAsia="zh-CN"/>
              </w:rPr>
            </w:pPr>
          </w:p>
        </w:tc>
      </w:tr>
    </w:tbl>
    <w:p w14:paraId="04429BB9" w14:textId="77777777" w:rsidR="00F167C4" w:rsidRPr="0026673D" w:rsidRDefault="00F167C4" w:rsidP="0026673D"/>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f"/>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lastRenderedPageBreak/>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w:t>
      </w:r>
      <w:proofErr w:type="gramStart"/>
      <w:r>
        <w:rPr>
          <w:rFonts w:ascii="Arial" w:hAnsi="Arial" w:cs="Arial"/>
        </w:rPr>
        <w:t>1]</w:t>
      </w:r>
      <w:r w:rsidRPr="004112B4">
        <w:rPr>
          <w:rFonts w:ascii="Arial" w:hAnsi="Arial" w:cs="Arial"/>
        </w:rPr>
        <w:t>[</w:t>
      </w:r>
      <w:proofErr w:type="gramEnd"/>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063A3" w14:paraId="753D28C8" w14:textId="77777777" w:rsidTr="00EA15CE">
        <w:tc>
          <w:tcPr>
            <w:tcW w:w="1479" w:type="dxa"/>
            <w:shd w:val="clear" w:color="auto" w:fill="D9D9D9" w:themeFill="background1" w:themeFillShade="D9"/>
          </w:tcPr>
          <w:p w14:paraId="5F4CC312" w14:textId="77777777" w:rsidR="008063A3" w:rsidRDefault="008063A3" w:rsidP="00EA15CE">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EA15CE">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EA15CE">
            <w:pPr>
              <w:rPr>
                <w:b/>
                <w:bCs/>
                <w:lang w:val="en-US"/>
              </w:rPr>
            </w:pPr>
            <w:r>
              <w:rPr>
                <w:b/>
                <w:bCs/>
                <w:lang w:val="en-US"/>
              </w:rPr>
              <w:t>Comments</w:t>
            </w:r>
          </w:p>
        </w:tc>
      </w:tr>
      <w:tr w:rsidR="008063A3" w14:paraId="7BD477F1" w14:textId="77777777" w:rsidTr="00EA15CE">
        <w:tc>
          <w:tcPr>
            <w:tcW w:w="1479" w:type="dxa"/>
          </w:tcPr>
          <w:p w14:paraId="46527A44" w14:textId="77777777" w:rsidR="008063A3" w:rsidRDefault="008063A3" w:rsidP="00EA15CE">
            <w:pPr>
              <w:rPr>
                <w:rFonts w:eastAsiaTheme="minorEastAsia"/>
                <w:lang w:val="en-US" w:eastAsia="zh-CN"/>
              </w:rPr>
            </w:pPr>
          </w:p>
        </w:tc>
        <w:tc>
          <w:tcPr>
            <w:tcW w:w="1372" w:type="dxa"/>
          </w:tcPr>
          <w:p w14:paraId="6529550C" w14:textId="77777777" w:rsidR="008063A3" w:rsidRDefault="008063A3" w:rsidP="00EA15CE">
            <w:pPr>
              <w:tabs>
                <w:tab w:val="left" w:pos="551"/>
              </w:tabs>
              <w:rPr>
                <w:rFonts w:eastAsiaTheme="minorEastAsia"/>
                <w:lang w:val="en-US" w:eastAsia="zh-CN"/>
              </w:rPr>
            </w:pPr>
          </w:p>
        </w:tc>
        <w:tc>
          <w:tcPr>
            <w:tcW w:w="6780" w:type="dxa"/>
          </w:tcPr>
          <w:p w14:paraId="7DB09F19" w14:textId="77777777" w:rsidR="008063A3" w:rsidRDefault="008063A3" w:rsidP="00EA15CE">
            <w:pPr>
              <w:rPr>
                <w:rFonts w:eastAsiaTheme="minorEastAsia"/>
                <w:lang w:val="en-US" w:eastAsia="zh-CN"/>
              </w:rPr>
            </w:pPr>
          </w:p>
        </w:tc>
      </w:tr>
      <w:tr w:rsidR="008063A3" w14:paraId="5DBCAC77" w14:textId="77777777" w:rsidTr="00EA15CE">
        <w:tc>
          <w:tcPr>
            <w:tcW w:w="1479" w:type="dxa"/>
          </w:tcPr>
          <w:p w14:paraId="210A4E1E" w14:textId="77777777" w:rsidR="008063A3" w:rsidRDefault="008063A3" w:rsidP="00EA15CE">
            <w:pPr>
              <w:rPr>
                <w:rFonts w:eastAsiaTheme="minorEastAsia"/>
                <w:lang w:val="en-US" w:eastAsia="zh-CN"/>
              </w:rPr>
            </w:pPr>
          </w:p>
        </w:tc>
        <w:tc>
          <w:tcPr>
            <w:tcW w:w="1372" w:type="dxa"/>
          </w:tcPr>
          <w:p w14:paraId="2363883A" w14:textId="77777777" w:rsidR="008063A3" w:rsidRDefault="008063A3" w:rsidP="00EA15CE">
            <w:pPr>
              <w:tabs>
                <w:tab w:val="left" w:pos="551"/>
              </w:tabs>
              <w:rPr>
                <w:rFonts w:eastAsiaTheme="minorEastAsia"/>
                <w:lang w:val="en-US" w:eastAsia="zh-CN"/>
              </w:rPr>
            </w:pPr>
          </w:p>
        </w:tc>
        <w:tc>
          <w:tcPr>
            <w:tcW w:w="6780" w:type="dxa"/>
          </w:tcPr>
          <w:p w14:paraId="3C6DDCCE" w14:textId="77777777" w:rsidR="008063A3" w:rsidRDefault="008063A3" w:rsidP="00EA15CE">
            <w:pPr>
              <w:rPr>
                <w:rFonts w:eastAsiaTheme="minorEastAsia"/>
                <w:lang w:val="en-US" w:eastAsia="zh-CN"/>
              </w:rPr>
            </w:pPr>
          </w:p>
        </w:tc>
      </w:tr>
      <w:tr w:rsidR="008063A3" w14:paraId="630FD94F" w14:textId="77777777" w:rsidTr="00EA15CE">
        <w:tc>
          <w:tcPr>
            <w:tcW w:w="1479" w:type="dxa"/>
          </w:tcPr>
          <w:p w14:paraId="2A314512" w14:textId="77777777" w:rsidR="008063A3" w:rsidRDefault="008063A3" w:rsidP="00EA15CE">
            <w:pPr>
              <w:rPr>
                <w:rFonts w:eastAsiaTheme="minorEastAsia"/>
                <w:lang w:val="en-US" w:eastAsia="zh-CN"/>
              </w:rPr>
            </w:pPr>
          </w:p>
        </w:tc>
        <w:tc>
          <w:tcPr>
            <w:tcW w:w="1372" w:type="dxa"/>
          </w:tcPr>
          <w:p w14:paraId="3F339656" w14:textId="77777777" w:rsidR="008063A3" w:rsidRDefault="008063A3" w:rsidP="00EA15CE">
            <w:pPr>
              <w:tabs>
                <w:tab w:val="left" w:pos="551"/>
              </w:tabs>
              <w:rPr>
                <w:rFonts w:eastAsiaTheme="minorEastAsia"/>
                <w:lang w:val="en-US" w:eastAsia="zh-CN"/>
              </w:rPr>
            </w:pPr>
          </w:p>
        </w:tc>
        <w:tc>
          <w:tcPr>
            <w:tcW w:w="6780" w:type="dxa"/>
          </w:tcPr>
          <w:p w14:paraId="391B3011" w14:textId="77777777" w:rsidR="008063A3" w:rsidRDefault="008063A3" w:rsidP="00EA15CE">
            <w:pPr>
              <w:rPr>
                <w:rFonts w:eastAsiaTheme="minorEastAsia"/>
                <w:lang w:val="en-US" w:eastAsia="zh-CN"/>
              </w:rPr>
            </w:pP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a"/>
          <w:b/>
          <w:bCs/>
        </w:rPr>
        <w:t>NPDSCH-</w:t>
      </w:r>
      <w:proofErr w:type="spellStart"/>
      <w:r w:rsidR="006B5869" w:rsidRPr="006B5869">
        <w:rPr>
          <w:rStyle w:val="afa"/>
          <w:b/>
          <w:bCs/>
        </w:rPr>
        <w:t>ConfigCommon</w:t>
      </w:r>
      <w:proofErr w:type="spellEnd"/>
      <w:r w:rsidR="006B5869" w:rsidRPr="006B5869">
        <w:rPr>
          <w:rStyle w:val="afa"/>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aff"/>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8"/>
        <w:tblW w:w="9631" w:type="dxa"/>
        <w:tblLayout w:type="fixed"/>
        <w:tblLook w:val="04A0" w:firstRow="1" w:lastRow="0" w:firstColumn="1" w:lastColumn="0" w:noHBand="0" w:noVBand="1"/>
      </w:tblPr>
      <w:tblGrid>
        <w:gridCol w:w="1479"/>
        <w:gridCol w:w="1372"/>
        <w:gridCol w:w="6780"/>
      </w:tblGrid>
      <w:tr w:rsidR="00E025B2" w14:paraId="57F1F0DA" w14:textId="77777777" w:rsidTr="009323A6">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9323A6">
        <w:tc>
          <w:tcPr>
            <w:tcW w:w="1479" w:type="dxa"/>
          </w:tcPr>
          <w:p w14:paraId="77B1BACD" w14:textId="77777777" w:rsidR="00E025B2" w:rsidRDefault="00E025B2" w:rsidP="002F59BC">
            <w:pPr>
              <w:spacing w:before="120" w:after="120" w:line="240" w:lineRule="atLeast"/>
              <w:rPr>
                <w:rFonts w:eastAsiaTheme="minorEastAsia"/>
                <w:lang w:val="en-US" w:eastAsia="zh-CN"/>
              </w:rPr>
            </w:pPr>
          </w:p>
        </w:tc>
        <w:tc>
          <w:tcPr>
            <w:tcW w:w="1372" w:type="dxa"/>
          </w:tcPr>
          <w:p w14:paraId="785841FB" w14:textId="77777777" w:rsidR="00E025B2" w:rsidRDefault="00E025B2" w:rsidP="002F59BC">
            <w:pPr>
              <w:tabs>
                <w:tab w:val="left" w:pos="551"/>
              </w:tabs>
              <w:spacing w:before="120" w:after="120" w:line="240" w:lineRule="atLeast"/>
              <w:rPr>
                <w:rFonts w:eastAsiaTheme="minorEastAsia"/>
                <w:lang w:val="en-US" w:eastAsia="zh-CN"/>
              </w:rPr>
            </w:pPr>
          </w:p>
        </w:tc>
        <w:tc>
          <w:tcPr>
            <w:tcW w:w="6780" w:type="dxa"/>
          </w:tcPr>
          <w:p w14:paraId="6CE82F98" w14:textId="77777777" w:rsidR="00E025B2" w:rsidRDefault="00E025B2" w:rsidP="002F59BC">
            <w:pPr>
              <w:spacing w:before="120" w:after="120" w:line="240" w:lineRule="atLeast"/>
              <w:rPr>
                <w:rFonts w:eastAsiaTheme="minorEastAsia"/>
                <w:lang w:val="en-US" w:eastAsia="zh-CN"/>
              </w:rPr>
            </w:pPr>
          </w:p>
        </w:tc>
      </w:tr>
      <w:tr w:rsidR="00E025B2" w14:paraId="5DEC3BB3" w14:textId="77777777" w:rsidTr="009323A6">
        <w:tc>
          <w:tcPr>
            <w:tcW w:w="1479" w:type="dxa"/>
          </w:tcPr>
          <w:p w14:paraId="4289CB4B" w14:textId="77777777" w:rsidR="00E025B2" w:rsidRDefault="00E025B2" w:rsidP="002F59BC">
            <w:pPr>
              <w:spacing w:before="120" w:after="120" w:line="240" w:lineRule="atLeast"/>
              <w:rPr>
                <w:rFonts w:eastAsiaTheme="minorEastAsia"/>
                <w:lang w:val="en-US" w:eastAsia="zh-CN"/>
              </w:rPr>
            </w:pPr>
          </w:p>
        </w:tc>
        <w:tc>
          <w:tcPr>
            <w:tcW w:w="1372" w:type="dxa"/>
          </w:tcPr>
          <w:p w14:paraId="3B48E419" w14:textId="77777777" w:rsidR="00E025B2" w:rsidRDefault="00E025B2" w:rsidP="002F59BC">
            <w:pPr>
              <w:tabs>
                <w:tab w:val="left" w:pos="551"/>
              </w:tabs>
              <w:spacing w:before="120" w:after="120" w:line="240" w:lineRule="atLeast"/>
              <w:rPr>
                <w:rFonts w:eastAsiaTheme="minorEastAsia"/>
                <w:lang w:val="en-US" w:eastAsia="zh-CN"/>
              </w:rPr>
            </w:pPr>
          </w:p>
        </w:tc>
        <w:tc>
          <w:tcPr>
            <w:tcW w:w="6780" w:type="dxa"/>
          </w:tcPr>
          <w:p w14:paraId="7663637A" w14:textId="77777777" w:rsidR="00E025B2" w:rsidRDefault="00E025B2" w:rsidP="002F59BC">
            <w:pPr>
              <w:spacing w:before="120" w:after="120" w:line="240" w:lineRule="atLeast"/>
              <w:rPr>
                <w:rFonts w:eastAsiaTheme="minorEastAsia"/>
                <w:lang w:val="en-US" w:eastAsia="zh-CN"/>
              </w:rPr>
            </w:pPr>
          </w:p>
        </w:tc>
      </w:tr>
      <w:tr w:rsidR="00E025B2" w14:paraId="4D782D47" w14:textId="77777777" w:rsidTr="009323A6">
        <w:tc>
          <w:tcPr>
            <w:tcW w:w="1479" w:type="dxa"/>
          </w:tcPr>
          <w:p w14:paraId="4ABB2FF2" w14:textId="77777777" w:rsidR="00E025B2" w:rsidRDefault="00E025B2" w:rsidP="002F59BC">
            <w:pPr>
              <w:spacing w:before="120" w:after="120" w:line="240" w:lineRule="atLeast"/>
              <w:rPr>
                <w:rFonts w:eastAsiaTheme="minorEastAsia"/>
                <w:lang w:val="en-US" w:eastAsia="zh-CN"/>
              </w:rPr>
            </w:pPr>
          </w:p>
        </w:tc>
        <w:tc>
          <w:tcPr>
            <w:tcW w:w="1372" w:type="dxa"/>
          </w:tcPr>
          <w:p w14:paraId="0A2B42AA" w14:textId="77777777" w:rsidR="00E025B2" w:rsidRDefault="00E025B2" w:rsidP="002F59BC">
            <w:pPr>
              <w:tabs>
                <w:tab w:val="left" w:pos="551"/>
              </w:tabs>
              <w:spacing w:before="120" w:after="120" w:line="240" w:lineRule="atLeast"/>
              <w:rPr>
                <w:rFonts w:eastAsiaTheme="minorEastAsia"/>
                <w:lang w:val="en-US" w:eastAsia="zh-CN"/>
              </w:rPr>
            </w:pPr>
          </w:p>
        </w:tc>
        <w:tc>
          <w:tcPr>
            <w:tcW w:w="6780" w:type="dxa"/>
          </w:tcPr>
          <w:p w14:paraId="38A92EE1" w14:textId="77777777" w:rsidR="00E025B2" w:rsidRDefault="00E025B2" w:rsidP="002F59BC">
            <w:pPr>
              <w:spacing w:before="120" w:after="120" w:line="240" w:lineRule="atLeast"/>
              <w:rPr>
                <w:rFonts w:eastAsiaTheme="minorEastAsia"/>
                <w:lang w:val="en-US" w:eastAsia="zh-CN"/>
              </w:rPr>
            </w:pPr>
          </w:p>
        </w:tc>
      </w:tr>
    </w:tbl>
    <w:p w14:paraId="0E20F5DB" w14:textId="77777777" w:rsidR="00D877BB" w:rsidRPr="00D26795"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lastRenderedPageBreak/>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proofErr w:type="spellStart"/>
      <w:r w:rsidR="006947BD" w:rsidRPr="006947BD">
        <w:rPr>
          <w:lang w:eastAsia="zh-CN"/>
        </w:rPr>
        <w:t>eMTC</w:t>
      </w:r>
      <w:proofErr w:type="spellEnd"/>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w:t>
      </w:r>
      <w:proofErr w:type="spellStart"/>
      <w:r w:rsidR="006947BD" w:rsidRPr="006947BD">
        <w:rPr>
          <w:lang w:eastAsia="zh-CN"/>
        </w:rPr>
        <w:t>eMTC</w:t>
      </w:r>
      <w:proofErr w:type="spellEnd"/>
      <w:r w:rsidR="006947BD" w:rsidRPr="006947BD">
        <w:rPr>
          <w:lang w:eastAsia="zh-CN"/>
        </w:rPr>
        <w:t xml:space="preserve"> CE Mode A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A3F51" w14:paraId="7E02DC6D" w14:textId="77777777" w:rsidTr="009323A6">
        <w:tc>
          <w:tcPr>
            <w:tcW w:w="1479" w:type="dxa"/>
            <w:shd w:val="clear" w:color="auto" w:fill="D9D9D9" w:themeFill="background1" w:themeFillShade="D9"/>
          </w:tcPr>
          <w:p w14:paraId="398DF082" w14:textId="77777777" w:rsidR="008A3F51" w:rsidRDefault="008A3F51" w:rsidP="009323A6">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9323A6">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9323A6">
            <w:pPr>
              <w:rPr>
                <w:b/>
                <w:bCs/>
                <w:lang w:val="en-US"/>
              </w:rPr>
            </w:pPr>
            <w:r>
              <w:rPr>
                <w:b/>
                <w:bCs/>
                <w:lang w:val="en-US"/>
              </w:rPr>
              <w:t>Comments</w:t>
            </w:r>
          </w:p>
        </w:tc>
      </w:tr>
      <w:tr w:rsidR="008A3F51" w14:paraId="2C4602D7" w14:textId="77777777" w:rsidTr="009323A6">
        <w:tc>
          <w:tcPr>
            <w:tcW w:w="1479" w:type="dxa"/>
          </w:tcPr>
          <w:p w14:paraId="4ECF489E" w14:textId="77777777" w:rsidR="008A3F51" w:rsidRDefault="008A3F51" w:rsidP="009323A6">
            <w:pPr>
              <w:rPr>
                <w:rFonts w:eastAsiaTheme="minorEastAsia"/>
                <w:lang w:val="en-US" w:eastAsia="zh-CN"/>
              </w:rPr>
            </w:pPr>
          </w:p>
        </w:tc>
        <w:tc>
          <w:tcPr>
            <w:tcW w:w="1372" w:type="dxa"/>
          </w:tcPr>
          <w:p w14:paraId="0121BB88" w14:textId="77777777" w:rsidR="008A3F51" w:rsidRDefault="008A3F51" w:rsidP="009323A6">
            <w:pPr>
              <w:tabs>
                <w:tab w:val="left" w:pos="551"/>
              </w:tabs>
              <w:rPr>
                <w:rFonts w:eastAsiaTheme="minorEastAsia"/>
                <w:lang w:val="en-US" w:eastAsia="zh-CN"/>
              </w:rPr>
            </w:pPr>
          </w:p>
        </w:tc>
        <w:tc>
          <w:tcPr>
            <w:tcW w:w="6780" w:type="dxa"/>
          </w:tcPr>
          <w:p w14:paraId="0623F3A0" w14:textId="77777777" w:rsidR="008A3F51" w:rsidRDefault="008A3F51" w:rsidP="009323A6">
            <w:pPr>
              <w:rPr>
                <w:rFonts w:eastAsiaTheme="minorEastAsia"/>
                <w:lang w:val="en-US" w:eastAsia="zh-CN"/>
              </w:rPr>
            </w:pPr>
          </w:p>
        </w:tc>
      </w:tr>
      <w:tr w:rsidR="008A3F51" w14:paraId="63DAECCA" w14:textId="77777777" w:rsidTr="009323A6">
        <w:tc>
          <w:tcPr>
            <w:tcW w:w="1479" w:type="dxa"/>
          </w:tcPr>
          <w:p w14:paraId="14E7BC8C" w14:textId="77777777" w:rsidR="008A3F51" w:rsidRDefault="008A3F51" w:rsidP="009323A6">
            <w:pPr>
              <w:rPr>
                <w:rFonts w:eastAsiaTheme="minorEastAsia"/>
                <w:lang w:val="en-US" w:eastAsia="zh-CN"/>
              </w:rPr>
            </w:pPr>
          </w:p>
        </w:tc>
        <w:tc>
          <w:tcPr>
            <w:tcW w:w="1372" w:type="dxa"/>
          </w:tcPr>
          <w:p w14:paraId="1938F129" w14:textId="77777777" w:rsidR="008A3F51" w:rsidRDefault="008A3F51" w:rsidP="009323A6">
            <w:pPr>
              <w:tabs>
                <w:tab w:val="left" w:pos="551"/>
              </w:tabs>
              <w:rPr>
                <w:rFonts w:eastAsiaTheme="minorEastAsia"/>
                <w:lang w:val="en-US" w:eastAsia="zh-CN"/>
              </w:rPr>
            </w:pPr>
          </w:p>
        </w:tc>
        <w:tc>
          <w:tcPr>
            <w:tcW w:w="6780" w:type="dxa"/>
          </w:tcPr>
          <w:p w14:paraId="388866C2" w14:textId="77777777" w:rsidR="008A3F51" w:rsidRDefault="008A3F51" w:rsidP="009323A6">
            <w:pPr>
              <w:rPr>
                <w:rFonts w:eastAsiaTheme="minorEastAsia"/>
                <w:lang w:val="en-US" w:eastAsia="zh-CN"/>
              </w:rPr>
            </w:pPr>
          </w:p>
        </w:tc>
      </w:tr>
      <w:tr w:rsidR="008A3F51" w14:paraId="60AF8FF9" w14:textId="77777777" w:rsidTr="009323A6">
        <w:tc>
          <w:tcPr>
            <w:tcW w:w="1479" w:type="dxa"/>
          </w:tcPr>
          <w:p w14:paraId="60BAEE7A" w14:textId="77777777" w:rsidR="008A3F51" w:rsidRDefault="008A3F51" w:rsidP="009323A6">
            <w:pPr>
              <w:rPr>
                <w:rFonts w:eastAsiaTheme="minorEastAsia"/>
                <w:lang w:val="en-US" w:eastAsia="zh-CN"/>
              </w:rPr>
            </w:pPr>
          </w:p>
        </w:tc>
        <w:tc>
          <w:tcPr>
            <w:tcW w:w="1372" w:type="dxa"/>
          </w:tcPr>
          <w:p w14:paraId="7E5BAA23" w14:textId="77777777" w:rsidR="008A3F51" w:rsidRDefault="008A3F51" w:rsidP="009323A6">
            <w:pPr>
              <w:tabs>
                <w:tab w:val="left" w:pos="551"/>
              </w:tabs>
              <w:rPr>
                <w:rFonts w:eastAsiaTheme="minorEastAsia"/>
                <w:lang w:val="en-US" w:eastAsia="zh-CN"/>
              </w:rPr>
            </w:pPr>
          </w:p>
        </w:tc>
        <w:tc>
          <w:tcPr>
            <w:tcW w:w="6780" w:type="dxa"/>
          </w:tcPr>
          <w:p w14:paraId="1D9B0F88" w14:textId="77777777" w:rsidR="008A3F51" w:rsidRDefault="008A3F51" w:rsidP="009323A6">
            <w:pPr>
              <w:rPr>
                <w:rFonts w:eastAsiaTheme="minorEastAsia"/>
                <w:lang w:val="en-US" w:eastAsia="zh-CN"/>
              </w:rPr>
            </w:pP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1D4B8455"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command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F761F3" w14:paraId="272FF46F" w14:textId="77777777" w:rsidTr="009323A6">
        <w:tc>
          <w:tcPr>
            <w:tcW w:w="1479" w:type="dxa"/>
            <w:shd w:val="clear" w:color="auto" w:fill="D9D9D9" w:themeFill="background1" w:themeFillShade="D9"/>
          </w:tcPr>
          <w:p w14:paraId="54F385AC" w14:textId="77777777" w:rsidR="00F761F3" w:rsidRDefault="00F761F3" w:rsidP="009323A6">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9323A6">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9323A6">
            <w:pPr>
              <w:rPr>
                <w:b/>
                <w:bCs/>
                <w:lang w:val="en-US"/>
              </w:rPr>
            </w:pPr>
            <w:r>
              <w:rPr>
                <w:b/>
                <w:bCs/>
                <w:lang w:val="en-US"/>
              </w:rPr>
              <w:t>Comments</w:t>
            </w:r>
          </w:p>
        </w:tc>
      </w:tr>
      <w:tr w:rsidR="00F761F3" w14:paraId="264B2E99" w14:textId="77777777" w:rsidTr="009323A6">
        <w:tc>
          <w:tcPr>
            <w:tcW w:w="1479" w:type="dxa"/>
          </w:tcPr>
          <w:p w14:paraId="75C1210F" w14:textId="77777777" w:rsidR="00F761F3" w:rsidRDefault="00F761F3" w:rsidP="009323A6">
            <w:pPr>
              <w:rPr>
                <w:rFonts w:eastAsiaTheme="minorEastAsia"/>
                <w:lang w:val="en-US" w:eastAsia="zh-CN"/>
              </w:rPr>
            </w:pPr>
          </w:p>
        </w:tc>
        <w:tc>
          <w:tcPr>
            <w:tcW w:w="1372" w:type="dxa"/>
          </w:tcPr>
          <w:p w14:paraId="0D1E3B62" w14:textId="77777777" w:rsidR="00F761F3" w:rsidRDefault="00F761F3" w:rsidP="009323A6">
            <w:pPr>
              <w:tabs>
                <w:tab w:val="left" w:pos="551"/>
              </w:tabs>
              <w:rPr>
                <w:rFonts w:eastAsiaTheme="minorEastAsia"/>
                <w:lang w:val="en-US" w:eastAsia="zh-CN"/>
              </w:rPr>
            </w:pPr>
          </w:p>
        </w:tc>
        <w:tc>
          <w:tcPr>
            <w:tcW w:w="6780" w:type="dxa"/>
          </w:tcPr>
          <w:p w14:paraId="5BD8C6B0" w14:textId="77777777" w:rsidR="00F761F3" w:rsidRDefault="00F761F3" w:rsidP="009323A6">
            <w:pPr>
              <w:rPr>
                <w:rFonts w:eastAsiaTheme="minorEastAsia"/>
                <w:lang w:val="en-US" w:eastAsia="zh-CN"/>
              </w:rPr>
            </w:pPr>
          </w:p>
        </w:tc>
      </w:tr>
      <w:tr w:rsidR="00F761F3" w14:paraId="003D67BF" w14:textId="77777777" w:rsidTr="009323A6">
        <w:tc>
          <w:tcPr>
            <w:tcW w:w="1479" w:type="dxa"/>
          </w:tcPr>
          <w:p w14:paraId="2D476333" w14:textId="77777777" w:rsidR="00F761F3" w:rsidRDefault="00F761F3" w:rsidP="009323A6">
            <w:pPr>
              <w:rPr>
                <w:rFonts w:eastAsiaTheme="minorEastAsia"/>
                <w:lang w:val="en-US" w:eastAsia="zh-CN"/>
              </w:rPr>
            </w:pPr>
          </w:p>
        </w:tc>
        <w:tc>
          <w:tcPr>
            <w:tcW w:w="1372" w:type="dxa"/>
          </w:tcPr>
          <w:p w14:paraId="26B5572C" w14:textId="77777777" w:rsidR="00F761F3" w:rsidRDefault="00F761F3" w:rsidP="009323A6">
            <w:pPr>
              <w:tabs>
                <w:tab w:val="left" w:pos="551"/>
              </w:tabs>
              <w:rPr>
                <w:rFonts w:eastAsiaTheme="minorEastAsia"/>
                <w:lang w:val="en-US" w:eastAsia="zh-CN"/>
              </w:rPr>
            </w:pPr>
          </w:p>
        </w:tc>
        <w:tc>
          <w:tcPr>
            <w:tcW w:w="6780" w:type="dxa"/>
          </w:tcPr>
          <w:p w14:paraId="15DDFCF1" w14:textId="77777777" w:rsidR="00F761F3" w:rsidRDefault="00F761F3" w:rsidP="009323A6">
            <w:pPr>
              <w:rPr>
                <w:rFonts w:eastAsiaTheme="minorEastAsia"/>
                <w:lang w:val="en-US" w:eastAsia="zh-CN"/>
              </w:rPr>
            </w:pPr>
          </w:p>
        </w:tc>
      </w:tr>
      <w:tr w:rsidR="00F761F3" w14:paraId="053B476D" w14:textId="77777777" w:rsidTr="009323A6">
        <w:tc>
          <w:tcPr>
            <w:tcW w:w="1479" w:type="dxa"/>
          </w:tcPr>
          <w:p w14:paraId="4EC1B4B8" w14:textId="77777777" w:rsidR="00F761F3" w:rsidRDefault="00F761F3" w:rsidP="009323A6">
            <w:pPr>
              <w:rPr>
                <w:rFonts w:eastAsiaTheme="minorEastAsia"/>
                <w:lang w:val="en-US" w:eastAsia="zh-CN"/>
              </w:rPr>
            </w:pPr>
          </w:p>
        </w:tc>
        <w:tc>
          <w:tcPr>
            <w:tcW w:w="1372" w:type="dxa"/>
          </w:tcPr>
          <w:p w14:paraId="783EE8BC" w14:textId="77777777" w:rsidR="00F761F3" w:rsidRDefault="00F761F3" w:rsidP="009323A6">
            <w:pPr>
              <w:tabs>
                <w:tab w:val="left" w:pos="551"/>
              </w:tabs>
              <w:rPr>
                <w:rFonts w:eastAsiaTheme="minorEastAsia"/>
                <w:lang w:val="en-US" w:eastAsia="zh-CN"/>
              </w:rPr>
            </w:pPr>
          </w:p>
        </w:tc>
        <w:tc>
          <w:tcPr>
            <w:tcW w:w="6780" w:type="dxa"/>
          </w:tcPr>
          <w:p w14:paraId="2073601F" w14:textId="77777777" w:rsidR="00F761F3" w:rsidRDefault="00F761F3" w:rsidP="009323A6">
            <w:pPr>
              <w:rPr>
                <w:rFonts w:eastAsiaTheme="minorEastAsia"/>
                <w:lang w:val="en-US" w:eastAsia="zh-CN"/>
              </w:rPr>
            </w:pPr>
          </w:p>
        </w:tc>
      </w:tr>
    </w:tbl>
    <w:p w14:paraId="52A37BDC" w14:textId="77777777" w:rsidR="00F761F3" w:rsidRPr="008A3DE0"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w:t>
      </w:r>
      <w:proofErr w:type="gramStart"/>
      <w:r>
        <w:rPr>
          <w:rFonts w:eastAsiaTheme="minorEastAsia"/>
          <w:lang w:val="en-US" w:eastAsia="zh-CN"/>
        </w:rPr>
        <w:t>e.g.</w:t>
      </w:r>
      <w:proofErr w:type="gramEnd"/>
      <w:r>
        <w:rPr>
          <w:rFonts w:eastAsiaTheme="minorEastAsia"/>
          <w:lang w:val="en-US" w:eastAsia="zh-CN"/>
        </w:rPr>
        <w:t xml:space="preserve">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312FEF5B" w:rsidR="001932F5"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o optionization</w:t>
      </w:r>
    </w:p>
    <w:tbl>
      <w:tblPr>
        <w:tblStyle w:val="af8"/>
        <w:tblW w:w="9631" w:type="dxa"/>
        <w:tblLayout w:type="fixed"/>
        <w:tblLook w:val="04A0" w:firstRow="1" w:lastRow="0" w:firstColumn="1" w:lastColumn="0" w:noHBand="0" w:noVBand="1"/>
      </w:tblPr>
      <w:tblGrid>
        <w:gridCol w:w="1479"/>
        <w:gridCol w:w="1372"/>
        <w:gridCol w:w="6780"/>
      </w:tblGrid>
      <w:tr w:rsidR="006B546F" w14:paraId="7B2FC642" w14:textId="77777777" w:rsidTr="009323A6">
        <w:tc>
          <w:tcPr>
            <w:tcW w:w="1479" w:type="dxa"/>
            <w:shd w:val="clear" w:color="auto" w:fill="D9D9D9" w:themeFill="background1" w:themeFillShade="D9"/>
          </w:tcPr>
          <w:p w14:paraId="45F168BF" w14:textId="77777777" w:rsidR="006B546F" w:rsidRDefault="006B546F" w:rsidP="009323A6">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9323A6">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9323A6">
            <w:pPr>
              <w:rPr>
                <w:b/>
                <w:bCs/>
                <w:lang w:val="en-US"/>
              </w:rPr>
            </w:pPr>
            <w:r>
              <w:rPr>
                <w:b/>
                <w:bCs/>
                <w:lang w:val="en-US"/>
              </w:rPr>
              <w:t>Comments</w:t>
            </w:r>
          </w:p>
        </w:tc>
      </w:tr>
      <w:tr w:rsidR="006B546F" w14:paraId="5B3ACA51" w14:textId="77777777" w:rsidTr="009323A6">
        <w:tc>
          <w:tcPr>
            <w:tcW w:w="1479" w:type="dxa"/>
          </w:tcPr>
          <w:p w14:paraId="72D5C66A" w14:textId="77777777" w:rsidR="006B546F" w:rsidRDefault="006B546F" w:rsidP="009323A6">
            <w:pPr>
              <w:rPr>
                <w:rFonts w:eastAsiaTheme="minorEastAsia"/>
                <w:lang w:val="en-US" w:eastAsia="zh-CN"/>
              </w:rPr>
            </w:pPr>
          </w:p>
        </w:tc>
        <w:tc>
          <w:tcPr>
            <w:tcW w:w="1372" w:type="dxa"/>
          </w:tcPr>
          <w:p w14:paraId="0E29B4D7" w14:textId="77777777" w:rsidR="006B546F" w:rsidRDefault="006B546F" w:rsidP="009323A6">
            <w:pPr>
              <w:tabs>
                <w:tab w:val="left" w:pos="551"/>
              </w:tabs>
              <w:rPr>
                <w:rFonts w:eastAsiaTheme="minorEastAsia"/>
                <w:lang w:val="en-US" w:eastAsia="zh-CN"/>
              </w:rPr>
            </w:pPr>
          </w:p>
        </w:tc>
        <w:tc>
          <w:tcPr>
            <w:tcW w:w="6780" w:type="dxa"/>
          </w:tcPr>
          <w:p w14:paraId="710B57F8" w14:textId="77777777" w:rsidR="006B546F" w:rsidRDefault="006B546F" w:rsidP="009323A6">
            <w:pPr>
              <w:rPr>
                <w:rFonts w:eastAsiaTheme="minorEastAsia"/>
                <w:lang w:val="en-US" w:eastAsia="zh-CN"/>
              </w:rPr>
            </w:pPr>
          </w:p>
        </w:tc>
      </w:tr>
      <w:tr w:rsidR="006B546F" w14:paraId="72E7B39D" w14:textId="77777777" w:rsidTr="009323A6">
        <w:tc>
          <w:tcPr>
            <w:tcW w:w="1479" w:type="dxa"/>
          </w:tcPr>
          <w:p w14:paraId="79705DC3" w14:textId="77777777" w:rsidR="006B546F" w:rsidRDefault="006B546F" w:rsidP="009323A6">
            <w:pPr>
              <w:rPr>
                <w:rFonts w:eastAsiaTheme="minorEastAsia"/>
                <w:lang w:val="en-US" w:eastAsia="zh-CN"/>
              </w:rPr>
            </w:pPr>
          </w:p>
        </w:tc>
        <w:tc>
          <w:tcPr>
            <w:tcW w:w="1372" w:type="dxa"/>
          </w:tcPr>
          <w:p w14:paraId="66CA07F6" w14:textId="77777777" w:rsidR="006B546F" w:rsidRDefault="006B546F" w:rsidP="009323A6">
            <w:pPr>
              <w:tabs>
                <w:tab w:val="left" w:pos="551"/>
              </w:tabs>
              <w:rPr>
                <w:rFonts w:eastAsiaTheme="minorEastAsia"/>
                <w:lang w:val="en-US" w:eastAsia="zh-CN"/>
              </w:rPr>
            </w:pPr>
          </w:p>
        </w:tc>
        <w:tc>
          <w:tcPr>
            <w:tcW w:w="6780" w:type="dxa"/>
          </w:tcPr>
          <w:p w14:paraId="6FA04799" w14:textId="77777777" w:rsidR="006B546F" w:rsidRDefault="006B546F" w:rsidP="009323A6">
            <w:pPr>
              <w:rPr>
                <w:rFonts w:eastAsiaTheme="minorEastAsia"/>
                <w:lang w:val="en-US" w:eastAsia="zh-CN"/>
              </w:rPr>
            </w:pPr>
          </w:p>
        </w:tc>
      </w:tr>
      <w:tr w:rsidR="006B546F" w14:paraId="2C0007A2" w14:textId="77777777" w:rsidTr="009323A6">
        <w:tc>
          <w:tcPr>
            <w:tcW w:w="1479" w:type="dxa"/>
          </w:tcPr>
          <w:p w14:paraId="3DE271C4" w14:textId="77777777" w:rsidR="006B546F" w:rsidRDefault="006B546F" w:rsidP="009323A6">
            <w:pPr>
              <w:rPr>
                <w:rFonts w:eastAsiaTheme="minorEastAsia"/>
                <w:lang w:val="en-US" w:eastAsia="zh-CN"/>
              </w:rPr>
            </w:pPr>
          </w:p>
        </w:tc>
        <w:tc>
          <w:tcPr>
            <w:tcW w:w="1372" w:type="dxa"/>
          </w:tcPr>
          <w:p w14:paraId="33333D0D" w14:textId="77777777" w:rsidR="006B546F" w:rsidRDefault="006B546F" w:rsidP="009323A6">
            <w:pPr>
              <w:tabs>
                <w:tab w:val="left" w:pos="551"/>
              </w:tabs>
              <w:rPr>
                <w:rFonts w:eastAsiaTheme="minorEastAsia"/>
                <w:lang w:val="en-US" w:eastAsia="zh-CN"/>
              </w:rPr>
            </w:pPr>
          </w:p>
        </w:tc>
        <w:tc>
          <w:tcPr>
            <w:tcW w:w="6780" w:type="dxa"/>
          </w:tcPr>
          <w:p w14:paraId="4FB9F530" w14:textId="77777777" w:rsidR="006B546F" w:rsidRDefault="006B546F" w:rsidP="009323A6">
            <w:pPr>
              <w:rPr>
                <w:rFonts w:eastAsiaTheme="minorEastAsia"/>
                <w:lang w:val="en-US" w:eastAsia="zh-CN"/>
              </w:rPr>
            </w:pP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rPr>
        <w:lastRenderedPageBreak/>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fldSimple w:instr=" SEQ Figure \* ARABIC ">
        <w:r w:rsidR="00AF5811">
          <w:rPr>
            <w:noProof/>
          </w:rPr>
          <w:t>5</w:t>
        </w:r>
      </w:fldSimple>
      <w:bookmarkEnd w:id="6"/>
      <w:r>
        <w:t xml:space="preserve">: SPS transmission delay exceeding the voice bunding </w:t>
      </w:r>
      <w:r w:rsidR="006B63B3">
        <w:t>period [</w:t>
      </w:r>
      <w:r>
        <w:t>1]</w:t>
      </w:r>
    </w:p>
    <w:p w14:paraId="5B8EBDDC" w14:textId="245BB2A6" w:rsidR="000D4B80" w:rsidRPr="00D56FBD" w:rsidRDefault="000D4B80"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L subframe</w:t>
      </w:r>
    </w:p>
    <w:tbl>
      <w:tblPr>
        <w:tblStyle w:val="af8"/>
        <w:tblW w:w="9631" w:type="dxa"/>
        <w:tblLayout w:type="fixed"/>
        <w:tblLook w:val="04A0" w:firstRow="1" w:lastRow="0" w:firstColumn="1" w:lastColumn="0" w:noHBand="0" w:noVBand="1"/>
      </w:tblPr>
      <w:tblGrid>
        <w:gridCol w:w="1479"/>
        <w:gridCol w:w="1372"/>
        <w:gridCol w:w="6780"/>
      </w:tblGrid>
      <w:tr w:rsidR="00186E9B" w14:paraId="18F2CF76" w14:textId="77777777" w:rsidTr="008A69C7">
        <w:tc>
          <w:tcPr>
            <w:tcW w:w="1479" w:type="dxa"/>
            <w:shd w:val="clear" w:color="auto" w:fill="D9D9D9" w:themeFill="background1" w:themeFillShade="D9"/>
          </w:tcPr>
          <w:p w14:paraId="5A05AD1E" w14:textId="77777777" w:rsidR="00186E9B" w:rsidRDefault="00186E9B" w:rsidP="008A69C7">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8A69C7">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8A69C7">
            <w:pPr>
              <w:rPr>
                <w:b/>
                <w:bCs/>
                <w:lang w:val="en-US"/>
              </w:rPr>
            </w:pPr>
            <w:r>
              <w:rPr>
                <w:b/>
                <w:bCs/>
                <w:lang w:val="en-US"/>
              </w:rPr>
              <w:t>Comments</w:t>
            </w:r>
          </w:p>
        </w:tc>
      </w:tr>
      <w:tr w:rsidR="00186E9B" w14:paraId="31B6D497" w14:textId="77777777" w:rsidTr="008A69C7">
        <w:tc>
          <w:tcPr>
            <w:tcW w:w="1479" w:type="dxa"/>
          </w:tcPr>
          <w:p w14:paraId="360DB244" w14:textId="77777777" w:rsidR="00186E9B" w:rsidRDefault="00186E9B" w:rsidP="008A69C7">
            <w:pPr>
              <w:rPr>
                <w:rFonts w:eastAsiaTheme="minorEastAsia"/>
                <w:lang w:val="en-US" w:eastAsia="zh-CN"/>
              </w:rPr>
            </w:pPr>
          </w:p>
        </w:tc>
        <w:tc>
          <w:tcPr>
            <w:tcW w:w="1372" w:type="dxa"/>
          </w:tcPr>
          <w:p w14:paraId="467CB0B9" w14:textId="77777777" w:rsidR="00186E9B" w:rsidRDefault="00186E9B" w:rsidP="008A69C7">
            <w:pPr>
              <w:tabs>
                <w:tab w:val="left" w:pos="551"/>
              </w:tabs>
              <w:rPr>
                <w:rFonts w:eastAsiaTheme="minorEastAsia"/>
                <w:lang w:val="en-US" w:eastAsia="zh-CN"/>
              </w:rPr>
            </w:pPr>
          </w:p>
        </w:tc>
        <w:tc>
          <w:tcPr>
            <w:tcW w:w="6780" w:type="dxa"/>
          </w:tcPr>
          <w:p w14:paraId="389470C4" w14:textId="77777777" w:rsidR="00186E9B" w:rsidRDefault="00186E9B" w:rsidP="008A69C7">
            <w:pPr>
              <w:rPr>
                <w:rFonts w:eastAsiaTheme="minorEastAsia"/>
                <w:lang w:val="en-US" w:eastAsia="zh-CN"/>
              </w:rPr>
            </w:pPr>
          </w:p>
        </w:tc>
      </w:tr>
      <w:tr w:rsidR="00186E9B" w14:paraId="6BC651F1" w14:textId="77777777" w:rsidTr="008A69C7">
        <w:tc>
          <w:tcPr>
            <w:tcW w:w="1479" w:type="dxa"/>
          </w:tcPr>
          <w:p w14:paraId="4E065FF9" w14:textId="77777777" w:rsidR="00186E9B" w:rsidRDefault="00186E9B" w:rsidP="008A69C7">
            <w:pPr>
              <w:rPr>
                <w:rFonts w:eastAsiaTheme="minorEastAsia"/>
                <w:lang w:val="en-US" w:eastAsia="zh-CN"/>
              </w:rPr>
            </w:pPr>
          </w:p>
        </w:tc>
        <w:tc>
          <w:tcPr>
            <w:tcW w:w="1372" w:type="dxa"/>
          </w:tcPr>
          <w:p w14:paraId="659CB95C" w14:textId="77777777" w:rsidR="00186E9B" w:rsidRDefault="00186E9B" w:rsidP="008A69C7">
            <w:pPr>
              <w:tabs>
                <w:tab w:val="left" w:pos="551"/>
              </w:tabs>
              <w:rPr>
                <w:rFonts w:eastAsiaTheme="minorEastAsia"/>
                <w:lang w:val="en-US" w:eastAsia="zh-CN"/>
              </w:rPr>
            </w:pPr>
          </w:p>
        </w:tc>
        <w:tc>
          <w:tcPr>
            <w:tcW w:w="6780" w:type="dxa"/>
          </w:tcPr>
          <w:p w14:paraId="487FD976" w14:textId="77777777" w:rsidR="00186E9B" w:rsidRDefault="00186E9B" w:rsidP="008A69C7">
            <w:pPr>
              <w:rPr>
                <w:rFonts w:eastAsiaTheme="minorEastAsia"/>
                <w:lang w:val="en-US" w:eastAsia="zh-CN"/>
              </w:rPr>
            </w:pPr>
          </w:p>
        </w:tc>
      </w:tr>
      <w:tr w:rsidR="00186E9B" w14:paraId="53BCF76D" w14:textId="77777777" w:rsidTr="008A69C7">
        <w:tc>
          <w:tcPr>
            <w:tcW w:w="1479" w:type="dxa"/>
          </w:tcPr>
          <w:p w14:paraId="32426EBB" w14:textId="77777777" w:rsidR="00186E9B" w:rsidRDefault="00186E9B" w:rsidP="008A69C7">
            <w:pPr>
              <w:rPr>
                <w:rFonts w:eastAsiaTheme="minorEastAsia"/>
                <w:lang w:val="en-US" w:eastAsia="zh-CN"/>
              </w:rPr>
            </w:pPr>
          </w:p>
        </w:tc>
        <w:tc>
          <w:tcPr>
            <w:tcW w:w="1372" w:type="dxa"/>
          </w:tcPr>
          <w:p w14:paraId="399ED03B" w14:textId="77777777" w:rsidR="00186E9B" w:rsidRDefault="00186E9B" w:rsidP="008A69C7">
            <w:pPr>
              <w:tabs>
                <w:tab w:val="left" w:pos="551"/>
              </w:tabs>
              <w:rPr>
                <w:rFonts w:eastAsiaTheme="minorEastAsia"/>
                <w:lang w:val="en-US" w:eastAsia="zh-CN"/>
              </w:rPr>
            </w:pPr>
          </w:p>
        </w:tc>
        <w:tc>
          <w:tcPr>
            <w:tcW w:w="6780" w:type="dxa"/>
          </w:tcPr>
          <w:p w14:paraId="1CA7282D" w14:textId="77777777" w:rsidR="00186E9B" w:rsidRDefault="00186E9B" w:rsidP="008A69C7">
            <w:pPr>
              <w:rPr>
                <w:rFonts w:eastAsiaTheme="minorEastAsia"/>
                <w:lang w:val="en-US" w:eastAsia="zh-CN"/>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ully reserved UL subframe</w:t>
      </w:r>
    </w:p>
    <w:tbl>
      <w:tblPr>
        <w:tblStyle w:val="af8"/>
        <w:tblW w:w="9631" w:type="dxa"/>
        <w:tblLayout w:type="fixed"/>
        <w:tblLook w:val="04A0" w:firstRow="1" w:lastRow="0" w:firstColumn="1" w:lastColumn="0" w:noHBand="0" w:noVBand="1"/>
      </w:tblPr>
      <w:tblGrid>
        <w:gridCol w:w="1479"/>
        <w:gridCol w:w="1372"/>
        <w:gridCol w:w="6780"/>
      </w:tblGrid>
      <w:tr w:rsidR="008341EB" w14:paraId="526AC708" w14:textId="77777777" w:rsidTr="009323A6">
        <w:tc>
          <w:tcPr>
            <w:tcW w:w="1479" w:type="dxa"/>
            <w:shd w:val="clear" w:color="auto" w:fill="D9D9D9" w:themeFill="background1" w:themeFillShade="D9"/>
          </w:tcPr>
          <w:p w14:paraId="06ECC8F6" w14:textId="77777777" w:rsidR="008341EB" w:rsidRDefault="008341EB" w:rsidP="009323A6">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9323A6">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9323A6">
            <w:pPr>
              <w:rPr>
                <w:b/>
                <w:bCs/>
                <w:lang w:val="en-US"/>
              </w:rPr>
            </w:pPr>
            <w:r>
              <w:rPr>
                <w:b/>
                <w:bCs/>
                <w:lang w:val="en-US"/>
              </w:rPr>
              <w:t>Comments</w:t>
            </w:r>
          </w:p>
        </w:tc>
      </w:tr>
      <w:tr w:rsidR="008341EB" w14:paraId="4E391FD8" w14:textId="77777777" w:rsidTr="009323A6">
        <w:tc>
          <w:tcPr>
            <w:tcW w:w="1479" w:type="dxa"/>
          </w:tcPr>
          <w:p w14:paraId="6562659B" w14:textId="77777777" w:rsidR="008341EB" w:rsidRDefault="008341EB" w:rsidP="009323A6">
            <w:pPr>
              <w:rPr>
                <w:rFonts w:eastAsiaTheme="minorEastAsia"/>
                <w:lang w:val="en-US" w:eastAsia="zh-CN"/>
              </w:rPr>
            </w:pPr>
          </w:p>
        </w:tc>
        <w:tc>
          <w:tcPr>
            <w:tcW w:w="1372" w:type="dxa"/>
          </w:tcPr>
          <w:p w14:paraId="0AE0D423" w14:textId="77777777" w:rsidR="008341EB" w:rsidRDefault="008341EB" w:rsidP="009323A6">
            <w:pPr>
              <w:tabs>
                <w:tab w:val="left" w:pos="551"/>
              </w:tabs>
              <w:rPr>
                <w:rFonts w:eastAsiaTheme="minorEastAsia"/>
                <w:lang w:val="en-US" w:eastAsia="zh-CN"/>
              </w:rPr>
            </w:pPr>
          </w:p>
        </w:tc>
        <w:tc>
          <w:tcPr>
            <w:tcW w:w="6780" w:type="dxa"/>
          </w:tcPr>
          <w:p w14:paraId="6E36FA9C" w14:textId="77777777" w:rsidR="008341EB" w:rsidRDefault="008341EB" w:rsidP="009323A6">
            <w:pPr>
              <w:rPr>
                <w:rFonts w:eastAsiaTheme="minorEastAsia"/>
                <w:lang w:val="en-US" w:eastAsia="zh-CN"/>
              </w:rPr>
            </w:pPr>
          </w:p>
        </w:tc>
      </w:tr>
      <w:tr w:rsidR="008341EB" w14:paraId="3C35A384" w14:textId="77777777" w:rsidTr="009323A6">
        <w:tc>
          <w:tcPr>
            <w:tcW w:w="1479" w:type="dxa"/>
          </w:tcPr>
          <w:p w14:paraId="00876DFA" w14:textId="77777777" w:rsidR="008341EB" w:rsidRDefault="008341EB" w:rsidP="009323A6">
            <w:pPr>
              <w:rPr>
                <w:rFonts w:eastAsiaTheme="minorEastAsia"/>
                <w:lang w:val="en-US" w:eastAsia="zh-CN"/>
              </w:rPr>
            </w:pPr>
          </w:p>
        </w:tc>
        <w:tc>
          <w:tcPr>
            <w:tcW w:w="1372" w:type="dxa"/>
          </w:tcPr>
          <w:p w14:paraId="6692AE64" w14:textId="77777777" w:rsidR="008341EB" w:rsidRDefault="008341EB" w:rsidP="009323A6">
            <w:pPr>
              <w:tabs>
                <w:tab w:val="left" w:pos="551"/>
              </w:tabs>
              <w:rPr>
                <w:rFonts w:eastAsiaTheme="minorEastAsia"/>
                <w:lang w:val="en-US" w:eastAsia="zh-CN"/>
              </w:rPr>
            </w:pPr>
          </w:p>
        </w:tc>
        <w:tc>
          <w:tcPr>
            <w:tcW w:w="6780" w:type="dxa"/>
          </w:tcPr>
          <w:p w14:paraId="2439105E" w14:textId="77777777" w:rsidR="008341EB" w:rsidRDefault="008341EB" w:rsidP="009323A6">
            <w:pPr>
              <w:rPr>
                <w:rFonts w:eastAsiaTheme="minorEastAsia"/>
                <w:lang w:val="en-US" w:eastAsia="zh-CN"/>
              </w:rPr>
            </w:pPr>
          </w:p>
        </w:tc>
      </w:tr>
      <w:tr w:rsidR="008341EB" w14:paraId="47D806E7" w14:textId="77777777" w:rsidTr="009323A6">
        <w:tc>
          <w:tcPr>
            <w:tcW w:w="1479" w:type="dxa"/>
          </w:tcPr>
          <w:p w14:paraId="70CECFB9" w14:textId="77777777" w:rsidR="008341EB" w:rsidRDefault="008341EB" w:rsidP="009323A6">
            <w:pPr>
              <w:rPr>
                <w:rFonts w:eastAsiaTheme="minorEastAsia"/>
                <w:lang w:val="en-US" w:eastAsia="zh-CN"/>
              </w:rPr>
            </w:pPr>
          </w:p>
        </w:tc>
        <w:tc>
          <w:tcPr>
            <w:tcW w:w="1372" w:type="dxa"/>
          </w:tcPr>
          <w:p w14:paraId="4903E511" w14:textId="77777777" w:rsidR="008341EB" w:rsidRDefault="008341EB" w:rsidP="009323A6">
            <w:pPr>
              <w:tabs>
                <w:tab w:val="left" w:pos="551"/>
              </w:tabs>
              <w:rPr>
                <w:rFonts w:eastAsiaTheme="minorEastAsia"/>
                <w:lang w:val="en-US" w:eastAsia="zh-CN"/>
              </w:rPr>
            </w:pPr>
          </w:p>
        </w:tc>
        <w:tc>
          <w:tcPr>
            <w:tcW w:w="6780" w:type="dxa"/>
          </w:tcPr>
          <w:p w14:paraId="35779691" w14:textId="77777777" w:rsidR="008341EB" w:rsidRDefault="008341EB" w:rsidP="009323A6">
            <w:pPr>
              <w:rPr>
                <w:rFonts w:eastAsiaTheme="minorEastAsia"/>
                <w:lang w:val="en-US" w:eastAsia="zh-CN"/>
              </w:rPr>
            </w:pPr>
          </w:p>
        </w:tc>
      </w:tr>
    </w:tbl>
    <w:p w14:paraId="0DA6205F" w14:textId="432F2CEF" w:rsidR="00321A02" w:rsidRPr="00E946E0" w:rsidRDefault="00321A02" w:rsidP="00043A2B">
      <w:pPr>
        <w:widowControl w:val="0"/>
        <w:overflowPunct w:val="0"/>
        <w:autoSpaceDE w:val="0"/>
        <w:autoSpaceDN w:val="0"/>
        <w:adjustRightInd w:val="0"/>
        <w:snapToGrid w:val="0"/>
        <w:spacing w:after="120" w:line="240" w:lineRule="auto"/>
        <w:textAlignment w:val="baseline"/>
        <w:rPr>
          <w:rFonts w:eastAsia="宋体"/>
          <w:b/>
          <w:bCs/>
          <w:lang w:val="sv-SE"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w:t>
      </w:r>
      <w:proofErr w:type="spellStart"/>
      <w:r w:rsidRPr="00374892">
        <w:rPr>
          <w:rFonts w:ascii="Times New Roman" w:eastAsiaTheme="minorEastAsia" w:hAnsi="Times New Roman" w:cs="Times New Roman"/>
          <w:szCs w:val="20"/>
          <w:lang w:eastAsia="zh-CN"/>
        </w:rPr>
        <w:t>eNB</w:t>
      </w:r>
      <w:proofErr w:type="spellEnd"/>
      <w:r w:rsidRPr="00374892">
        <w:rPr>
          <w:rFonts w:ascii="Times New Roman" w:eastAsiaTheme="minorEastAsia" w:hAnsi="Times New Roman" w:cs="Times New Roman"/>
          <w:szCs w:val="20"/>
          <w:lang w:eastAsia="zh-CN"/>
        </w:rPr>
        <w:t xml:space="preserve">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6D87C3E5"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a NPDSCH</w:t>
      </w:r>
      <w:r w:rsidR="00C06033">
        <w:rPr>
          <w:b/>
          <w:bCs/>
          <w:lang w:val="en-US"/>
        </w:rPr>
        <w:t xml:space="preserve"> or NPUSCH</w:t>
      </w:r>
      <w:r w:rsidR="00334B14">
        <w:rPr>
          <w:b/>
          <w:bCs/>
          <w:lang w:val="en-US"/>
        </w:rPr>
        <w:t xml:space="preserve"> with</w:t>
      </w:r>
      <w:r w:rsidR="00F52117" w:rsidRPr="00F52117">
        <w:rPr>
          <w:b/>
          <w:bCs/>
          <w:lang w:val="en-US"/>
        </w:rPr>
        <w:t xml:space="preserve"> </w:t>
      </w:r>
      <w:r w:rsidR="00334B14">
        <w:rPr>
          <w:b/>
          <w:bCs/>
          <w:lang w:val="en-US"/>
        </w:rPr>
        <w:t xml:space="preserve">a </w:t>
      </w:r>
      <w:r w:rsidR="00334B14" w:rsidRPr="00334B14">
        <w:rPr>
          <w:b/>
          <w:bCs/>
          <w:lang w:val="en-US"/>
        </w:rPr>
        <w:t>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43F8FFDE" w14:textId="77777777" w:rsidTr="008A69C7">
        <w:tc>
          <w:tcPr>
            <w:tcW w:w="1479" w:type="dxa"/>
            <w:shd w:val="clear" w:color="auto" w:fill="D9D9D9" w:themeFill="background1" w:themeFillShade="D9"/>
          </w:tcPr>
          <w:p w14:paraId="553FDD93"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8A69C7">
            <w:pPr>
              <w:rPr>
                <w:b/>
                <w:bCs/>
                <w:lang w:val="en-US"/>
              </w:rPr>
            </w:pPr>
            <w:r>
              <w:rPr>
                <w:b/>
                <w:bCs/>
                <w:lang w:val="en-US"/>
              </w:rPr>
              <w:t>Comments</w:t>
            </w:r>
          </w:p>
        </w:tc>
      </w:tr>
      <w:tr w:rsidR="0001247F" w14:paraId="4A1A9055" w14:textId="77777777" w:rsidTr="008A69C7">
        <w:tc>
          <w:tcPr>
            <w:tcW w:w="1479" w:type="dxa"/>
          </w:tcPr>
          <w:p w14:paraId="427CC95B" w14:textId="77777777" w:rsidR="0001247F" w:rsidRDefault="0001247F" w:rsidP="008A69C7">
            <w:pPr>
              <w:rPr>
                <w:rFonts w:eastAsiaTheme="minorEastAsia"/>
                <w:lang w:val="en-US" w:eastAsia="zh-CN"/>
              </w:rPr>
            </w:pPr>
          </w:p>
        </w:tc>
        <w:tc>
          <w:tcPr>
            <w:tcW w:w="1372" w:type="dxa"/>
          </w:tcPr>
          <w:p w14:paraId="48457C81" w14:textId="77777777" w:rsidR="0001247F" w:rsidRDefault="0001247F" w:rsidP="008A69C7">
            <w:pPr>
              <w:tabs>
                <w:tab w:val="left" w:pos="551"/>
              </w:tabs>
              <w:rPr>
                <w:rFonts w:eastAsiaTheme="minorEastAsia"/>
                <w:lang w:val="en-US" w:eastAsia="zh-CN"/>
              </w:rPr>
            </w:pPr>
          </w:p>
        </w:tc>
        <w:tc>
          <w:tcPr>
            <w:tcW w:w="6780" w:type="dxa"/>
          </w:tcPr>
          <w:p w14:paraId="2CC62F8A" w14:textId="77777777" w:rsidR="0001247F" w:rsidRDefault="0001247F" w:rsidP="008A69C7">
            <w:pPr>
              <w:rPr>
                <w:rFonts w:eastAsiaTheme="minorEastAsia"/>
                <w:lang w:val="en-US" w:eastAsia="zh-CN"/>
              </w:rPr>
            </w:pPr>
          </w:p>
        </w:tc>
      </w:tr>
      <w:tr w:rsidR="0001247F" w14:paraId="5AD26C88" w14:textId="77777777" w:rsidTr="008A69C7">
        <w:tc>
          <w:tcPr>
            <w:tcW w:w="1479" w:type="dxa"/>
          </w:tcPr>
          <w:p w14:paraId="781FE67D" w14:textId="77777777" w:rsidR="0001247F" w:rsidRDefault="0001247F" w:rsidP="008A69C7">
            <w:pPr>
              <w:rPr>
                <w:rFonts w:eastAsiaTheme="minorEastAsia"/>
                <w:lang w:val="en-US" w:eastAsia="zh-CN"/>
              </w:rPr>
            </w:pPr>
          </w:p>
        </w:tc>
        <w:tc>
          <w:tcPr>
            <w:tcW w:w="1372" w:type="dxa"/>
          </w:tcPr>
          <w:p w14:paraId="7ADA52E6" w14:textId="77777777" w:rsidR="0001247F" w:rsidRDefault="0001247F" w:rsidP="008A69C7">
            <w:pPr>
              <w:tabs>
                <w:tab w:val="left" w:pos="551"/>
              </w:tabs>
              <w:rPr>
                <w:rFonts w:eastAsiaTheme="minorEastAsia"/>
                <w:lang w:val="en-US" w:eastAsia="zh-CN"/>
              </w:rPr>
            </w:pPr>
          </w:p>
        </w:tc>
        <w:tc>
          <w:tcPr>
            <w:tcW w:w="6780" w:type="dxa"/>
          </w:tcPr>
          <w:p w14:paraId="24AB4DBF" w14:textId="77777777" w:rsidR="0001247F" w:rsidRDefault="0001247F" w:rsidP="008A69C7">
            <w:pPr>
              <w:rPr>
                <w:rFonts w:eastAsiaTheme="minorEastAsia"/>
                <w:lang w:val="en-US" w:eastAsia="zh-CN"/>
              </w:rPr>
            </w:pPr>
          </w:p>
        </w:tc>
      </w:tr>
      <w:tr w:rsidR="0001247F" w14:paraId="4E98F601" w14:textId="77777777" w:rsidTr="008A69C7">
        <w:tc>
          <w:tcPr>
            <w:tcW w:w="1479" w:type="dxa"/>
          </w:tcPr>
          <w:p w14:paraId="559A7692" w14:textId="77777777" w:rsidR="0001247F" w:rsidRDefault="0001247F" w:rsidP="008A69C7">
            <w:pPr>
              <w:rPr>
                <w:rFonts w:eastAsiaTheme="minorEastAsia"/>
                <w:lang w:val="en-US" w:eastAsia="zh-CN"/>
              </w:rPr>
            </w:pPr>
          </w:p>
        </w:tc>
        <w:tc>
          <w:tcPr>
            <w:tcW w:w="1372" w:type="dxa"/>
          </w:tcPr>
          <w:p w14:paraId="21C39EBA" w14:textId="77777777" w:rsidR="0001247F" w:rsidRDefault="0001247F" w:rsidP="008A69C7">
            <w:pPr>
              <w:tabs>
                <w:tab w:val="left" w:pos="551"/>
              </w:tabs>
              <w:rPr>
                <w:rFonts w:eastAsiaTheme="minorEastAsia"/>
                <w:lang w:val="en-US" w:eastAsia="zh-CN"/>
              </w:rPr>
            </w:pPr>
          </w:p>
        </w:tc>
        <w:tc>
          <w:tcPr>
            <w:tcW w:w="6780" w:type="dxa"/>
          </w:tcPr>
          <w:p w14:paraId="68ACF752" w14:textId="77777777" w:rsidR="0001247F" w:rsidRDefault="0001247F" w:rsidP="008A69C7">
            <w:pPr>
              <w:rPr>
                <w:rFonts w:eastAsiaTheme="minorEastAsia"/>
                <w:lang w:val="en-US" w:eastAsia="zh-CN"/>
              </w:rPr>
            </w:pP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3962D68B"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It is not expected that a SPS NPUSCH transmission of a UE is overlapped with a SPS NPDSCH transmission of the same UE</w:t>
      </w:r>
      <w:r w:rsidR="002E698C" w:rsidRPr="00CB1FB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0492C62A" w14:textId="77777777" w:rsidTr="008A69C7">
        <w:tc>
          <w:tcPr>
            <w:tcW w:w="1479" w:type="dxa"/>
            <w:shd w:val="clear" w:color="auto" w:fill="D9D9D9" w:themeFill="background1" w:themeFillShade="D9"/>
          </w:tcPr>
          <w:p w14:paraId="5CCC1C02"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8A69C7">
            <w:pPr>
              <w:rPr>
                <w:b/>
                <w:bCs/>
                <w:lang w:val="en-US"/>
              </w:rPr>
            </w:pPr>
            <w:r>
              <w:rPr>
                <w:b/>
                <w:bCs/>
                <w:lang w:val="en-US"/>
              </w:rPr>
              <w:t>Comments</w:t>
            </w:r>
          </w:p>
        </w:tc>
      </w:tr>
      <w:tr w:rsidR="0001247F" w14:paraId="41D5E7F0" w14:textId="77777777" w:rsidTr="008A69C7">
        <w:tc>
          <w:tcPr>
            <w:tcW w:w="1479" w:type="dxa"/>
          </w:tcPr>
          <w:p w14:paraId="0DC8DFA0" w14:textId="77777777" w:rsidR="0001247F" w:rsidRDefault="0001247F" w:rsidP="008A69C7">
            <w:pPr>
              <w:rPr>
                <w:rFonts w:eastAsiaTheme="minorEastAsia"/>
                <w:lang w:val="en-US" w:eastAsia="zh-CN"/>
              </w:rPr>
            </w:pPr>
          </w:p>
        </w:tc>
        <w:tc>
          <w:tcPr>
            <w:tcW w:w="1372" w:type="dxa"/>
          </w:tcPr>
          <w:p w14:paraId="6E37B099" w14:textId="77777777" w:rsidR="0001247F" w:rsidRDefault="0001247F" w:rsidP="008A69C7">
            <w:pPr>
              <w:tabs>
                <w:tab w:val="left" w:pos="551"/>
              </w:tabs>
              <w:rPr>
                <w:rFonts w:eastAsiaTheme="minorEastAsia"/>
                <w:lang w:val="en-US" w:eastAsia="zh-CN"/>
              </w:rPr>
            </w:pPr>
          </w:p>
        </w:tc>
        <w:tc>
          <w:tcPr>
            <w:tcW w:w="6780" w:type="dxa"/>
          </w:tcPr>
          <w:p w14:paraId="697ED59D" w14:textId="77777777" w:rsidR="0001247F" w:rsidRDefault="0001247F" w:rsidP="008A69C7">
            <w:pPr>
              <w:rPr>
                <w:rFonts w:eastAsiaTheme="minorEastAsia"/>
                <w:lang w:val="en-US" w:eastAsia="zh-CN"/>
              </w:rPr>
            </w:pPr>
          </w:p>
        </w:tc>
      </w:tr>
      <w:tr w:rsidR="0001247F" w14:paraId="34041606" w14:textId="77777777" w:rsidTr="008A69C7">
        <w:tc>
          <w:tcPr>
            <w:tcW w:w="1479" w:type="dxa"/>
          </w:tcPr>
          <w:p w14:paraId="462FBE59" w14:textId="77777777" w:rsidR="0001247F" w:rsidRDefault="0001247F" w:rsidP="008A69C7">
            <w:pPr>
              <w:rPr>
                <w:rFonts w:eastAsiaTheme="minorEastAsia"/>
                <w:lang w:val="en-US" w:eastAsia="zh-CN"/>
              </w:rPr>
            </w:pPr>
          </w:p>
        </w:tc>
        <w:tc>
          <w:tcPr>
            <w:tcW w:w="1372" w:type="dxa"/>
          </w:tcPr>
          <w:p w14:paraId="30A64635" w14:textId="77777777" w:rsidR="0001247F" w:rsidRDefault="0001247F" w:rsidP="008A69C7">
            <w:pPr>
              <w:tabs>
                <w:tab w:val="left" w:pos="551"/>
              </w:tabs>
              <w:rPr>
                <w:rFonts w:eastAsiaTheme="minorEastAsia"/>
                <w:lang w:val="en-US" w:eastAsia="zh-CN"/>
              </w:rPr>
            </w:pPr>
          </w:p>
        </w:tc>
        <w:tc>
          <w:tcPr>
            <w:tcW w:w="6780" w:type="dxa"/>
          </w:tcPr>
          <w:p w14:paraId="75E02BFA" w14:textId="77777777" w:rsidR="0001247F" w:rsidRDefault="0001247F" w:rsidP="008A69C7">
            <w:pPr>
              <w:rPr>
                <w:rFonts w:eastAsiaTheme="minorEastAsia"/>
                <w:lang w:val="en-US" w:eastAsia="zh-CN"/>
              </w:rPr>
            </w:pPr>
          </w:p>
        </w:tc>
      </w:tr>
      <w:tr w:rsidR="0001247F" w14:paraId="139303CD" w14:textId="77777777" w:rsidTr="008A69C7">
        <w:tc>
          <w:tcPr>
            <w:tcW w:w="1479" w:type="dxa"/>
          </w:tcPr>
          <w:p w14:paraId="1BCDB5EE" w14:textId="77777777" w:rsidR="0001247F" w:rsidRDefault="0001247F" w:rsidP="008A69C7">
            <w:pPr>
              <w:rPr>
                <w:rFonts w:eastAsiaTheme="minorEastAsia"/>
                <w:lang w:val="en-US" w:eastAsia="zh-CN"/>
              </w:rPr>
            </w:pPr>
          </w:p>
        </w:tc>
        <w:tc>
          <w:tcPr>
            <w:tcW w:w="1372" w:type="dxa"/>
          </w:tcPr>
          <w:p w14:paraId="3DC92575" w14:textId="77777777" w:rsidR="0001247F" w:rsidRDefault="0001247F" w:rsidP="008A69C7">
            <w:pPr>
              <w:tabs>
                <w:tab w:val="left" w:pos="551"/>
              </w:tabs>
              <w:rPr>
                <w:rFonts w:eastAsiaTheme="minorEastAsia"/>
                <w:lang w:val="en-US" w:eastAsia="zh-CN"/>
              </w:rPr>
            </w:pPr>
          </w:p>
        </w:tc>
        <w:tc>
          <w:tcPr>
            <w:tcW w:w="6780" w:type="dxa"/>
          </w:tcPr>
          <w:p w14:paraId="68AEC39B" w14:textId="77777777" w:rsidR="0001247F" w:rsidRDefault="0001247F" w:rsidP="008A69C7">
            <w:pPr>
              <w:rPr>
                <w:rFonts w:eastAsiaTheme="minorEastAsia"/>
                <w:lang w:val="en-US" w:eastAsia="zh-CN"/>
              </w:rPr>
            </w:pP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lastRenderedPageBreak/>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proofErr w:type="spellStart"/>
      <w:r w:rsidRPr="00172739">
        <w:rPr>
          <w:b/>
          <w:bCs/>
          <w:sz w:val="20"/>
          <w:szCs w:val="20"/>
          <w:lang w:val="en-US"/>
        </w:rPr>
        <w:t>eNB</w:t>
      </w:r>
      <w:proofErr w:type="spellEnd"/>
      <w:r w:rsidRPr="00172739">
        <w:rPr>
          <w:b/>
          <w:bCs/>
          <w:sz w:val="20"/>
          <w:szCs w:val="20"/>
          <w:lang w:val="en-US"/>
        </w:rPr>
        <w:t xml:space="preserve"> configuration</w:t>
      </w:r>
    </w:p>
    <w:p w14:paraId="0DDC1D43" w14:textId="223D9EFC" w:rsidR="002C0595"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8"/>
        <w:tblW w:w="9631" w:type="dxa"/>
        <w:tblLayout w:type="fixed"/>
        <w:tblLook w:val="04A0" w:firstRow="1" w:lastRow="0" w:firstColumn="1" w:lastColumn="0" w:noHBand="0" w:noVBand="1"/>
      </w:tblPr>
      <w:tblGrid>
        <w:gridCol w:w="1479"/>
        <w:gridCol w:w="1372"/>
        <w:gridCol w:w="6780"/>
      </w:tblGrid>
      <w:tr w:rsidR="00567D7E" w14:paraId="43D7421E" w14:textId="77777777" w:rsidTr="008A69C7">
        <w:tc>
          <w:tcPr>
            <w:tcW w:w="1479" w:type="dxa"/>
            <w:shd w:val="clear" w:color="auto" w:fill="D9D9D9" w:themeFill="background1" w:themeFillShade="D9"/>
          </w:tcPr>
          <w:p w14:paraId="124643EA" w14:textId="77777777" w:rsidR="00567D7E" w:rsidRDefault="00567D7E" w:rsidP="008A69C7">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8A69C7">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8A69C7">
            <w:pPr>
              <w:rPr>
                <w:b/>
                <w:bCs/>
                <w:lang w:val="en-US"/>
              </w:rPr>
            </w:pPr>
            <w:r>
              <w:rPr>
                <w:b/>
                <w:bCs/>
                <w:lang w:val="en-US"/>
              </w:rPr>
              <w:t>Comments</w:t>
            </w:r>
          </w:p>
        </w:tc>
      </w:tr>
      <w:tr w:rsidR="00567D7E" w14:paraId="72189DCF" w14:textId="77777777" w:rsidTr="008A69C7">
        <w:tc>
          <w:tcPr>
            <w:tcW w:w="1479" w:type="dxa"/>
          </w:tcPr>
          <w:p w14:paraId="3410574F" w14:textId="77777777" w:rsidR="00567D7E" w:rsidRDefault="00567D7E" w:rsidP="008A69C7">
            <w:pPr>
              <w:rPr>
                <w:rFonts w:eastAsiaTheme="minorEastAsia"/>
                <w:lang w:val="en-US" w:eastAsia="zh-CN"/>
              </w:rPr>
            </w:pPr>
          </w:p>
        </w:tc>
        <w:tc>
          <w:tcPr>
            <w:tcW w:w="1372" w:type="dxa"/>
          </w:tcPr>
          <w:p w14:paraId="71F24671" w14:textId="77777777" w:rsidR="00567D7E" w:rsidRDefault="00567D7E" w:rsidP="008A69C7">
            <w:pPr>
              <w:tabs>
                <w:tab w:val="left" w:pos="551"/>
              </w:tabs>
              <w:rPr>
                <w:rFonts w:eastAsiaTheme="minorEastAsia"/>
                <w:lang w:val="en-US" w:eastAsia="zh-CN"/>
              </w:rPr>
            </w:pPr>
          </w:p>
        </w:tc>
        <w:tc>
          <w:tcPr>
            <w:tcW w:w="6780" w:type="dxa"/>
          </w:tcPr>
          <w:p w14:paraId="76854799" w14:textId="77777777" w:rsidR="00567D7E" w:rsidRDefault="00567D7E" w:rsidP="008A69C7">
            <w:pPr>
              <w:rPr>
                <w:rFonts w:eastAsiaTheme="minorEastAsia"/>
                <w:lang w:val="en-US" w:eastAsia="zh-CN"/>
              </w:rPr>
            </w:pPr>
          </w:p>
        </w:tc>
      </w:tr>
      <w:tr w:rsidR="00567D7E" w14:paraId="2DDFE70D" w14:textId="77777777" w:rsidTr="008A69C7">
        <w:tc>
          <w:tcPr>
            <w:tcW w:w="1479" w:type="dxa"/>
          </w:tcPr>
          <w:p w14:paraId="356AF753" w14:textId="77777777" w:rsidR="00567D7E" w:rsidRDefault="00567D7E" w:rsidP="008A69C7">
            <w:pPr>
              <w:rPr>
                <w:rFonts w:eastAsiaTheme="minorEastAsia"/>
                <w:lang w:val="en-US" w:eastAsia="zh-CN"/>
              </w:rPr>
            </w:pPr>
          </w:p>
        </w:tc>
        <w:tc>
          <w:tcPr>
            <w:tcW w:w="1372" w:type="dxa"/>
          </w:tcPr>
          <w:p w14:paraId="639EFEFF" w14:textId="77777777" w:rsidR="00567D7E" w:rsidRDefault="00567D7E" w:rsidP="008A69C7">
            <w:pPr>
              <w:tabs>
                <w:tab w:val="left" w:pos="551"/>
              </w:tabs>
              <w:rPr>
                <w:rFonts w:eastAsiaTheme="minorEastAsia"/>
                <w:lang w:val="en-US" w:eastAsia="zh-CN"/>
              </w:rPr>
            </w:pPr>
          </w:p>
        </w:tc>
        <w:tc>
          <w:tcPr>
            <w:tcW w:w="6780" w:type="dxa"/>
          </w:tcPr>
          <w:p w14:paraId="65A9604A" w14:textId="77777777" w:rsidR="00567D7E" w:rsidRDefault="00567D7E" w:rsidP="008A69C7">
            <w:pPr>
              <w:rPr>
                <w:rFonts w:eastAsiaTheme="minorEastAsia"/>
                <w:lang w:val="en-US" w:eastAsia="zh-CN"/>
              </w:rPr>
            </w:pPr>
          </w:p>
        </w:tc>
      </w:tr>
      <w:tr w:rsidR="00567D7E" w14:paraId="23E2EFB3" w14:textId="77777777" w:rsidTr="008A69C7">
        <w:tc>
          <w:tcPr>
            <w:tcW w:w="1479" w:type="dxa"/>
          </w:tcPr>
          <w:p w14:paraId="01AFB458" w14:textId="77777777" w:rsidR="00567D7E" w:rsidRDefault="00567D7E" w:rsidP="008A69C7">
            <w:pPr>
              <w:rPr>
                <w:rFonts w:eastAsiaTheme="minorEastAsia"/>
                <w:lang w:val="en-US" w:eastAsia="zh-CN"/>
              </w:rPr>
            </w:pPr>
          </w:p>
        </w:tc>
        <w:tc>
          <w:tcPr>
            <w:tcW w:w="1372" w:type="dxa"/>
          </w:tcPr>
          <w:p w14:paraId="4CA6468B" w14:textId="77777777" w:rsidR="00567D7E" w:rsidRDefault="00567D7E" w:rsidP="008A69C7">
            <w:pPr>
              <w:tabs>
                <w:tab w:val="left" w:pos="551"/>
              </w:tabs>
              <w:rPr>
                <w:rFonts w:eastAsiaTheme="minorEastAsia"/>
                <w:lang w:val="en-US" w:eastAsia="zh-CN"/>
              </w:rPr>
            </w:pPr>
          </w:p>
        </w:tc>
        <w:tc>
          <w:tcPr>
            <w:tcW w:w="6780" w:type="dxa"/>
          </w:tcPr>
          <w:p w14:paraId="21ED33A4" w14:textId="77777777" w:rsidR="00567D7E" w:rsidRDefault="00567D7E" w:rsidP="008A69C7">
            <w:pPr>
              <w:rPr>
                <w:rFonts w:eastAsiaTheme="minorEastAsia"/>
                <w:lang w:val="en-US" w:eastAsia="zh-CN"/>
              </w:rPr>
            </w:pPr>
          </w:p>
        </w:tc>
      </w:tr>
    </w:tbl>
    <w:p w14:paraId="2DCB6485" w14:textId="2665A599" w:rsidR="00802255" w:rsidRPr="002E698C"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08090E" w14:paraId="7AB9C052" w14:textId="77777777" w:rsidTr="009323A6">
        <w:tc>
          <w:tcPr>
            <w:tcW w:w="1479" w:type="dxa"/>
            <w:shd w:val="clear" w:color="auto" w:fill="D9D9D9" w:themeFill="background1" w:themeFillShade="D9"/>
          </w:tcPr>
          <w:p w14:paraId="004C8C49" w14:textId="77777777" w:rsidR="0008090E" w:rsidRDefault="0008090E" w:rsidP="009323A6">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9323A6">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9323A6">
            <w:pPr>
              <w:rPr>
                <w:b/>
                <w:bCs/>
                <w:lang w:val="en-US"/>
              </w:rPr>
            </w:pPr>
            <w:r>
              <w:rPr>
                <w:b/>
                <w:bCs/>
                <w:lang w:val="en-US"/>
              </w:rPr>
              <w:t>Comments</w:t>
            </w:r>
          </w:p>
        </w:tc>
      </w:tr>
      <w:tr w:rsidR="0008090E" w14:paraId="0E537863" w14:textId="77777777" w:rsidTr="009323A6">
        <w:tc>
          <w:tcPr>
            <w:tcW w:w="1479" w:type="dxa"/>
          </w:tcPr>
          <w:p w14:paraId="4313F649" w14:textId="77777777" w:rsidR="0008090E" w:rsidRDefault="0008090E" w:rsidP="009323A6">
            <w:pPr>
              <w:rPr>
                <w:rFonts w:eastAsiaTheme="minorEastAsia"/>
                <w:lang w:val="en-US" w:eastAsia="zh-CN"/>
              </w:rPr>
            </w:pPr>
          </w:p>
        </w:tc>
        <w:tc>
          <w:tcPr>
            <w:tcW w:w="1372" w:type="dxa"/>
          </w:tcPr>
          <w:p w14:paraId="6FDC28F5" w14:textId="77777777" w:rsidR="0008090E" w:rsidRDefault="0008090E" w:rsidP="009323A6">
            <w:pPr>
              <w:tabs>
                <w:tab w:val="left" w:pos="551"/>
              </w:tabs>
              <w:rPr>
                <w:rFonts w:eastAsiaTheme="minorEastAsia"/>
                <w:lang w:val="en-US" w:eastAsia="zh-CN"/>
              </w:rPr>
            </w:pPr>
          </w:p>
        </w:tc>
        <w:tc>
          <w:tcPr>
            <w:tcW w:w="6780" w:type="dxa"/>
          </w:tcPr>
          <w:p w14:paraId="6C1C220F" w14:textId="77777777" w:rsidR="0008090E" w:rsidRDefault="0008090E" w:rsidP="009323A6">
            <w:pPr>
              <w:rPr>
                <w:rFonts w:eastAsiaTheme="minorEastAsia"/>
                <w:lang w:val="en-US" w:eastAsia="zh-CN"/>
              </w:rPr>
            </w:pPr>
          </w:p>
        </w:tc>
      </w:tr>
      <w:tr w:rsidR="0008090E" w14:paraId="2A1DB97C" w14:textId="77777777" w:rsidTr="009323A6">
        <w:tc>
          <w:tcPr>
            <w:tcW w:w="1479" w:type="dxa"/>
          </w:tcPr>
          <w:p w14:paraId="333E26D6" w14:textId="77777777" w:rsidR="0008090E" w:rsidRDefault="0008090E" w:rsidP="009323A6">
            <w:pPr>
              <w:rPr>
                <w:rFonts w:eastAsiaTheme="minorEastAsia"/>
                <w:lang w:val="en-US" w:eastAsia="zh-CN"/>
              </w:rPr>
            </w:pPr>
          </w:p>
        </w:tc>
        <w:tc>
          <w:tcPr>
            <w:tcW w:w="1372" w:type="dxa"/>
          </w:tcPr>
          <w:p w14:paraId="7264B469" w14:textId="77777777" w:rsidR="0008090E" w:rsidRDefault="0008090E" w:rsidP="009323A6">
            <w:pPr>
              <w:tabs>
                <w:tab w:val="left" w:pos="551"/>
              </w:tabs>
              <w:rPr>
                <w:rFonts w:eastAsiaTheme="minorEastAsia"/>
                <w:lang w:val="en-US" w:eastAsia="zh-CN"/>
              </w:rPr>
            </w:pPr>
          </w:p>
        </w:tc>
        <w:tc>
          <w:tcPr>
            <w:tcW w:w="6780" w:type="dxa"/>
          </w:tcPr>
          <w:p w14:paraId="1C6A03BA" w14:textId="77777777" w:rsidR="0008090E" w:rsidRDefault="0008090E" w:rsidP="009323A6">
            <w:pPr>
              <w:rPr>
                <w:rFonts w:eastAsiaTheme="minorEastAsia"/>
                <w:lang w:val="en-US" w:eastAsia="zh-CN"/>
              </w:rPr>
            </w:pPr>
          </w:p>
        </w:tc>
      </w:tr>
      <w:tr w:rsidR="0008090E" w14:paraId="2EE44482" w14:textId="77777777" w:rsidTr="009323A6">
        <w:tc>
          <w:tcPr>
            <w:tcW w:w="1479" w:type="dxa"/>
          </w:tcPr>
          <w:p w14:paraId="51618564" w14:textId="77777777" w:rsidR="0008090E" w:rsidRDefault="0008090E" w:rsidP="009323A6">
            <w:pPr>
              <w:rPr>
                <w:rFonts w:eastAsiaTheme="minorEastAsia"/>
                <w:lang w:val="en-US" w:eastAsia="zh-CN"/>
              </w:rPr>
            </w:pPr>
          </w:p>
        </w:tc>
        <w:tc>
          <w:tcPr>
            <w:tcW w:w="1372" w:type="dxa"/>
          </w:tcPr>
          <w:p w14:paraId="254721C6" w14:textId="77777777" w:rsidR="0008090E" w:rsidRDefault="0008090E" w:rsidP="009323A6">
            <w:pPr>
              <w:tabs>
                <w:tab w:val="left" w:pos="551"/>
              </w:tabs>
              <w:rPr>
                <w:rFonts w:eastAsiaTheme="minorEastAsia"/>
                <w:lang w:val="en-US" w:eastAsia="zh-CN"/>
              </w:rPr>
            </w:pPr>
          </w:p>
        </w:tc>
        <w:tc>
          <w:tcPr>
            <w:tcW w:w="6780" w:type="dxa"/>
          </w:tcPr>
          <w:p w14:paraId="34E7779B" w14:textId="77777777" w:rsidR="0008090E" w:rsidRDefault="0008090E" w:rsidP="009323A6">
            <w:pPr>
              <w:rPr>
                <w:rFonts w:eastAsiaTheme="minorEastAsia"/>
                <w:lang w:val="en-US" w:eastAsia="zh-CN"/>
              </w:rPr>
            </w:pP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17] also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NB IoT</w:t>
      </w:r>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w:t>
      </w:r>
      <w:r w:rsidR="00E946E0" w:rsidRPr="00A71ECC">
        <w:rPr>
          <w:rFonts w:eastAsia="宋体"/>
          <w:b/>
          <w:bCs/>
          <w:lang w:eastAsia="zh-CN"/>
        </w:rPr>
        <w:lastRenderedPageBreak/>
        <w:t xml:space="preserve">carriers. </w:t>
      </w:r>
    </w:p>
    <w:tbl>
      <w:tblPr>
        <w:tblStyle w:val="af8"/>
        <w:tblW w:w="9631" w:type="dxa"/>
        <w:tblLayout w:type="fixed"/>
        <w:tblLook w:val="04A0" w:firstRow="1" w:lastRow="0" w:firstColumn="1" w:lastColumn="0" w:noHBand="0" w:noVBand="1"/>
      </w:tblPr>
      <w:tblGrid>
        <w:gridCol w:w="1479"/>
        <w:gridCol w:w="1372"/>
        <w:gridCol w:w="6780"/>
      </w:tblGrid>
      <w:tr w:rsidR="00E946E0" w14:paraId="38E24DC2" w14:textId="77777777" w:rsidTr="009323A6">
        <w:tc>
          <w:tcPr>
            <w:tcW w:w="1479" w:type="dxa"/>
            <w:shd w:val="clear" w:color="auto" w:fill="D9D9D9" w:themeFill="background1" w:themeFillShade="D9"/>
          </w:tcPr>
          <w:p w14:paraId="0CBC08C1" w14:textId="77777777" w:rsidR="00E946E0" w:rsidRDefault="00E946E0" w:rsidP="009323A6">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9323A6">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9323A6">
            <w:pPr>
              <w:rPr>
                <w:b/>
                <w:bCs/>
                <w:lang w:val="en-US"/>
              </w:rPr>
            </w:pPr>
            <w:r>
              <w:rPr>
                <w:b/>
                <w:bCs/>
                <w:lang w:val="en-US"/>
              </w:rPr>
              <w:t>Comments</w:t>
            </w:r>
          </w:p>
        </w:tc>
      </w:tr>
      <w:tr w:rsidR="00E946E0" w14:paraId="7EE04229" w14:textId="77777777" w:rsidTr="009323A6">
        <w:tc>
          <w:tcPr>
            <w:tcW w:w="1479" w:type="dxa"/>
          </w:tcPr>
          <w:p w14:paraId="5CCDCF23" w14:textId="77777777" w:rsidR="00E946E0" w:rsidRDefault="00E946E0" w:rsidP="009323A6">
            <w:pPr>
              <w:rPr>
                <w:rFonts w:eastAsiaTheme="minorEastAsia"/>
                <w:lang w:val="en-US" w:eastAsia="zh-CN"/>
              </w:rPr>
            </w:pPr>
          </w:p>
        </w:tc>
        <w:tc>
          <w:tcPr>
            <w:tcW w:w="1372" w:type="dxa"/>
          </w:tcPr>
          <w:p w14:paraId="5E904C60" w14:textId="77777777" w:rsidR="00E946E0" w:rsidRDefault="00E946E0" w:rsidP="009323A6">
            <w:pPr>
              <w:tabs>
                <w:tab w:val="left" w:pos="551"/>
              </w:tabs>
              <w:rPr>
                <w:rFonts w:eastAsiaTheme="minorEastAsia"/>
                <w:lang w:val="en-US" w:eastAsia="zh-CN"/>
              </w:rPr>
            </w:pPr>
          </w:p>
        </w:tc>
        <w:tc>
          <w:tcPr>
            <w:tcW w:w="6780" w:type="dxa"/>
          </w:tcPr>
          <w:p w14:paraId="60CEF6D5" w14:textId="77777777" w:rsidR="00E946E0" w:rsidRDefault="00E946E0" w:rsidP="009323A6">
            <w:pPr>
              <w:rPr>
                <w:rFonts w:eastAsiaTheme="minorEastAsia"/>
                <w:lang w:val="en-US" w:eastAsia="zh-CN"/>
              </w:rPr>
            </w:pPr>
          </w:p>
        </w:tc>
      </w:tr>
      <w:tr w:rsidR="00E946E0" w14:paraId="46415493" w14:textId="77777777" w:rsidTr="009323A6">
        <w:tc>
          <w:tcPr>
            <w:tcW w:w="1479" w:type="dxa"/>
          </w:tcPr>
          <w:p w14:paraId="7C57179A" w14:textId="77777777" w:rsidR="00E946E0" w:rsidRDefault="00E946E0" w:rsidP="009323A6">
            <w:pPr>
              <w:rPr>
                <w:rFonts w:eastAsiaTheme="minorEastAsia"/>
                <w:lang w:val="en-US" w:eastAsia="zh-CN"/>
              </w:rPr>
            </w:pPr>
          </w:p>
        </w:tc>
        <w:tc>
          <w:tcPr>
            <w:tcW w:w="1372" w:type="dxa"/>
          </w:tcPr>
          <w:p w14:paraId="343160C3" w14:textId="77777777" w:rsidR="00E946E0" w:rsidRDefault="00E946E0" w:rsidP="009323A6">
            <w:pPr>
              <w:tabs>
                <w:tab w:val="left" w:pos="551"/>
              </w:tabs>
              <w:rPr>
                <w:rFonts w:eastAsiaTheme="minorEastAsia"/>
                <w:lang w:val="en-US" w:eastAsia="zh-CN"/>
              </w:rPr>
            </w:pPr>
          </w:p>
        </w:tc>
        <w:tc>
          <w:tcPr>
            <w:tcW w:w="6780" w:type="dxa"/>
          </w:tcPr>
          <w:p w14:paraId="6559EF61" w14:textId="77777777" w:rsidR="00E946E0" w:rsidRDefault="00E946E0" w:rsidP="009323A6">
            <w:pPr>
              <w:rPr>
                <w:rFonts w:eastAsiaTheme="minorEastAsia"/>
                <w:lang w:val="en-US" w:eastAsia="zh-CN"/>
              </w:rPr>
            </w:pPr>
          </w:p>
        </w:tc>
      </w:tr>
      <w:tr w:rsidR="00E946E0" w14:paraId="6E89E834" w14:textId="77777777" w:rsidTr="009323A6">
        <w:tc>
          <w:tcPr>
            <w:tcW w:w="1479" w:type="dxa"/>
          </w:tcPr>
          <w:p w14:paraId="53565A4D" w14:textId="77777777" w:rsidR="00E946E0" w:rsidRDefault="00E946E0" w:rsidP="009323A6">
            <w:pPr>
              <w:rPr>
                <w:rFonts w:eastAsiaTheme="minorEastAsia"/>
                <w:lang w:val="en-US" w:eastAsia="zh-CN"/>
              </w:rPr>
            </w:pPr>
          </w:p>
        </w:tc>
        <w:tc>
          <w:tcPr>
            <w:tcW w:w="1372" w:type="dxa"/>
          </w:tcPr>
          <w:p w14:paraId="32D32014" w14:textId="77777777" w:rsidR="00E946E0" w:rsidRDefault="00E946E0" w:rsidP="009323A6">
            <w:pPr>
              <w:tabs>
                <w:tab w:val="left" w:pos="551"/>
              </w:tabs>
              <w:rPr>
                <w:rFonts w:eastAsiaTheme="minorEastAsia"/>
                <w:lang w:val="en-US" w:eastAsia="zh-CN"/>
              </w:rPr>
            </w:pPr>
          </w:p>
        </w:tc>
        <w:tc>
          <w:tcPr>
            <w:tcW w:w="6780" w:type="dxa"/>
          </w:tcPr>
          <w:p w14:paraId="68826C84" w14:textId="77777777" w:rsidR="00E946E0" w:rsidRDefault="00E946E0" w:rsidP="009323A6">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a"/>
        <w:numPr>
          <w:ilvl w:val="0"/>
          <w:numId w:val="11"/>
        </w:numPr>
        <w:spacing w:line="252" w:lineRule="auto"/>
        <w:rPr>
          <w:rFonts w:eastAsia="等线"/>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a"/>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w:t>
      </w:r>
      <w:proofErr w:type="gramStart"/>
      <w:r w:rsidR="009525BC" w:rsidRPr="001E63F6">
        <w:rPr>
          <w:lang w:val="en-US"/>
        </w:rPr>
        <w:t>3</w:t>
      </w:r>
      <w:r w:rsidR="00C016B2">
        <w:rPr>
          <w:lang w:val="en-US"/>
        </w:rPr>
        <w:t>.</w:t>
      </w:r>
      <w:r w:rsidR="000200BB">
        <w:rPr>
          <w:lang w:val="en-US"/>
        </w:rPr>
        <w:t>3</w:t>
      </w:r>
      <w:r w:rsidR="009525BC" w:rsidRPr="001E63F6">
        <w:rPr>
          <w:lang w:val="en-US"/>
        </w:rPr>
        <w:t>,</w:t>
      </w:r>
      <w:proofErr w:type="gramEnd"/>
      <w:r w:rsidR="009525BC" w:rsidRPr="001E63F6">
        <w:rPr>
          <w:lang w:val="en-US"/>
        </w:rPr>
        <w:t xml:space="preserve">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1923BD00" w:rsidR="009525BC" w:rsidRPr="00C33225" w:rsidRDefault="009525BC" w:rsidP="00B0748B">
      <w:pPr>
        <w:pStyle w:val="aff"/>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lastRenderedPageBreak/>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FA6E99" w:rsidRPr="00C33225">
        <w:rPr>
          <w:rFonts w:eastAsiaTheme="minorEastAsia" w:hint="eastAsia"/>
          <w:b/>
          <w:bCs/>
          <w:sz w:val="20"/>
          <w:szCs w:val="20"/>
          <w:lang w:val="en-US" w:eastAsia="zh-CN"/>
        </w:rPr>
        <w:t>command</w:t>
      </w:r>
      <w:r w:rsidRPr="00C33225">
        <w:rPr>
          <w:rFonts w:eastAsiaTheme="minorEastAsia"/>
          <w:b/>
          <w:bCs/>
          <w:sz w:val="20"/>
          <w:szCs w:val="20"/>
          <w:lang w:val="en-US" w:eastAsia="zh-CN"/>
        </w:rPr>
        <w:t>s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57EF18C1" w:rsidR="009525BC" w:rsidRPr="00C33225" w:rsidRDefault="009525BC" w:rsidP="00B0748B">
      <w:pPr>
        <w:pStyle w:val="aff"/>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FA6E99" w:rsidRPr="00C33225">
        <w:rPr>
          <w:rFonts w:eastAsiaTheme="minorEastAsia" w:hint="eastAsia"/>
          <w:b/>
          <w:bCs/>
          <w:sz w:val="20"/>
          <w:szCs w:val="20"/>
          <w:lang w:val="en-US" w:eastAsia="zh-CN"/>
        </w:rPr>
        <w:t>command</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8A69C7">
        <w:tc>
          <w:tcPr>
            <w:tcW w:w="1479" w:type="dxa"/>
            <w:shd w:val="clear" w:color="auto" w:fill="D9D9D9" w:themeFill="background1" w:themeFillShade="D9"/>
          </w:tcPr>
          <w:p w14:paraId="1B765AF3" w14:textId="77777777" w:rsidR="009525BC" w:rsidRPr="007D480B" w:rsidRDefault="009525BC" w:rsidP="008A69C7">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8A69C7">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8A69C7">
            <w:pPr>
              <w:rPr>
                <w:b/>
                <w:bCs/>
                <w:lang w:val="en-US"/>
              </w:rPr>
            </w:pPr>
            <w:r w:rsidRPr="007D480B">
              <w:rPr>
                <w:b/>
                <w:bCs/>
                <w:lang w:val="en-US"/>
              </w:rPr>
              <w:t>Comments</w:t>
            </w:r>
          </w:p>
        </w:tc>
      </w:tr>
      <w:tr w:rsidR="009525BC" w:rsidRPr="007D480B" w14:paraId="2FAAFA8D" w14:textId="77777777" w:rsidTr="008A69C7">
        <w:tc>
          <w:tcPr>
            <w:tcW w:w="1479" w:type="dxa"/>
          </w:tcPr>
          <w:p w14:paraId="7AFB08A2" w14:textId="77777777" w:rsidR="009525BC" w:rsidRPr="007D480B" w:rsidRDefault="009525BC" w:rsidP="008A69C7">
            <w:pPr>
              <w:rPr>
                <w:rFonts w:eastAsiaTheme="minorEastAsia"/>
                <w:lang w:val="en-US" w:eastAsia="zh-CN"/>
              </w:rPr>
            </w:pPr>
          </w:p>
        </w:tc>
        <w:tc>
          <w:tcPr>
            <w:tcW w:w="1372" w:type="dxa"/>
          </w:tcPr>
          <w:p w14:paraId="0B87308E" w14:textId="77777777" w:rsidR="009525BC" w:rsidRPr="007D480B" w:rsidRDefault="009525BC" w:rsidP="008A69C7">
            <w:pPr>
              <w:tabs>
                <w:tab w:val="left" w:pos="551"/>
              </w:tabs>
              <w:rPr>
                <w:rFonts w:eastAsiaTheme="minorEastAsia"/>
                <w:lang w:val="en-US" w:eastAsia="zh-CN"/>
              </w:rPr>
            </w:pPr>
          </w:p>
        </w:tc>
        <w:tc>
          <w:tcPr>
            <w:tcW w:w="6780" w:type="dxa"/>
          </w:tcPr>
          <w:p w14:paraId="5C5E7B3F" w14:textId="77777777" w:rsidR="009525BC" w:rsidRPr="007D480B" w:rsidRDefault="009525BC" w:rsidP="008A69C7">
            <w:pPr>
              <w:rPr>
                <w:rFonts w:eastAsiaTheme="minorEastAsia"/>
                <w:lang w:val="en-US" w:eastAsia="zh-CN"/>
              </w:rPr>
            </w:pPr>
          </w:p>
        </w:tc>
      </w:tr>
      <w:tr w:rsidR="009525BC" w:rsidRPr="007D480B" w14:paraId="228D469C" w14:textId="77777777" w:rsidTr="008A69C7">
        <w:tc>
          <w:tcPr>
            <w:tcW w:w="1479" w:type="dxa"/>
          </w:tcPr>
          <w:p w14:paraId="4D5AC4D2" w14:textId="77777777" w:rsidR="009525BC" w:rsidRPr="007D480B" w:rsidRDefault="009525BC" w:rsidP="008A69C7">
            <w:pPr>
              <w:rPr>
                <w:rFonts w:eastAsiaTheme="minorEastAsia"/>
                <w:lang w:val="en-US" w:eastAsia="zh-CN"/>
              </w:rPr>
            </w:pPr>
          </w:p>
        </w:tc>
        <w:tc>
          <w:tcPr>
            <w:tcW w:w="1372" w:type="dxa"/>
          </w:tcPr>
          <w:p w14:paraId="2E3D7EB6" w14:textId="77777777" w:rsidR="009525BC" w:rsidRPr="007D480B" w:rsidRDefault="009525BC" w:rsidP="008A69C7">
            <w:pPr>
              <w:tabs>
                <w:tab w:val="left" w:pos="551"/>
              </w:tabs>
              <w:rPr>
                <w:rFonts w:eastAsiaTheme="minorEastAsia"/>
                <w:lang w:val="en-US" w:eastAsia="zh-CN"/>
              </w:rPr>
            </w:pPr>
          </w:p>
        </w:tc>
        <w:tc>
          <w:tcPr>
            <w:tcW w:w="6780" w:type="dxa"/>
          </w:tcPr>
          <w:p w14:paraId="0832DE78" w14:textId="77777777" w:rsidR="009525BC" w:rsidRPr="007D480B" w:rsidRDefault="009525BC" w:rsidP="008A69C7">
            <w:pPr>
              <w:rPr>
                <w:rFonts w:eastAsiaTheme="minorEastAsia"/>
                <w:lang w:val="en-US" w:eastAsia="zh-CN"/>
              </w:rPr>
            </w:pPr>
          </w:p>
        </w:tc>
      </w:tr>
      <w:tr w:rsidR="009525BC" w:rsidRPr="007D480B" w14:paraId="0EEEA241" w14:textId="77777777" w:rsidTr="008A69C7">
        <w:tc>
          <w:tcPr>
            <w:tcW w:w="1479" w:type="dxa"/>
          </w:tcPr>
          <w:p w14:paraId="20DA9E2C" w14:textId="77777777" w:rsidR="009525BC" w:rsidRPr="007D480B" w:rsidRDefault="009525BC" w:rsidP="008A69C7">
            <w:pPr>
              <w:rPr>
                <w:rFonts w:eastAsiaTheme="minorEastAsia"/>
                <w:lang w:val="en-US" w:eastAsia="zh-CN"/>
              </w:rPr>
            </w:pPr>
          </w:p>
        </w:tc>
        <w:tc>
          <w:tcPr>
            <w:tcW w:w="1372" w:type="dxa"/>
          </w:tcPr>
          <w:p w14:paraId="7DF2CD1B" w14:textId="77777777" w:rsidR="009525BC" w:rsidRPr="007D480B" w:rsidRDefault="009525BC" w:rsidP="008A69C7">
            <w:pPr>
              <w:tabs>
                <w:tab w:val="left" w:pos="551"/>
              </w:tabs>
              <w:rPr>
                <w:rFonts w:eastAsiaTheme="minorEastAsia"/>
                <w:lang w:val="en-US" w:eastAsia="zh-CN"/>
              </w:rPr>
            </w:pPr>
          </w:p>
        </w:tc>
        <w:tc>
          <w:tcPr>
            <w:tcW w:w="6780" w:type="dxa"/>
          </w:tcPr>
          <w:p w14:paraId="66B37DD1" w14:textId="77777777" w:rsidR="009525BC" w:rsidRPr="007D480B" w:rsidRDefault="009525BC" w:rsidP="008A69C7">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9525BC" w:rsidRPr="00635CEB" w14:paraId="01C867C0" w14:textId="77777777" w:rsidTr="008A69C7">
        <w:tc>
          <w:tcPr>
            <w:tcW w:w="9630" w:type="dxa"/>
          </w:tcPr>
          <w:p w14:paraId="1CE11383" w14:textId="77777777" w:rsidR="009525BC" w:rsidRDefault="009525BC" w:rsidP="008A69C7">
            <w:pPr>
              <w:rPr>
                <w:sz w:val="15"/>
                <w:szCs w:val="15"/>
              </w:rPr>
            </w:pPr>
            <w:r>
              <w:rPr>
                <w:sz w:val="15"/>
                <w:szCs w:val="15"/>
              </w:rPr>
              <w:t>36.213</w:t>
            </w:r>
          </w:p>
          <w:p w14:paraId="01B63B65" w14:textId="77777777" w:rsidR="009525BC" w:rsidRPr="00635CEB" w:rsidRDefault="009525BC" w:rsidP="008A69C7">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8A69C7">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8A69C7">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8A69C7">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8A69C7">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8A69C7">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8A69C7">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8A69C7">
              <w:trPr>
                <w:cantSplit/>
                <w:jc w:val="center"/>
              </w:trPr>
              <w:tc>
                <w:tcPr>
                  <w:tcW w:w="0" w:type="auto"/>
                  <w:vAlign w:val="center"/>
                </w:tcPr>
                <w:p w14:paraId="10D45D4D" w14:textId="77777777" w:rsidR="009525BC" w:rsidRPr="00635CEB" w:rsidRDefault="009525BC" w:rsidP="008A69C7">
                  <w:pPr>
                    <w:keepNext/>
                    <w:keepLines/>
                    <w:spacing w:after="0"/>
                    <w:jc w:val="center"/>
                    <w:rPr>
                      <w:rFonts w:ascii="Arial" w:hAnsi="Arial"/>
                      <w:b/>
                      <w:sz w:val="15"/>
                      <w:szCs w:val="15"/>
                      <w:lang w:val="de-DE"/>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8A69C7">
              <w:trPr>
                <w:cantSplit/>
                <w:jc w:val="center"/>
              </w:trPr>
              <w:tc>
                <w:tcPr>
                  <w:tcW w:w="0" w:type="auto"/>
                  <w:vAlign w:val="center"/>
                </w:tcPr>
                <w:p w14:paraId="7A9148C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8A69C7">
              <w:trPr>
                <w:cantSplit/>
                <w:jc w:val="center"/>
              </w:trPr>
              <w:tc>
                <w:tcPr>
                  <w:tcW w:w="0" w:type="auto"/>
                  <w:vAlign w:val="center"/>
                </w:tcPr>
                <w:p w14:paraId="2FEACF7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8A69C7">
              <w:trPr>
                <w:cantSplit/>
                <w:jc w:val="center"/>
              </w:trPr>
              <w:tc>
                <w:tcPr>
                  <w:tcW w:w="0" w:type="auto"/>
                  <w:vAlign w:val="center"/>
                </w:tcPr>
                <w:p w14:paraId="6C5A6BF8"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8A69C7">
            <w:pPr>
              <w:rPr>
                <w:rFonts w:eastAsia="宋体"/>
                <w:sz w:val="15"/>
                <w:szCs w:val="15"/>
                <w:lang w:eastAsia="zh-CN"/>
              </w:rPr>
            </w:pPr>
          </w:p>
          <w:p w14:paraId="757BE96E"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8A69C7">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8A69C7">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8A69C7">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8A69C7">
              <w:trPr>
                <w:cantSplit/>
                <w:trHeight w:val="161"/>
                <w:jc w:val="center"/>
              </w:trPr>
              <w:tc>
                <w:tcPr>
                  <w:tcW w:w="0" w:type="auto"/>
                  <w:vAlign w:val="center"/>
                </w:tcPr>
                <w:p w14:paraId="402604CB"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8A69C7">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8A69C7">
              <w:trPr>
                <w:cantSplit/>
                <w:jc w:val="center"/>
              </w:trPr>
              <w:tc>
                <w:tcPr>
                  <w:tcW w:w="0" w:type="auto"/>
                  <w:vAlign w:val="center"/>
                </w:tcPr>
                <w:p w14:paraId="5F3CF72A"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8A69C7">
              <w:trPr>
                <w:cantSplit/>
                <w:jc w:val="center"/>
              </w:trPr>
              <w:tc>
                <w:tcPr>
                  <w:tcW w:w="0" w:type="auto"/>
                  <w:vAlign w:val="center"/>
                </w:tcPr>
                <w:p w14:paraId="00D0A40A"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8A69C7">
              <w:trPr>
                <w:cantSplit/>
                <w:jc w:val="center"/>
              </w:trPr>
              <w:tc>
                <w:tcPr>
                  <w:tcW w:w="0" w:type="auto"/>
                  <w:vAlign w:val="center"/>
                </w:tcPr>
                <w:p w14:paraId="59EEE4EF"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8A69C7">
              <w:trPr>
                <w:cantSplit/>
                <w:jc w:val="center"/>
              </w:trPr>
              <w:tc>
                <w:tcPr>
                  <w:tcW w:w="0" w:type="auto"/>
                  <w:vAlign w:val="center"/>
                </w:tcPr>
                <w:p w14:paraId="54409D10"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8A69C7">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8A69C7">
            <w:pPr>
              <w:rPr>
                <w:b/>
                <w:bCs/>
                <w:lang w:eastAsia="ar-SA"/>
              </w:rPr>
            </w:pPr>
            <w:r>
              <w:rPr>
                <w:b/>
                <w:bCs/>
                <w:lang w:eastAsia="ar-SA"/>
              </w:rPr>
              <w:lastRenderedPageBreak/>
              <w:t>source</w:t>
            </w:r>
          </w:p>
        </w:tc>
        <w:tc>
          <w:tcPr>
            <w:tcW w:w="757" w:type="dxa"/>
            <w:shd w:val="clear" w:color="auto" w:fill="BFBFBF" w:themeFill="background1" w:themeFillShade="BF"/>
          </w:tcPr>
          <w:p w14:paraId="36471B91" w14:textId="77777777" w:rsidR="009525BC" w:rsidRPr="009762DE" w:rsidRDefault="009525BC" w:rsidP="008A69C7">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8A69C7">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8A69C7">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8A69C7">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8A69C7">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8A69C7">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8A69C7">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8A69C7">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shd w:val="clear" w:color="auto" w:fill="auto"/>
          </w:tcPr>
          <w:p w14:paraId="3BC91B35"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8A69C7">
            <w:pPr>
              <w:rPr>
                <w:rFonts w:eastAsia="等线"/>
                <w:lang w:val="en-US" w:eastAsia="zh-CN"/>
              </w:rPr>
            </w:pPr>
            <w:r w:rsidRPr="009762DE">
              <w:rPr>
                <w:rFonts w:eastAsia="等线"/>
                <w:lang w:val="en-US" w:eastAsia="zh-CN"/>
              </w:rPr>
              <w:t>√</w:t>
            </w:r>
          </w:p>
          <w:p w14:paraId="16F4382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219E81C" w14:textId="77777777" w:rsidR="009525BC" w:rsidRPr="009762DE" w:rsidRDefault="009525BC" w:rsidP="008A69C7">
            <w:pPr>
              <w:rPr>
                <w:rFonts w:eastAsia="等线"/>
                <w:lang w:val="en-US" w:eastAsia="zh-CN"/>
              </w:rPr>
            </w:pPr>
            <w:r w:rsidRPr="009762DE">
              <w:rPr>
                <w:rFonts w:eastAsia="等线"/>
                <w:lang w:val="en-US" w:eastAsia="zh-CN"/>
              </w:rPr>
              <w:t>√</w:t>
            </w:r>
          </w:p>
          <w:p w14:paraId="26EA54C3"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06C28779" w14:textId="77777777" w:rsidR="009525BC" w:rsidRPr="009762DE" w:rsidRDefault="009525BC" w:rsidP="008A69C7">
            <w:pPr>
              <w:rPr>
                <w:rFonts w:eastAsia="等线"/>
                <w:lang w:val="en-US" w:eastAsia="zh-CN"/>
              </w:rPr>
            </w:pPr>
          </w:p>
        </w:tc>
        <w:tc>
          <w:tcPr>
            <w:tcW w:w="756" w:type="dxa"/>
            <w:shd w:val="clear" w:color="auto" w:fill="auto"/>
          </w:tcPr>
          <w:p w14:paraId="6FD3DD22" w14:textId="77777777" w:rsidR="009525BC" w:rsidRPr="009762DE" w:rsidRDefault="009525BC" w:rsidP="008A69C7">
            <w:pPr>
              <w:rPr>
                <w:rFonts w:eastAsia="等线"/>
                <w:lang w:val="en-US" w:eastAsia="zh-CN"/>
              </w:rPr>
            </w:pPr>
          </w:p>
        </w:tc>
        <w:tc>
          <w:tcPr>
            <w:tcW w:w="756" w:type="dxa"/>
            <w:shd w:val="clear" w:color="auto" w:fill="auto"/>
          </w:tcPr>
          <w:p w14:paraId="2DD759B0" w14:textId="77777777" w:rsidR="009525BC" w:rsidRPr="009762DE" w:rsidRDefault="009525BC" w:rsidP="008A69C7">
            <w:pPr>
              <w:rPr>
                <w:rFonts w:eastAsia="等线"/>
                <w:lang w:val="en-US" w:eastAsia="zh-CN"/>
              </w:rPr>
            </w:pPr>
          </w:p>
        </w:tc>
        <w:tc>
          <w:tcPr>
            <w:tcW w:w="756" w:type="dxa"/>
          </w:tcPr>
          <w:p w14:paraId="399883FD" w14:textId="77777777" w:rsidR="009525BC" w:rsidRPr="009762DE" w:rsidRDefault="009525BC" w:rsidP="008A69C7">
            <w:pPr>
              <w:rPr>
                <w:rFonts w:eastAsia="等线"/>
                <w:lang w:val="en-US" w:eastAsia="zh-CN"/>
              </w:rPr>
            </w:pPr>
          </w:p>
        </w:tc>
        <w:tc>
          <w:tcPr>
            <w:tcW w:w="756" w:type="dxa"/>
          </w:tcPr>
          <w:p w14:paraId="2B0C4C97" w14:textId="77777777" w:rsidR="009525BC" w:rsidRPr="009762DE" w:rsidRDefault="009525BC" w:rsidP="008A69C7">
            <w:pPr>
              <w:rPr>
                <w:rFonts w:eastAsia="等线"/>
                <w:lang w:val="en-US" w:eastAsia="zh-CN"/>
              </w:rPr>
            </w:pPr>
          </w:p>
        </w:tc>
        <w:tc>
          <w:tcPr>
            <w:tcW w:w="3476" w:type="dxa"/>
          </w:tcPr>
          <w:p w14:paraId="11E301DE" w14:textId="77777777" w:rsidR="009525BC" w:rsidRPr="009762DE" w:rsidRDefault="009525BC" w:rsidP="008A69C7"/>
        </w:tc>
      </w:tr>
      <w:tr w:rsidR="009525BC" w:rsidRPr="009762DE" w14:paraId="7D696EDD" w14:textId="77777777" w:rsidTr="00057264">
        <w:trPr>
          <w:trHeight w:val="306"/>
        </w:trPr>
        <w:tc>
          <w:tcPr>
            <w:tcW w:w="757" w:type="dxa"/>
            <w:shd w:val="clear" w:color="auto" w:fill="auto"/>
          </w:tcPr>
          <w:p w14:paraId="3139CB07" w14:textId="77777777" w:rsidR="009525BC" w:rsidRPr="009762DE" w:rsidRDefault="009525BC" w:rsidP="008A69C7">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8A69C7">
            <w:pPr>
              <w:rPr>
                <w:rFonts w:eastAsia="等线"/>
                <w:lang w:val="en-US" w:eastAsia="zh-CN"/>
              </w:rPr>
            </w:pPr>
            <w:r w:rsidRPr="009762DE">
              <w:rPr>
                <w:rFonts w:eastAsia="等线"/>
                <w:lang w:val="en-US" w:eastAsia="zh-CN"/>
              </w:rPr>
              <w:t>√</w:t>
            </w:r>
          </w:p>
          <w:p w14:paraId="4571937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8A69C7">
            <w:pPr>
              <w:rPr>
                <w:rFonts w:eastAsia="等线"/>
                <w:lang w:val="en-US" w:eastAsia="zh-CN"/>
              </w:rPr>
            </w:pPr>
            <w:r w:rsidRPr="009762DE">
              <w:rPr>
                <w:rFonts w:eastAsia="等线"/>
                <w:lang w:val="en-US" w:eastAsia="zh-CN"/>
              </w:rPr>
              <w:t>√</w:t>
            </w:r>
          </w:p>
          <w:p w14:paraId="676234B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8A69C7">
            <w:pPr>
              <w:rPr>
                <w:rFonts w:eastAsia="等线"/>
                <w:lang w:val="en-US" w:eastAsia="zh-CN"/>
              </w:rPr>
            </w:pPr>
          </w:p>
        </w:tc>
        <w:tc>
          <w:tcPr>
            <w:tcW w:w="756" w:type="dxa"/>
            <w:shd w:val="clear" w:color="auto" w:fill="auto"/>
          </w:tcPr>
          <w:p w14:paraId="4602AE93" w14:textId="77777777" w:rsidR="009525BC" w:rsidRPr="009762DE" w:rsidRDefault="009525BC" w:rsidP="008A69C7">
            <w:pPr>
              <w:rPr>
                <w:rFonts w:eastAsia="等线"/>
                <w:lang w:val="en-US" w:eastAsia="zh-CN"/>
              </w:rPr>
            </w:pPr>
          </w:p>
        </w:tc>
        <w:tc>
          <w:tcPr>
            <w:tcW w:w="756" w:type="dxa"/>
            <w:shd w:val="clear" w:color="auto" w:fill="auto"/>
          </w:tcPr>
          <w:p w14:paraId="6FF00D6C" w14:textId="77777777" w:rsidR="009525BC" w:rsidRPr="009762DE" w:rsidRDefault="009525BC" w:rsidP="008A69C7">
            <w:pPr>
              <w:rPr>
                <w:rFonts w:eastAsia="等线"/>
                <w:lang w:val="en-US" w:eastAsia="zh-CN"/>
              </w:rPr>
            </w:pPr>
          </w:p>
        </w:tc>
        <w:tc>
          <w:tcPr>
            <w:tcW w:w="756" w:type="dxa"/>
          </w:tcPr>
          <w:p w14:paraId="673FE823" w14:textId="77777777" w:rsidR="009525BC" w:rsidRPr="009762DE" w:rsidRDefault="009525BC" w:rsidP="008A69C7">
            <w:pPr>
              <w:rPr>
                <w:rFonts w:eastAsia="等线"/>
                <w:lang w:val="en-US" w:eastAsia="zh-CN"/>
              </w:rPr>
            </w:pPr>
          </w:p>
        </w:tc>
        <w:tc>
          <w:tcPr>
            <w:tcW w:w="756" w:type="dxa"/>
          </w:tcPr>
          <w:p w14:paraId="19B962F4" w14:textId="77777777" w:rsidR="009525BC" w:rsidRPr="009762DE" w:rsidRDefault="009525BC" w:rsidP="008A69C7">
            <w:pPr>
              <w:rPr>
                <w:rFonts w:eastAsia="等线"/>
                <w:lang w:val="en-US" w:eastAsia="zh-CN"/>
              </w:rPr>
            </w:pPr>
          </w:p>
        </w:tc>
        <w:tc>
          <w:tcPr>
            <w:tcW w:w="3476" w:type="dxa"/>
          </w:tcPr>
          <w:p w14:paraId="7815F51E" w14:textId="5AB859EA" w:rsidR="009525BC" w:rsidRPr="009762DE" w:rsidRDefault="003F761A" w:rsidP="008A69C7">
            <w:pPr>
              <w:rPr>
                <w:rFonts w:eastAsia="等线"/>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shd w:val="clear" w:color="auto" w:fill="auto"/>
          </w:tcPr>
          <w:p w14:paraId="50CF14F0"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8A69C7">
            <w:pPr>
              <w:rPr>
                <w:rFonts w:eastAsia="等线"/>
                <w:lang w:val="en-US" w:eastAsia="zh-CN"/>
              </w:rPr>
            </w:pPr>
            <w:r w:rsidRPr="009762DE">
              <w:rPr>
                <w:rFonts w:eastAsia="等线"/>
                <w:lang w:val="en-US" w:eastAsia="zh-CN"/>
              </w:rPr>
              <w:t>√</w:t>
            </w:r>
          </w:p>
          <w:p w14:paraId="7A78473B"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8A69C7">
            <w:pPr>
              <w:rPr>
                <w:rFonts w:eastAsia="等线"/>
                <w:lang w:val="en-US" w:eastAsia="zh-CN"/>
              </w:rPr>
            </w:pPr>
            <w:r w:rsidRPr="009762DE">
              <w:rPr>
                <w:rFonts w:eastAsia="等线"/>
                <w:lang w:val="en-US" w:eastAsia="zh-CN"/>
              </w:rPr>
              <w:t>√</w:t>
            </w:r>
          </w:p>
          <w:p w14:paraId="1BD3B03E"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8A69C7">
            <w:pPr>
              <w:rPr>
                <w:rFonts w:eastAsia="等线"/>
                <w:lang w:val="en-US" w:eastAsia="zh-CN"/>
              </w:rPr>
            </w:pPr>
            <w:r w:rsidRPr="009762DE">
              <w:rPr>
                <w:rFonts w:eastAsia="等线"/>
                <w:lang w:val="en-US" w:eastAsia="zh-CN"/>
              </w:rPr>
              <w:t>√</w:t>
            </w:r>
          </w:p>
          <w:p w14:paraId="2ACEA60C"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shd w:val="clear" w:color="auto" w:fill="auto"/>
          </w:tcPr>
          <w:p w14:paraId="54C4F672" w14:textId="77777777" w:rsidR="009525BC" w:rsidRPr="009762DE" w:rsidRDefault="009525BC" w:rsidP="008A69C7">
            <w:pPr>
              <w:rPr>
                <w:rFonts w:eastAsia="等线"/>
                <w:lang w:val="en-US" w:eastAsia="zh-CN"/>
              </w:rPr>
            </w:pPr>
          </w:p>
        </w:tc>
        <w:tc>
          <w:tcPr>
            <w:tcW w:w="756" w:type="dxa"/>
            <w:shd w:val="clear" w:color="auto" w:fill="auto"/>
          </w:tcPr>
          <w:p w14:paraId="232F5652" w14:textId="77777777" w:rsidR="009525BC" w:rsidRPr="009762DE" w:rsidRDefault="009525BC" w:rsidP="008A69C7">
            <w:pPr>
              <w:rPr>
                <w:rFonts w:eastAsia="等线"/>
                <w:lang w:val="en-US" w:eastAsia="zh-CN"/>
              </w:rPr>
            </w:pPr>
          </w:p>
        </w:tc>
        <w:tc>
          <w:tcPr>
            <w:tcW w:w="756" w:type="dxa"/>
          </w:tcPr>
          <w:p w14:paraId="6A0F58A2" w14:textId="77777777" w:rsidR="009525BC" w:rsidRPr="009762DE" w:rsidRDefault="009525BC" w:rsidP="008A69C7">
            <w:pPr>
              <w:rPr>
                <w:rFonts w:eastAsia="等线"/>
                <w:lang w:val="en-US" w:eastAsia="zh-CN"/>
              </w:rPr>
            </w:pPr>
          </w:p>
        </w:tc>
        <w:tc>
          <w:tcPr>
            <w:tcW w:w="756" w:type="dxa"/>
          </w:tcPr>
          <w:p w14:paraId="69C83EAD" w14:textId="77777777" w:rsidR="009525BC" w:rsidRPr="009762DE" w:rsidRDefault="009525BC" w:rsidP="008A69C7">
            <w:pPr>
              <w:rPr>
                <w:rFonts w:eastAsia="等线"/>
                <w:lang w:val="en-US" w:eastAsia="zh-CN"/>
              </w:rPr>
            </w:pPr>
          </w:p>
        </w:tc>
        <w:tc>
          <w:tcPr>
            <w:tcW w:w="3476" w:type="dxa"/>
          </w:tcPr>
          <w:p w14:paraId="42196E68" w14:textId="77777777" w:rsidR="009525BC" w:rsidRPr="00C32832" w:rsidRDefault="009525BC" w:rsidP="008A69C7">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shd w:val="clear" w:color="auto" w:fill="auto"/>
          </w:tcPr>
          <w:p w14:paraId="6865D5DC"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20844AF1" w14:textId="77777777" w:rsidR="009525BC" w:rsidRPr="009762DE" w:rsidRDefault="009525BC" w:rsidP="008A69C7">
            <w:pPr>
              <w:rPr>
                <w:rFonts w:eastAsia="等线"/>
                <w:lang w:val="en-US" w:eastAsia="zh-CN"/>
              </w:rPr>
            </w:pPr>
            <w:r w:rsidRPr="009762DE">
              <w:rPr>
                <w:rFonts w:eastAsia="等线"/>
                <w:lang w:val="en-US" w:eastAsia="zh-CN"/>
              </w:rPr>
              <w:t>√</w:t>
            </w:r>
          </w:p>
          <w:p w14:paraId="0E3BBF3E"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25247023"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8A69C7">
            <w:pPr>
              <w:rPr>
                <w:rFonts w:eastAsia="等线"/>
                <w:lang w:val="en-US" w:eastAsia="zh-CN"/>
              </w:rPr>
            </w:pPr>
            <w:r w:rsidRPr="009762DE">
              <w:rPr>
                <w:rFonts w:eastAsia="等线"/>
                <w:lang w:val="en-US" w:eastAsia="zh-CN"/>
              </w:rPr>
              <w:t>√</w:t>
            </w:r>
          </w:p>
          <w:p w14:paraId="3D9143CA"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8A69C7">
            <w:pPr>
              <w:rPr>
                <w:rFonts w:eastAsia="等线"/>
                <w:lang w:val="en-US" w:eastAsia="zh-CN"/>
              </w:rPr>
            </w:pPr>
            <w:r w:rsidRPr="009762DE">
              <w:rPr>
                <w:rFonts w:eastAsia="等线"/>
                <w:lang w:val="en-US" w:eastAsia="zh-CN"/>
              </w:rPr>
              <w:t>√</w:t>
            </w:r>
          </w:p>
          <w:p w14:paraId="70F8873C"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8A69C7">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8A69C7">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8A69C7">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8A69C7">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8A69C7">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8A69C7">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8A69C7">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8A69C7">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8A69C7">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shd w:val="clear" w:color="auto" w:fill="auto"/>
          </w:tcPr>
          <w:p w14:paraId="68B6DC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8A69C7">
            <w:pPr>
              <w:rPr>
                <w:rFonts w:eastAsia="等线"/>
                <w:lang w:val="en-US" w:eastAsia="zh-CN"/>
              </w:rPr>
            </w:pPr>
            <w:r w:rsidRPr="009762DE">
              <w:rPr>
                <w:rFonts w:eastAsia="等线"/>
                <w:lang w:val="en-US" w:eastAsia="zh-CN"/>
              </w:rPr>
              <w:t>√</w:t>
            </w:r>
          </w:p>
          <w:p w14:paraId="789FE2D7" w14:textId="77777777" w:rsidR="009525BC" w:rsidRPr="009762DE" w:rsidRDefault="009525BC" w:rsidP="008A69C7">
            <w:pPr>
              <w:rPr>
                <w:rFonts w:eastAsia="等线"/>
                <w:lang w:val="en-US" w:eastAsia="zh-CN"/>
              </w:rPr>
            </w:pPr>
            <w:r w:rsidRPr="009762DE">
              <w:rPr>
                <w:rFonts w:eastAsia="Times New Roman"/>
                <w:bCs/>
              </w:rPr>
              <w:t>set to '0'</w:t>
            </w:r>
          </w:p>
        </w:tc>
        <w:tc>
          <w:tcPr>
            <w:tcW w:w="760" w:type="dxa"/>
          </w:tcPr>
          <w:p w14:paraId="28CE4845" w14:textId="77777777" w:rsidR="009525BC" w:rsidRPr="009762DE" w:rsidRDefault="009525BC" w:rsidP="008A69C7">
            <w:pPr>
              <w:rPr>
                <w:rFonts w:eastAsia="等线"/>
                <w:lang w:val="en-US" w:eastAsia="zh-CN"/>
              </w:rPr>
            </w:pPr>
            <w:r w:rsidRPr="009762DE">
              <w:rPr>
                <w:rFonts w:eastAsia="等线"/>
                <w:lang w:val="en-US" w:eastAsia="zh-CN"/>
              </w:rPr>
              <w:t>√</w:t>
            </w:r>
          </w:p>
          <w:p w14:paraId="0CB743C7" w14:textId="77777777" w:rsidR="009525BC" w:rsidRPr="009762DE" w:rsidRDefault="009525BC" w:rsidP="008A69C7">
            <w:pPr>
              <w:rPr>
                <w:rFonts w:eastAsia="等线"/>
                <w:lang w:val="en-US" w:eastAsia="zh-CN"/>
              </w:rPr>
            </w:pPr>
            <w:r w:rsidRPr="009762DE">
              <w:rPr>
                <w:rFonts w:eastAsia="Times New Roman"/>
                <w:bCs/>
              </w:rPr>
              <w:t>set to '0'</w:t>
            </w:r>
          </w:p>
        </w:tc>
        <w:tc>
          <w:tcPr>
            <w:tcW w:w="760" w:type="dxa"/>
          </w:tcPr>
          <w:p w14:paraId="6DAFF26C" w14:textId="77777777" w:rsidR="009525BC" w:rsidRPr="009762DE" w:rsidRDefault="009525BC" w:rsidP="008A69C7">
            <w:pPr>
              <w:rPr>
                <w:rFonts w:eastAsia="等线"/>
                <w:lang w:val="en-US" w:eastAsia="zh-CN"/>
              </w:rPr>
            </w:pPr>
          </w:p>
        </w:tc>
        <w:tc>
          <w:tcPr>
            <w:tcW w:w="760" w:type="dxa"/>
            <w:shd w:val="clear" w:color="auto" w:fill="auto"/>
          </w:tcPr>
          <w:p w14:paraId="11F3FDDE" w14:textId="77777777" w:rsidR="009525BC" w:rsidRPr="009762DE" w:rsidRDefault="009525BC" w:rsidP="008A69C7">
            <w:pPr>
              <w:rPr>
                <w:rFonts w:eastAsia="等线"/>
                <w:lang w:val="en-US" w:eastAsia="zh-CN"/>
              </w:rPr>
            </w:pPr>
            <w:r w:rsidRPr="009762DE">
              <w:rPr>
                <w:rFonts w:eastAsia="等线"/>
                <w:lang w:val="en-US" w:eastAsia="zh-CN"/>
              </w:rPr>
              <w:t>√</w:t>
            </w:r>
          </w:p>
          <w:p w14:paraId="585EDF06"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shd w:val="clear" w:color="auto" w:fill="auto"/>
          </w:tcPr>
          <w:p w14:paraId="4A9EDDEB" w14:textId="77777777" w:rsidR="009525BC" w:rsidRPr="009762DE" w:rsidRDefault="009525BC" w:rsidP="008A69C7">
            <w:pPr>
              <w:rPr>
                <w:rFonts w:eastAsia="等线"/>
                <w:lang w:val="en-US" w:eastAsia="zh-CN"/>
              </w:rPr>
            </w:pPr>
            <w:r w:rsidRPr="009762DE">
              <w:rPr>
                <w:rFonts w:eastAsia="等线"/>
                <w:lang w:val="en-US" w:eastAsia="zh-CN"/>
              </w:rPr>
              <w:t>√</w:t>
            </w:r>
          </w:p>
          <w:p w14:paraId="4BB45A0F"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8A69C7">
            <w:pPr>
              <w:rPr>
                <w:rFonts w:eastAsia="等线"/>
                <w:lang w:val="en-US" w:eastAsia="zh-CN"/>
              </w:rPr>
            </w:pPr>
          </w:p>
        </w:tc>
        <w:tc>
          <w:tcPr>
            <w:tcW w:w="760" w:type="dxa"/>
          </w:tcPr>
          <w:p w14:paraId="6CC66B7D" w14:textId="77777777" w:rsidR="009525BC" w:rsidRPr="009762DE" w:rsidRDefault="009525BC" w:rsidP="008A69C7">
            <w:pPr>
              <w:rPr>
                <w:rFonts w:eastAsia="等线"/>
                <w:lang w:val="en-US" w:eastAsia="zh-CN"/>
              </w:rPr>
            </w:pPr>
            <w:r w:rsidRPr="009762DE">
              <w:rPr>
                <w:rFonts w:eastAsia="等线"/>
                <w:lang w:val="en-US" w:eastAsia="zh-CN"/>
              </w:rPr>
              <w:t>√</w:t>
            </w:r>
          </w:p>
          <w:p w14:paraId="13168E41"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8A69C7">
            <w:pPr>
              <w:spacing w:before="120" w:after="120"/>
              <w:rPr>
                <w:rFonts w:eastAsia="等线"/>
                <w:lang w:val="en-US" w:eastAsia="zh-CN"/>
              </w:rPr>
            </w:pPr>
          </w:p>
        </w:tc>
      </w:tr>
      <w:tr w:rsidR="009525BC" w:rsidRPr="009762DE" w14:paraId="5E82C13C" w14:textId="77777777" w:rsidTr="00057264">
        <w:trPr>
          <w:trHeight w:val="339"/>
        </w:trPr>
        <w:tc>
          <w:tcPr>
            <w:tcW w:w="760" w:type="dxa"/>
            <w:shd w:val="clear" w:color="auto" w:fill="auto"/>
          </w:tcPr>
          <w:p w14:paraId="662D0AFD"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8A69C7">
            <w:pPr>
              <w:rPr>
                <w:rFonts w:eastAsia="等线"/>
                <w:lang w:val="en-US" w:eastAsia="zh-CN"/>
              </w:rPr>
            </w:pPr>
            <w:r w:rsidRPr="009762DE">
              <w:rPr>
                <w:rFonts w:eastAsia="等线"/>
                <w:lang w:val="en-US" w:eastAsia="zh-CN"/>
              </w:rPr>
              <w:t>√</w:t>
            </w:r>
          </w:p>
          <w:p w14:paraId="79E2F386"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60" w:type="dxa"/>
          </w:tcPr>
          <w:p w14:paraId="12A55DE8" w14:textId="77777777" w:rsidR="009525BC" w:rsidRPr="009762DE" w:rsidRDefault="009525BC" w:rsidP="008A69C7">
            <w:pPr>
              <w:rPr>
                <w:rFonts w:eastAsia="等线"/>
                <w:lang w:val="en-US" w:eastAsia="zh-CN"/>
              </w:rPr>
            </w:pPr>
            <w:r w:rsidRPr="009762DE">
              <w:rPr>
                <w:rFonts w:eastAsia="等线"/>
                <w:lang w:val="en-US" w:eastAsia="zh-CN"/>
              </w:rPr>
              <w:t>√</w:t>
            </w:r>
          </w:p>
          <w:p w14:paraId="6D105B6E"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60" w:type="dxa"/>
          </w:tcPr>
          <w:p w14:paraId="2790761C" w14:textId="77777777" w:rsidR="009525BC" w:rsidRPr="009762DE" w:rsidRDefault="009525BC" w:rsidP="008A69C7">
            <w:pPr>
              <w:rPr>
                <w:rFonts w:eastAsia="等线"/>
                <w:lang w:val="en-US" w:eastAsia="zh-CN"/>
              </w:rPr>
            </w:pPr>
          </w:p>
        </w:tc>
        <w:tc>
          <w:tcPr>
            <w:tcW w:w="760" w:type="dxa"/>
            <w:shd w:val="clear" w:color="auto" w:fill="auto"/>
          </w:tcPr>
          <w:p w14:paraId="6C0FE06B" w14:textId="77777777" w:rsidR="009525BC" w:rsidRPr="009762DE" w:rsidRDefault="009525BC" w:rsidP="008A69C7">
            <w:pPr>
              <w:rPr>
                <w:rFonts w:eastAsia="等线"/>
                <w:lang w:val="en-US" w:eastAsia="zh-CN"/>
              </w:rPr>
            </w:pPr>
            <w:r w:rsidRPr="009762DE">
              <w:rPr>
                <w:rFonts w:eastAsia="等线"/>
                <w:lang w:val="en-US" w:eastAsia="zh-CN"/>
              </w:rPr>
              <w:t>√</w:t>
            </w:r>
          </w:p>
          <w:p w14:paraId="38215751"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shd w:val="clear" w:color="auto" w:fill="auto"/>
          </w:tcPr>
          <w:p w14:paraId="721F8E5F" w14:textId="77777777" w:rsidR="009525BC" w:rsidRPr="009762DE" w:rsidRDefault="009525BC" w:rsidP="008A69C7">
            <w:pPr>
              <w:rPr>
                <w:rFonts w:eastAsia="等线"/>
                <w:lang w:val="en-US" w:eastAsia="zh-CN"/>
              </w:rPr>
            </w:pPr>
            <w:r w:rsidRPr="009762DE">
              <w:rPr>
                <w:rFonts w:eastAsia="等线"/>
                <w:lang w:val="en-US" w:eastAsia="zh-CN"/>
              </w:rPr>
              <w:t>√</w:t>
            </w:r>
          </w:p>
          <w:p w14:paraId="3FA5CB72"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8A69C7">
            <w:pPr>
              <w:rPr>
                <w:rFonts w:eastAsia="等线"/>
                <w:lang w:val="en-US" w:eastAsia="zh-CN"/>
              </w:rPr>
            </w:pPr>
          </w:p>
        </w:tc>
        <w:tc>
          <w:tcPr>
            <w:tcW w:w="760" w:type="dxa"/>
          </w:tcPr>
          <w:p w14:paraId="3C78B9E8" w14:textId="77777777" w:rsidR="009525BC" w:rsidRPr="009762DE" w:rsidRDefault="009525BC" w:rsidP="008A69C7">
            <w:pPr>
              <w:rPr>
                <w:rFonts w:eastAsia="等线"/>
                <w:lang w:val="en-US" w:eastAsia="zh-CN"/>
              </w:rPr>
            </w:pPr>
            <w:r w:rsidRPr="009762DE">
              <w:rPr>
                <w:rFonts w:eastAsia="等线"/>
                <w:lang w:val="en-US" w:eastAsia="zh-CN"/>
              </w:rPr>
              <w:t>√</w:t>
            </w:r>
          </w:p>
          <w:p w14:paraId="7E80C149"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8A69C7">
            <w:pPr>
              <w:spacing w:before="120" w:after="120"/>
              <w:rPr>
                <w:rFonts w:eastAsiaTheme="minorEastAsia"/>
                <w:lang w:val="en-US" w:eastAsia="zh-CN"/>
              </w:rPr>
            </w:pPr>
            <w:r>
              <w:t>[4</w:t>
            </w:r>
            <w:proofErr w:type="gramStart"/>
            <w:r>
              <w:t>]:</w:t>
            </w:r>
            <w:r w:rsidR="009525BC">
              <w:rPr>
                <w:rFonts w:eastAsia="等线"/>
                <w:lang w:val="en-US" w:eastAsia="zh-CN"/>
              </w:rPr>
              <w:t>If</w:t>
            </w:r>
            <w:proofErr w:type="gramEnd"/>
            <w:r w:rsidR="009525BC">
              <w:rPr>
                <w:rFonts w:eastAsia="等线"/>
                <w:lang w:val="en-US" w:eastAsia="zh-CN"/>
              </w:rPr>
              <w:t xml:space="preserve">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auto"/>
          </w:tcPr>
          <w:p w14:paraId="593C02F2"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8A69C7">
            <w:pPr>
              <w:rPr>
                <w:rFonts w:eastAsia="等线"/>
                <w:lang w:val="en-US" w:eastAsia="zh-CN"/>
              </w:rPr>
            </w:pPr>
            <w:r w:rsidRPr="009762DE">
              <w:rPr>
                <w:rFonts w:eastAsia="等线"/>
                <w:lang w:val="en-US" w:eastAsia="zh-CN"/>
              </w:rPr>
              <w:t>√</w:t>
            </w:r>
          </w:p>
          <w:p w14:paraId="24A9F8F9"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8A69C7">
            <w:pPr>
              <w:rPr>
                <w:rFonts w:eastAsia="等线"/>
                <w:lang w:val="en-US" w:eastAsia="zh-CN"/>
              </w:rPr>
            </w:pPr>
            <w:r w:rsidRPr="009762DE">
              <w:rPr>
                <w:rFonts w:eastAsia="等线"/>
                <w:lang w:val="en-US" w:eastAsia="zh-CN"/>
              </w:rPr>
              <w:t>√</w:t>
            </w:r>
          </w:p>
          <w:p w14:paraId="39954C40"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8A69C7">
            <w:pPr>
              <w:rPr>
                <w:rFonts w:eastAsia="等线"/>
                <w:lang w:val="en-US" w:eastAsia="zh-CN"/>
              </w:rPr>
            </w:pPr>
            <w:r w:rsidRPr="009762DE">
              <w:rPr>
                <w:rFonts w:eastAsia="等线"/>
                <w:lang w:val="en-US" w:eastAsia="zh-CN"/>
              </w:rPr>
              <w:t>√</w:t>
            </w:r>
          </w:p>
          <w:p w14:paraId="6A9CB9AA" w14:textId="77777777" w:rsidR="009525BC" w:rsidRPr="009762DE" w:rsidRDefault="009525BC" w:rsidP="008A69C7">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98B9018" w14:textId="77777777" w:rsidR="009525BC" w:rsidRPr="009762DE" w:rsidRDefault="009525BC" w:rsidP="008A69C7">
            <w:pPr>
              <w:rPr>
                <w:rFonts w:eastAsia="等线"/>
                <w:lang w:val="en-US" w:eastAsia="zh-CN"/>
              </w:rPr>
            </w:pPr>
            <w:r w:rsidRPr="009762DE">
              <w:rPr>
                <w:rFonts w:eastAsia="等线"/>
                <w:lang w:val="en-US" w:eastAsia="zh-CN"/>
              </w:rPr>
              <w:t>√</w:t>
            </w:r>
          </w:p>
          <w:p w14:paraId="1A239A53"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62E41F11" w14:textId="77777777" w:rsidR="009525BC" w:rsidRPr="009762DE" w:rsidRDefault="009525BC" w:rsidP="008A69C7">
            <w:pPr>
              <w:rPr>
                <w:rFonts w:eastAsia="等线"/>
                <w:lang w:val="en-US" w:eastAsia="zh-CN"/>
              </w:rPr>
            </w:pPr>
            <w:r w:rsidRPr="009762DE">
              <w:rPr>
                <w:rFonts w:eastAsia="等线"/>
                <w:lang w:val="en-US" w:eastAsia="zh-CN"/>
              </w:rPr>
              <w:t>√</w:t>
            </w:r>
          </w:p>
          <w:p w14:paraId="6488C2DD"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8A69C7">
            <w:pPr>
              <w:rPr>
                <w:rFonts w:eastAsia="等线"/>
                <w:lang w:val="en-US" w:eastAsia="zh-CN"/>
              </w:rPr>
            </w:pPr>
            <w:r w:rsidRPr="009762DE">
              <w:rPr>
                <w:rFonts w:eastAsia="等线"/>
                <w:lang w:val="en-US" w:eastAsia="zh-CN"/>
              </w:rPr>
              <w:t>√</w:t>
            </w:r>
          </w:p>
          <w:p w14:paraId="0107BEC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8A69C7">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shd w:val="clear" w:color="auto" w:fill="auto"/>
          </w:tcPr>
          <w:p w14:paraId="5968D4B8"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2F3464CB" w14:textId="77777777" w:rsidR="009525BC" w:rsidRPr="009762DE" w:rsidRDefault="009525BC" w:rsidP="008A69C7">
            <w:pPr>
              <w:rPr>
                <w:rFonts w:eastAsia="等线"/>
                <w:lang w:val="en-US" w:eastAsia="zh-CN"/>
              </w:rPr>
            </w:pPr>
            <w:r w:rsidRPr="009762DE">
              <w:rPr>
                <w:rFonts w:eastAsia="等线"/>
                <w:lang w:val="en-US" w:eastAsia="zh-CN"/>
              </w:rPr>
              <w:t>√</w:t>
            </w:r>
          </w:p>
          <w:p w14:paraId="080B91F2"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EEAAE5B"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8A69C7">
            <w:pPr>
              <w:rPr>
                <w:rFonts w:eastAsia="等线"/>
                <w:lang w:val="en-US" w:eastAsia="zh-CN"/>
              </w:rPr>
            </w:pPr>
            <w:r w:rsidRPr="009762DE">
              <w:rPr>
                <w:rFonts w:eastAsia="等线"/>
                <w:lang w:val="en-US" w:eastAsia="zh-CN"/>
              </w:rPr>
              <w:t>√</w:t>
            </w:r>
          </w:p>
          <w:p w14:paraId="5C9E76D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8A69C7">
            <w:pPr>
              <w:rPr>
                <w:rFonts w:eastAsia="等线"/>
                <w:lang w:val="en-US" w:eastAsia="zh-CN"/>
              </w:rPr>
            </w:pPr>
            <w:r w:rsidRPr="009762DE">
              <w:rPr>
                <w:rFonts w:eastAsia="等线"/>
                <w:lang w:val="en-US" w:eastAsia="zh-CN"/>
              </w:rPr>
              <w:t>√</w:t>
            </w:r>
          </w:p>
          <w:p w14:paraId="7618A46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8A69C7">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8A69C7">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8A69C7">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8A69C7">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8A69C7">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8A69C7">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8A69C7">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8A69C7">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8A69C7">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8A69C7">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shd w:val="clear" w:color="auto" w:fill="auto"/>
          </w:tcPr>
          <w:p w14:paraId="1ECD1251"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8A69C7">
            <w:pPr>
              <w:rPr>
                <w:rFonts w:eastAsia="等线"/>
                <w:lang w:val="en-US" w:eastAsia="zh-CN"/>
              </w:rPr>
            </w:pPr>
            <w:r w:rsidRPr="009762DE">
              <w:rPr>
                <w:rFonts w:eastAsia="等线"/>
                <w:lang w:val="en-US" w:eastAsia="zh-CN"/>
              </w:rPr>
              <w:t>√</w:t>
            </w:r>
          </w:p>
          <w:p w14:paraId="25D64BA3"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6" w:type="dxa"/>
          </w:tcPr>
          <w:p w14:paraId="5F6D5CA3" w14:textId="77777777" w:rsidR="009525BC" w:rsidRPr="009762DE" w:rsidRDefault="009525BC" w:rsidP="008A69C7">
            <w:pPr>
              <w:spacing w:before="120" w:after="120"/>
              <w:rPr>
                <w:rFonts w:eastAsia="等线"/>
                <w:lang w:val="en-US" w:eastAsia="zh-CN"/>
              </w:rPr>
            </w:pPr>
          </w:p>
        </w:tc>
        <w:tc>
          <w:tcPr>
            <w:tcW w:w="706" w:type="dxa"/>
            <w:shd w:val="clear" w:color="auto" w:fill="auto"/>
          </w:tcPr>
          <w:p w14:paraId="0187BB26" w14:textId="77777777" w:rsidR="009525BC" w:rsidRPr="009762DE" w:rsidRDefault="009525BC" w:rsidP="008A69C7">
            <w:pPr>
              <w:spacing w:before="120" w:after="120"/>
              <w:rPr>
                <w:rFonts w:eastAsia="等线"/>
                <w:lang w:val="en-US" w:eastAsia="zh-CN"/>
              </w:rPr>
            </w:pPr>
          </w:p>
        </w:tc>
        <w:tc>
          <w:tcPr>
            <w:tcW w:w="706" w:type="dxa"/>
            <w:shd w:val="clear" w:color="auto" w:fill="auto"/>
          </w:tcPr>
          <w:p w14:paraId="4F2363CA" w14:textId="77777777" w:rsidR="009525BC" w:rsidRPr="009762DE" w:rsidRDefault="009525BC" w:rsidP="008A69C7">
            <w:pPr>
              <w:spacing w:before="120" w:after="120"/>
              <w:rPr>
                <w:rFonts w:eastAsia="等线"/>
                <w:lang w:val="en-US" w:eastAsia="zh-CN"/>
              </w:rPr>
            </w:pPr>
          </w:p>
        </w:tc>
        <w:tc>
          <w:tcPr>
            <w:tcW w:w="706" w:type="dxa"/>
          </w:tcPr>
          <w:p w14:paraId="1BB82510" w14:textId="77777777" w:rsidR="009525BC" w:rsidRPr="009762DE" w:rsidRDefault="009525BC" w:rsidP="008A69C7">
            <w:pPr>
              <w:spacing w:before="120" w:after="120"/>
              <w:rPr>
                <w:rFonts w:eastAsia="等线"/>
                <w:lang w:val="en-US" w:eastAsia="zh-CN"/>
              </w:rPr>
            </w:pPr>
          </w:p>
        </w:tc>
        <w:tc>
          <w:tcPr>
            <w:tcW w:w="706" w:type="dxa"/>
          </w:tcPr>
          <w:p w14:paraId="02728C3E" w14:textId="77777777" w:rsidR="009525BC" w:rsidRPr="009762DE" w:rsidRDefault="009525BC" w:rsidP="008A69C7">
            <w:pPr>
              <w:spacing w:before="120" w:after="120"/>
              <w:rPr>
                <w:rFonts w:eastAsia="等线"/>
                <w:lang w:val="en-US" w:eastAsia="zh-CN"/>
              </w:rPr>
            </w:pPr>
          </w:p>
        </w:tc>
        <w:tc>
          <w:tcPr>
            <w:tcW w:w="706" w:type="dxa"/>
          </w:tcPr>
          <w:p w14:paraId="7F7AC730" w14:textId="77777777" w:rsidR="009525BC" w:rsidRPr="009762DE" w:rsidRDefault="009525BC" w:rsidP="008A69C7">
            <w:pPr>
              <w:spacing w:before="120" w:after="120"/>
              <w:rPr>
                <w:rFonts w:eastAsia="等线"/>
                <w:lang w:val="en-US" w:eastAsia="zh-CN"/>
              </w:rPr>
            </w:pPr>
          </w:p>
        </w:tc>
        <w:tc>
          <w:tcPr>
            <w:tcW w:w="3241" w:type="dxa"/>
          </w:tcPr>
          <w:p w14:paraId="24388423" w14:textId="49866A27" w:rsidR="009525BC" w:rsidRPr="005A1983" w:rsidRDefault="003F761A" w:rsidP="008A69C7">
            <w:pPr>
              <w:spacing w:before="120" w:after="120"/>
              <w:rPr>
                <w:rFonts w:eastAsia="等线"/>
                <w:highlight w:val="yellow"/>
                <w:lang w:val="en-US" w:eastAsia="zh-CN"/>
              </w:rPr>
            </w:pPr>
            <w:r>
              <w:t>[1</w:t>
            </w:r>
            <w:proofErr w:type="gramStart"/>
            <w: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shd w:val="clear" w:color="auto" w:fill="auto"/>
          </w:tcPr>
          <w:p w14:paraId="43835301"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8A69C7">
            <w:pPr>
              <w:rPr>
                <w:rFonts w:eastAsia="等线"/>
                <w:lang w:val="en-US" w:eastAsia="zh-CN"/>
              </w:rPr>
            </w:pPr>
            <w:r w:rsidRPr="009762DE">
              <w:rPr>
                <w:rFonts w:eastAsia="等线"/>
                <w:lang w:val="en-US" w:eastAsia="zh-CN"/>
              </w:rPr>
              <w:t>√</w:t>
            </w:r>
          </w:p>
          <w:p w14:paraId="3E705BBD" w14:textId="77777777" w:rsidR="009525BC" w:rsidRPr="009762DE" w:rsidRDefault="009525BC" w:rsidP="008A69C7">
            <w:pPr>
              <w:spacing w:before="120" w:after="120"/>
              <w:rPr>
                <w:rFonts w:eastAsia="等线"/>
                <w:lang w:val="en-US" w:eastAsia="zh-CN"/>
              </w:rPr>
            </w:pPr>
            <w:r w:rsidRPr="009762DE">
              <w:rPr>
                <w:rFonts w:eastAsia="Times New Roman"/>
                <w:bCs/>
              </w:rPr>
              <w:lastRenderedPageBreak/>
              <w:t>set to '0'</w:t>
            </w:r>
          </w:p>
        </w:tc>
        <w:tc>
          <w:tcPr>
            <w:tcW w:w="706" w:type="dxa"/>
          </w:tcPr>
          <w:p w14:paraId="777C31C1"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lastRenderedPageBreak/>
              <w:t>N.A</w:t>
            </w:r>
            <w:proofErr w:type="gramEnd"/>
          </w:p>
        </w:tc>
        <w:tc>
          <w:tcPr>
            <w:tcW w:w="706" w:type="dxa"/>
          </w:tcPr>
          <w:p w14:paraId="728DBFFB" w14:textId="77777777" w:rsidR="009525BC" w:rsidRPr="009762DE" w:rsidRDefault="009525BC" w:rsidP="008A69C7">
            <w:pPr>
              <w:spacing w:before="120" w:after="120"/>
              <w:rPr>
                <w:rFonts w:eastAsia="等线"/>
                <w:lang w:val="en-US" w:eastAsia="zh-CN"/>
              </w:rPr>
            </w:pPr>
          </w:p>
        </w:tc>
        <w:tc>
          <w:tcPr>
            <w:tcW w:w="706" w:type="dxa"/>
            <w:shd w:val="clear" w:color="auto" w:fill="auto"/>
          </w:tcPr>
          <w:p w14:paraId="430AFE96" w14:textId="77777777" w:rsidR="009525BC" w:rsidRPr="009762DE" w:rsidRDefault="009525BC" w:rsidP="008A69C7">
            <w:pPr>
              <w:spacing w:before="120" w:after="120"/>
              <w:rPr>
                <w:rFonts w:eastAsia="等线"/>
                <w:lang w:val="en-US" w:eastAsia="zh-CN"/>
              </w:rPr>
            </w:pPr>
          </w:p>
        </w:tc>
        <w:tc>
          <w:tcPr>
            <w:tcW w:w="706" w:type="dxa"/>
            <w:shd w:val="clear" w:color="auto" w:fill="auto"/>
          </w:tcPr>
          <w:p w14:paraId="17D5AAD1" w14:textId="77777777" w:rsidR="009525BC" w:rsidRPr="009762DE" w:rsidRDefault="009525BC" w:rsidP="008A69C7">
            <w:pPr>
              <w:spacing w:before="120" w:after="120"/>
              <w:rPr>
                <w:rFonts w:eastAsia="等线"/>
                <w:lang w:val="en-US" w:eastAsia="zh-CN"/>
              </w:rPr>
            </w:pPr>
          </w:p>
        </w:tc>
        <w:tc>
          <w:tcPr>
            <w:tcW w:w="706" w:type="dxa"/>
          </w:tcPr>
          <w:p w14:paraId="7B06E419" w14:textId="77777777" w:rsidR="009525BC" w:rsidRPr="009762DE" w:rsidRDefault="009525BC" w:rsidP="008A69C7">
            <w:pPr>
              <w:spacing w:before="120" w:after="120"/>
              <w:rPr>
                <w:rFonts w:eastAsia="等线"/>
                <w:lang w:val="en-US" w:eastAsia="zh-CN"/>
              </w:rPr>
            </w:pPr>
          </w:p>
        </w:tc>
        <w:tc>
          <w:tcPr>
            <w:tcW w:w="706" w:type="dxa"/>
          </w:tcPr>
          <w:p w14:paraId="52697A8F" w14:textId="77777777" w:rsidR="009525BC" w:rsidRPr="009762DE" w:rsidRDefault="009525BC" w:rsidP="008A69C7">
            <w:pPr>
              <w:spacing w:before="120" w:after="120"/>
              <w:rPr>
                <w:rFonts w:eastAsia="等线"/>
                <w:lang w:val="en-US" w:eastAsia="zh-CN"/>
              </w:rPr>
            </w:pPr>
          </w:p>
        </w:tc>
        <w:tc>
          <w:tcPr>
            <w:tcW w:w="706" w:type="dxa"/>
          </w:tcPr>
          <w:p w14:paraId="338F93F2" w14:textId="77777777" w:rsidR="009525BC" w:rsidRPr="009762DE" w:rsidRDefault="009525BC" w:rsidP="008A69C7">
            <w:pPr>
              <w:spacing w:before="120" w:after="120"/>
              <w:rPr>
                <w:rFonts w:eastAsia="等线"/>
                <w:lang w:val="en-US" w:eastAsia="zh-CN"/>
              </w:rPr>
            </w:pPr>
          </w:p>
        </w:tc>
        <w:tc>
          <w:tcPr>
            <w:tcW w:w="3241" w:type="dxa"/>
          </w:tcPr>
          <w:p w14:paraId="262B7625" w14:textId="77777777" w:rsidR="009525BC" w:rsidRPr="009762DE" w:rsidRDefault="009525BC" w:rsidP="008A69C7">
            <w:pPr>
              <w:spacing w:before="120" w:after="120"/>
              <w:rPr>
                <w:rFonts w:eastAsia="等线"/>
                <w:lang w:val="en-US" w:eastAsia="zh-CN"/>
              </w:rPr>
            </w:pPr>
          </w:p>
        </w:tc>
      </w:tr>
      <w:tr w:rsidR="009525BC" w:rsidRPr="009762DE" w14:paraId="3DD6E1E8" w14:textId="77777777" w:rsidTr="00057264">
        <w:trPr>
          <w:trHeight w:val="298"/>
        </w:trPr>
        <w:tc>
          <w:tcPr>
            <w:tcW w:w="707" w:type="dxa"/>
            <w:shd w:val="clear" w:color="auto" w:fill="auto"/>
          </w:tcPr>
          <w:p w14:paraId="405E9CBB"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8A69C7">
            <w:pPr>
              <w:rPr>
                <w:rFonts w:eastAsia="等线"/>
                <w:lang w:val="en-US" w:eastAsia="zh-CN"/>
              </w:rPr>
            </w:pPr>
            <w:r w:rsidRPr="009762DE">
              <w:rPr>
                <w:rFonts w:eastAsia="等线"/>
                <w:lang w:val="en-US" w:eastAsia="zh-CN"/>
              </w:rPr>
              <w:t>√</w:t>
            </w:r>
          </w:p>
          <w:p w14:paraId="50670A0D"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1BF974B5"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4BFF1161"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6" w:type="dxa"/>
          </w:tcPr>
          <w:p w14:paraId="134A96F9" w14:textId="77777777" w:rsidR="009525BC" w:rsidRPr="009762DE" w:rsidRDefault="009525BC" w:rsidP="008A69C7">
            <w:pPr>
              <w:rPr>
                <w:rFonts w:eastAsia="等线"/>
                <w:lang w:val="en-US" w:eastAsia="zh-CN"/>
              </w:rPr>
            </w:pPr>
            <w:r w:rsidRPr="009762DE">
              <w:rPr>
                <w:rFonts w:eastAsia="等线"/>
                <w:lang w:val="en-US" w:eastAsia="zh-CN"/>
              </w:rPr>
              <w:t>√</w:t>
            </w:r>
          </w:p>
          <w:p w14:paraId="2F8E950A"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6" w:type="dxa"/>
            <w:shd w:val="clear" w:color="auto" w:fill="auto"/>
          </w:tcPr>
          <w:p w14:paraId="0BF87E85" w14:textId="77777777" w:rsidR="009525BC" w:rsidRPr="009762DE" w:rsidRDefault="009525BC" w:rsidP="008A69C7">
            <w:pPr>
              <w:spacing w:before="120" w:after="120"/>
              <w:rPr>
                <w:rFonts w:eastAsia="等线"/>
                <w:lang w:val="en-US" w:eastAsia="zh-CN"/>
              </w:rPr>
            </w:pPr>
          </w:p>
        </w:tc>
        <w:tc>
          <w:tcPr>
            <w:tcW w:w="706" w:type="dxa"/>
            <w:shd w:val="clear" w:color="auto" w:fill="auto"/>
          </w:tcPr>
          <w:p w14:paraId="571A7EA5" w14:textId="77777777" w:rsidR="009525BC" w:rsidRPr="009762DE" w:rsidRDefault="009525BC" w:rsidP="008A69C7">
            <w:pPr>
              <w:spacing w:before="120" w:after="120"/>
              <w:rPr>
                <w:rFonts w:eastAsia="等线"/>
                <w:lang w:val="en-US" w:eastAsia="zh-CN"/>
              </w:rPr>
            </w:pPr>
          </w:p>
        </w:tc>
        <w:tc>
          <w:tcPr>
            <w:tcW w:w="706" w:type="dxa"/>
          </w:tcPr>
          <w:p w14:paraId="2E7960FA" w14:textId="77777777" w:rsidR="009525BC" w:rsidRPr="009762DE" w:rsidRDefault="009525BC" w:rsidP="008A69C7">
            <w:pPr>
              <w:spacing w:before="120" w:after="120"/>
              <w:rPr>
                <w:rFonts w:eastAsia="等线"/>
                <w:lang w:val="en-US" w:eastAsia="zh-CN"/>
              </w:rPr>
            </w:pPr>
          </w:p>
        </w:tc>
        <w:tc>
          <w:tcPr>
            <w:tcW w:w="706" w:type="dxa"/>
          </w:tcPr>
          <w:p w14:paraId="018A12EB" w14:textId="77777777" w:rsidR="009525BC" w:rsidRPr="009762DE" w:rsidRDefault="009525BC" w:rsidP="008A69C7">
            <w:pPr>
              <w:spacing w:before="120" w:after="120"/>
              <w:rPr>
                <w:rFonts w:eastAsia="等线"/>
                <w:lang w:val="en-US" w:eastAsia="zh-CN"/>
              </w:rPr>
            </w:pPr>
          </w:p>
        </w:tc>
        <w:tc>
          <w:tcPr>
            <w:tcW w:w="706" w:type="dxa"/>
          </w:tcPr>
          <w:p w14:paraId="29046869" w14:textId="77777777" w:rsidR="009525BC" w:rsidRPr="009762DE" w:rsidRDefault="009525BC" w:rsidP="008A69C7">
            <w:pPr>
              <w:spacing w:before="120" w:after="120"/>
              <w:rPr>
                <w:rFonts w:eastAsia="等线"/>
                <w:lang w:val="en-US" w:eastAsia="zh-CN"/>
              </w:rPr>
            </w:pPr>
          </w:p>
        </w:tc>
        <w:tc>
          <w:tcPr>
            <w:tcW w:w="3241" w:type="dxa"/>
          </w:tcPr>
          <w:p w14:paraId="29264FFA" w14:textId="144262DE"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7A54653"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CEA62CB"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3E2D60B2" w14:textId="77777777" w:rsidR="009525BC" w:rsidRPr="009762DE" w:rsidRDefault="009525BC" w:rsidP="008A69C7">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8A69C7">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8A69C7">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8A69C7">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8A69C7">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8A69C7">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8A69C7">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8A69C7">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8A69C7">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8A69C7">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8A69C7">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8A69C7">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shd w:val="clear" w:color="auto" w:fill="auto"/>
          </w:tcPr>
          <w:p w14:paraId="07396E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8A69C7">
            <w:pPr>
              <w:rPr>
                <w:rFonts w:eastAsia="等线"/>
                <w:lang w:val="en-US" w:eastAsia="zh-CN"/>
              </w:rPr>
            </w:pPr>
            <w:r w:rsidRPr="009762DE">
              <w:rPr>
                <w:rFonts w:eastAsia="等线"/>
                <w:lang w:val="en-US" w:eastAsia="zh-CN"/>
              </w:rPr>
              <w:t>√</w:t>
            </w:r>
          </w:p>
          <w:p w14:paraId="38E46171"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049E2486" w14:textId="77777777" w:rsidR="009525BC" w:rsidRPr="009762DE" w:rsidRDefault="009525BC" w:rsidP="008A69C7">
            <w:pPr>
              <w:spacing w:before="120" w:after="120"/>
              <w:rPr>
                <w:rFonts w:eastAsia="等线"/>
                <w:lang w:val="en-US" w:eastAsia="zh-CN"/>
              </w:rPr>
            </w:pPr>
          </w:p>
        </w:tc>
        <w:tc>
          <w:tcPr>
            <w:tcW w:w="701" w:type="dxa"/>
            <w:shd w:val="clear" w:color="auto" w:fill="auto"/>
          </w:tcPr>
          <w:p w14:paraId="41EBE05A" w14:textId="77777777" w:rsidR="009525BC" w:rsidRPr="009762DE" w:rsidRDefault="009525BC" w:rsidP="008A69C7">
            <w:pPr>
              <w:rPr>
                <w:rFonts w:eastAsia="等线"/>
                <w:lang w:val="en-US" w:eastAsia="zh-CN"/>
              </w:rPr>
            </w:pPr>
            <w:r w:rsidRPr="009762DE">
              <w:rPr>
                <w:rFonts w:eastAsia="等线"/>
                <w:lang w:val="en-US" w:eastAsia="zh-CN"/>
              </w:rPr>
              <w:t>√</w:t>
            </w:r>
          </w:p>
          <w:p w14:paraId="110AB4F7"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shd w:val="clear" w:color="auto" w:fill="auto"/>
          </w:tcPr>
          <w:p w14:paraId="62CD1A28" w14:textId="77777777" w:rsidR="009525BC" w:rsidRPr="00BE629B" w:rsidRDefault="009525BC" w:rsidP="008A69C7">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8A69C7">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8A69C7">
            <w:pPr>
              <w:rPr>
                <w:rFonts w:eastAsia="等线"/>
                <w:lang w:val="en-US" w:eastAsia="zh-CN"/>
              </w:rPr>
            </w:pPr>
          </w:p>
        </w:tc>
        <w:tc>
          <w:tcPr>
            <w:tcW w:w="701" w:type="dxa"/>
          </w:tcPr>
          <w:p w14:paraId="3BF2C8DF" w14:textId="77777777" w:rsidR="009525BC" w:rsidRPr="009762DE" w:rsidRDefault="009525BC" w:rsidP="008A69C7">
            <w:pPr>
              <w:rPr>
                <w:rFonts w:eastAsia="等线"/>
                <w:lang w:val="en-US" w:eastAsia="zh-CN"/>
              </w:rPr>
            </w:pPr>
            <w:r w:rsidRPr="009762DE">
              <w:rPr>
                <w:rFonts w:eastAsia="等线"/>
                <w:lang w:val="en-US" w:eastAsia="zh-CN"/>
              </w:rPr>
              <w:t>√</w:t>
            </w:r>
          </w:p>
          <w:p w14:paraId="6C10F0AB"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8A69C7">
            <w:pPr>
              <w:rPr>
                <w:rFonts w:eastAsia="等线"/>
                <w:lang w:val="en-US" w:eastAsia="zh-CN"/>
              </w:rPr>
            </w:pPr>
          </w:p>
        </w:tc>
        <w:tc>
          <w:tcPr>
            <w:tcW w:w="3220" w:type="dxa"/>
          </w:tcPr>
          <w:p w14:paraId="1EA88E8A" w14:textId="5A0E78EE" w:rsidR="009525BC" w:rsidRDefault="003F761A" w:rsidP="008A69C7">
            <w:pPr>
              <w:spacing w:before="120" w:after="120"/>
              <w:rPr>
                <w:rFonts w:eastAsia="等线"/>
                <w:lang w:val="en-US" w:eastAsia="zh-CN"/>
              </w:rPr>
            </w:pPr>
            <w:r>
              <w:rPr>
                <w:rFonts w:eastAsia="等线"/>
                <w:lang w:val="en-US" w:eastAsia="zh-CN"/>
              </w:rPr>
              <w:t>[1</w:t>
            </w:r>
            <w:proofErr w:type="gramStart"/>
            <w:r>
              <w:rPr>
                <w:rFonts w:eastAsia="等线"/>
                <w:lang w:val="en-US" w:eastAsia="zh-CN"/>
              </w:rPr>
              <w:t>]:</w:t>
            </w:r>
            <w:r w:rsidR="009525BC" w:rsidRPr="00776854">
              <w:rPr>
                <w:rFonts w:eastAsia="等线"/>
                <w:lang w:val="en-US" w:eastAsia="zh-CN"/>
              </w:rPr>
              <w:t>If</w:t>
            </w:r>
            <w:proofErr w:type="gramEnd"/>
            <w:r w:rsidR="009525BC" w:rsidRPr="00776854">
              <w:rPr>
                <w:rFonts w:eastAsia="等线"/>
                <w:lang w:val="en-US" w:eastAsia="zh-CN"/>
              </w:rPr>
              <w:t xml:space="preserve"> HARQ disabling is supported as a default feature, the new data indicator field can also be the special field for SPS activation and SPS release NPDCCH validation</w:t>
            </w:r>
          </w:p>
          <w:p w14:paraId="43710612" w14:textId="73BD8088" w:rsidR="009525BC" w:rsidRPr="00655D8A" w:rsidRDefault="009525BC" w:rsidP="008A69C7">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shd w:val="clear" w:color="auto" w:fill="auto"/>
          </w:tcPr>
          <w:p w14:paraId="1CCEF742"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8A69C7">
            <w:pPr>
              <w:rPr>
                <w:rFonts w:eastAsia="等线"/>
                <w:lang w:val="en-US" w:eastAsia="zh-CN"/>
              </w:rPr>
            </w:pPr>
            <w:r w:rsidRPr="009762DE">
              <w:rPr>
                <w:rFonts w:eastAsia="等线"/>
                <w:lang w:val="en-US" w:eastAsia="zh-CN"/>
              </w:rPr>
              <w:t>√</w:t>
            </w:r>
          </w:p>
          <w:p w14:paraId="03F0974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8A69C7">
            <w:pPr>
              <w:spacing w:before="120" w:after="120"/>
              <w:rPr>
                <w:rFonts w:eastAsia="等线"/>
                <w:lang w:val="en-US" w:eastAsia="zh-CN"/>
              </w:rPr>
            </w:pPr>
            <w:proofErr w:type="gramStart"/>
            <w:r>
              <w:rPr>
                <w:rFonts w:eastAsia="等线"/>
                <w:lang w:val="en-US" w:eastAsia="zh-CN"/>
              </w:rPr>
              <w:t>N.A</w:t>
            </w:r>
            <w:proofErr w:type="gramEnd"/>
          </w:p>
        </w:tc>
        <w:tc>
          <w:tcPr>
            <w:tcW w:w="701" w:type="dxa"/>
          </w:tcPr>
          <w:p w14:paraId="49BAD44A" w14:textId="77777777" w:rsidR="009525BC" w:rsidRPr="009762DE" w:rsidRDefault="009525BC" w:rsidP="008A69C7">
            <w:pPr>
              <w:spacing w:before="120" w:after="120"/>
              <w:rPr>
                <w:rFonts w:eastAsia="等线"/>
                <w:lang w:val="en-US" w:eastAsia="zh-CN"/>
              </w:rPr>
            </w:pPr>
          </w:p>
        </w:tc>
        <w:tc>
          <w:tcPr>
            <w:tcW w:w="701" w:type="dxa"/>
            <w:shd w:val="clear" w:color="auto" w:fill="auto"/>
          </w:tcPr>
          <w:p w14:paraId="1F6EFF5D" w14:textId="77777777" w:rsidR="009525BC" w:rsidRPr="009762DE" w:rsidRDefault="009525BC" w:rsidP="008A69C7">
            <w:pPr>
              <w:rPr>
                <w:rFonts w:eastAsia="等线"/>
                <w:lang w:val="en-US" w:eastAsia="zh-CN"/>
              </w:rPr>
            </w:pPr>
            <w:r w:rsidRPr="009762DE">
              <w:rPr>
                <w:rFonts w:eastAsia="等线"/>
                <w:lang w:val="en-US" w:eastAsia="zh-CN"/>
              </w:rPr>
              <w:t>√</w:t>
            </w:r>
          </w:p>
          <w:p w14:paraId="00475C85"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shd w:val="clear" w:color="auto" w:fill="auto"/>
          </w:tcPr>
          <w:p w14:paraId="4CB5039A" w14:textId="77777777" w:rsidR="009525BC" w:rsidRPr="009762DE" w:rsidRDefault="009525BC" w:rsidP="008A69C7">
            <w:pPr>
              <w:spacing w:before="120" w:after="120"/>
              <w:rPr>
                <w:rFonts w:eastAsia="等线"/>
                <w:lang w:val="en-US" w:eastAsia="zh-CN"/>
              </w:rPr>
            </w:pPr>
          </w:p>
        </w:tc>
        <w:tc>
          <w:tcPr>
            <w:tcW w:w="701" w:type="dxa"/>
          </w:tcPr>
          <w:p w14:paraId="57580802" w14:textId="77777777" w:rsidR="009525BC" w:rsidRPr="009762DE" w:rsidRDefault="009525BC" w:rsidP="008A69C7">
            <w:pPr>
              <w:rPr>
                <w:rFonts w:eastAsia="等线"/>
                <w:lang w:val="en-US" w:eastAsia="zh-CN"/>
              </w:rPr>
            </w:pPr>
            <w:r w:rsidRPr="009762DE">
              <w:rPr>
                <w:rFonts w:eastAsia="等线"/>
                <w:lang w:val="en-US" w:eastAsia="zh-CN"/>
              </w:rPr>
              <w:t>√</w:t>
            </w:r>
          </w:p>
          <w:p w14:paraId="67380D84"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8A69C7">
            <w:pPr>
              <w:rPr>
                <w:rFonts w:eastAsia="等线"/>
                <w:lang w:val="en-US" w:eastAsia="zh-CN"/>
              </w:rPr>
            </w:pPr>
            <w:r w:rsidRPr="009762DE">
              <w:rPr>
                <w:rFonts w:eastAsia="等线"/>
                <w:lang w:val="en-US" w:eastAsia="zh-CN"/>
              </w:rPr>
              <w:t>√</w:t>
            </w:r>
          </w:p>
          <w:p w14:paraId="6EEE3F40"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8A69C7">
            <w:pPr>
              <w:rPr>
                <w:rFonts w:eastAsia="等线"/>
                <w:lang w:val="en-US" w:eastAsia="zh-CN"/>
              </w:rPr>
            </w:pPr>
          </w:p>
        </w:tc>
        <w:tc>
          <w:tcPr>
            <w:tcW w:w="3220" w:type="dxa"/>
          </w:tcPr>
          <w:p w14:paraId="48CBA2DB" w14:textId="77777777" w:rsidR="009525BC" w:rsidRPr="009762DE" w:rsidRDefault="009525BC" w:rsidP="008A69C7">
            <w:pPr>
              <w:spacing w:before="120" w:after="120"/>
              <w:rPr>
                <w:rFonts w:eastAsia="等线"/>
                <w:lang w:val="en-US" w:eastAsia="zh-CN"/>
              </w:rPr>
            </w:pPr>
            <w:r>
              <w:rPr>
                <w:rFonts w:eastAsia="等线"/>
                <w:lang w:val="en-US" w:eastAsia="zh-CN"/>
              </w:rPr>
              <w:t>[4]: I</w:t>
            </w:r>
            <w:r w:rsidRPr="00AA2376">
              <w:rPr>
                <w:rFonts w:eastAsia="等线"/>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auto"/>
          </w:tcPr>
          <w:p w14:paraId="1FE77C5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8A69C7">
            <w:pPr>
              <w:rPr>
                <w:rFonts w:eastAsia="等线"/>
                <w:lang w:val="en-US" w:eastAsia="zh-CN"/>
              </w:rPr>
            </w:pPr>
            <w:r w:rsidRPr="009762DE">
              <w:rPr>
                <w:rFonts w:eastAsia="等线"/>
                <w:lang w:val="en-US" w:eastAsia="zh-CN"/>
              </w:rPr>
              <w:t>√</w:t>
            </w:r>
          </w:p>
          <w:p w14:paraId="3DF1CEB9"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8A69C7">
            <w:pPr>
              <w:rPr>
                <w:rFonts w:eastAsia="等线"/>
                <w:lang w:val="en-US" w:eastAsia="zh-CN"/>
              </w:rPr>
            </w:pPr>
            <w:r w:rsidRPr="009762DE">
              <w:rPr>
                <w:rFonts w:eastAsia="等线"/>
                <w:lang w:val="en-US" w:eastAsia="zh-CN"/>
              </w:rPr>
              <w:t>√</w:t>
            </w:r>
          </w:p>
          <w:p w14:paraId="049E061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D5C57BA" w14:textId="77777777" w:rsidR="009525BC" w:rsidRPr="009762DE" w:rsidRDefault="009525BC" w:rsidP="008A69C7">
            <w:pPr>
              <w:rPr>
                <w:rFonts w:eastAsia="等线"/>
                <w:lang w:val="en-US" w:eastAsia="zh-CN"/>
              </w:rPr>
            </w:pPr>
            <w:r w:rsidRPr="009762DE">
              <w:rPr>
                <w:rFonts w:eastAsia="等线"/>
                <w:lang w:val="en-US" w:eastAsia="zh-CN"/>
              </w:rPr>
              <w:t>√</w:t>
            </w:r>
          </w:p>
          <w:p w14:paraId="1A9E5D54"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86F226D"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8A69C7">
            <w:pPr>
              <w:rPr>
                <w:rFonts w:eastAsia="等线"/>
                <w:lang w:val="en-US" w:eastAsia="zh-CN"/>
              </w:rPr>
            </w:pPr>
            <w:r w:rsidRPr="009762DE">
              <w:rPr>
                <w:rFonts w:eastAsia="等线"/>
                <w:lang w:val="en-US" w:eastAsia="zh-CN"/>
              </w:rPr>
              <w:t>√</w:t>
            </w:r>
          </w:p>
          <w:p w14:paraId="3DF19455"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8A69C7">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shd w:val="clear" w:color="auto" w:fill="auto"/>
          </w:tcPr>
          <w:p w14:paraId="2586446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7A87B7E" w14:textId="77777777" w:rsidR="009525BC" w:rsidRPr="009762DE" w:rsidRDefault="009525BC" w:rsidP="008A69C7">
            <w:pPr>
              <w:rPr>
                <w:rFonts w:eastAsia="等线"/>
                <w:lang w:val="en-US" w:eastAsia="zh-CN"/>
              </w:rPr>
            </w:pPr>
            <w:r w:rsidRPr="009762DE">
              <w:rPr>
                <w:rFonts w:eastAsia="等线"/>
                <w:lang w:val="en-US" w:eastAsia="zh-CN"/>
              </w:rPr>
              <w:t>√</w:t>
            </w:r>
          </w:p>
          <w:p w14:paraId="45967AB9"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8EEDEE7"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8A69C7">
            <w:pPr>
              <w:rPr>
                <w:rFonts w:eastAsia="等线"/>
                <w:lang w:val="en-US" w:eastAsia="zh-CN"/>
              </w:rPr>
            </w:pPr>
            <w:r w:rsidRPr="009762DE">
              <w:rPr>
                <w:rFonts w:eastAsia="等线"/>
                <w:lang w:val="en-US" w:eastAsia="zh-CN"/>
              </w:rPr>
              <w:t>√</w:t>
            </w:r>
          </w:p>
          <w:p w14:paraId="35E65443"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8A69C7">
            <w:pPr>
              <w:rPr>
                <w:rFonts w:eastAsia="等线"/>
                <w:lang w:val="en-US" w:eastAsia="zh-CN"/>
              </w:rPr>
            </w:pPr>
            <w:r w:rsidRPr="009762DE">
              <w:rPr>
                <w:rFonts w:eastAsia="等线"/>
                <w:lang w:val="en-US" w:eastAsia="zh-CN"/>
              </w:rPr>
              <w:t>√</w:t>
            </w:r>
          </w:p>
          <w:p w14:paraId="6180253C" w14:textId="77777777" w:rsidR="009525BC" w:rsidRPr="009762DE" w:rsidRDefault="009525BC" w:rsidP="008A69C7">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8A69C7">
            <w:pPr>
              <w:rPr>
                <w:rFonts w:eastAsia="等线"/>
                <w:lang w:val="en-US" w:eastAsia="zh-CN"/>
              </w:rPr>
            </w:pPr>
            <w:r w:rsidRPr="009762DE">
              <w:rPr>
                <w:rFonts w:eastAsia="等线"/>
                <w:lang w:val="en-US" w:eastAsia="zh-CN"/>
              </w:rPr>
              <w:t>√</w:t>
            </w:r>
          </w:p>
          <w:p w14:paraId="77D799C0" w14:textId="77777777" w:rsidR="009525BC" w:rsidRDefault="009525BC" w:rsidP="008A69C7">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8A69C7">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lastRenderedPageBreak/>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9525BC" w14:paraId="0E4906BE" w14:textId="77777777" w:rsidTr="008A69C7">
        <w:tc>
          <w:tcPr>
            <w:tcW w:w="1479" w:type="dxa"/>
            <w:shd w:val="clear" w:color="auto" w:fill="D9D9D9" w:themeFill="background1" w:themeFillShade="D9"/>
          </w:tcPr>
          <w:p w14:paraId="2BAA8316"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8A69C7">
            <w:pPr>
              <w:rPr>
                <w:b/>
                <w:bCs/>
                <w:lang w:val="en-US"/>
              </w:rPr>
            </w:pPr>
            <w:r>
              <w:rPr>
                <w:b/>
                <w:bCs/>
                <w:lang w:val="en-US"/>
              </w:rPr>
              <w:t>Comments</w:t>
            </w:r>
          </w:p>
        </w:tc>
      </w:tr>
      <w:tr w:rsidR="009525BC" w14:paraId="30DF0B6B" w14:textId="77777777" w:rsidTr="008A69C7">
        <w:tc>
          <w:tcPr>
            <w:tcW w:w="1479" w:type="dxa"/>
          </w:tcPr>
          <w:p w14:paraId="229452DC" w14:textId="77777777" w:rsidR="009525BC" w:rsidRDefault="009525BC" w:rsidP="008A69C7">
            <w:pPr>
              <w:rPr>
                <w:rFonts w:eastAsiaTheme="minorEastAsia"/>
                <w:lang w:val="en-US" w:eastAsia="zh-CN"/>
              </w:rPr>
            </w:pPr>
          </w:p>
        </w:tc>
        <w:tc>
          <w:tcPr>
            <w:tcW w:w="1372" w:type="dxa"/>
          </w:tcPr>
          <w:p w14:paraId="2F3B7F5D" w14:textId="77777777" w:rsidR="009525BC" w:rsidRDefault="009525BC" w:rsidP="008A69C7">
            <w:pPr>
              <w:tabs>
                <w:tab w:val="left" w:pos="551"/>
              </w:tabs>
              <w:rPr>
                <w:rFonts w:eastAsiaTheme="minorEastAsia"/>
                <w:lang w:val="en-US" w:eastAsia="zh-CN"/>
              </w:rPr>
            </w:pPr>
          </w:p>
        </w:tc>
        <w:tc>
          <w:tcPr>
            <w:tcW w:w="6780" w:type="dxa"/>
          </w:tcPr>
          <w:p w14:paraId="1891EA87" w14:textId="77777777" w:rsidR="009525BC" w:rsidRDefault="009525BC" w:rsidP="008A69C7">
            <w:pPr>
              <w:rPr>
                <w:rFonts w:eastAsiaTheme="minorEastAsia"/>
                <w:lang w:val="en-US" w:eastAsia="zh-CN"/>
              </w:rPr>
            </w:pPr>
          </w:p>
        </w:tc>
      </w:tr>
      <w:tr w:rsidR="009525BC" w14:paraId="4FCA33D3" w14:textId="77777777" w:rsidTr="008A69C7">
        <w:tc>
          <w:tcPr>
            <w:tcW w:w="1479" w:type="dxa"/>
          </w:tcPr>
          <w:p w14:paraId="77C5E18F" w14:textId="77777777" w:rsidR="009525BC" w:rsidRDefault="009525BC" w:rsidP="008A69C7">
            <w:pPr>
              <w:rPr>
                <w:rFonts w:eastAsiaTheme="minorEastAsia"/>
                <w:lang w:val="en-US" w:eastAsia="zh-CN"/>
              </w:rPr>
            </w:pPr>
          </w:p>
        </w:tc>
        <w:tc>
          <w:tcPr>
            <w:tcW w:w="1372" w:type="dxa"/>
          </w:tcPr>
          <w:p w14:paraId="7D6B150B" w14:textId="77777777" w:rsidR="009525BC" w:rsidRDefault="009525BC" w:rsidP="008A69C7">
            <w:pPr>
              <w:tabs>
                <w:tab w:val="left" w:pos="551"/>
              </w:tabs>
              <w:rPr>
                <w:rFonts w:eastAsiaTheme="minorEastAsia"/>
                <w:lang w:val="en-US" w:eastAsia="zh-CN"/>
              </w:rPr>
            </w:pPr>
          </w:p>
        </w:tc>
        <w:tc>
          <w:tcPr>
            <w:tcW w:w="6780" w:type="dxa"/>
          </w:tcPr>
          <w:p w14:paraId="10134EFF" w14:textId="77777777" w:rsidR="009525BC" w:rsidRDefault="009525BC" w:rsidP="008A69C7">
            <w:pPr>
              <w:rPr>
                <w:rFonts w:eastAsiaTheme="minorEastAsia"/>
                <w:lang w:val="en-US" w:eastAsia="zh-CN"/>
              </w:rPr>
            </w:pPr>
          </w:p>
        </w:tc>
      </w:tr>
      <w:tr w:rsidR="009525BC" w14:paraId="2F5458DC" w14:textId="77777777" w:rsidTr="008A69C7">
        <w:tc>
          <w:tcPr>
            <w:tcW w:w="1479" w:type="dxa"/>
          </w:tcPr>
          <w:p w14:paraId="1B32FF6B" w14:textId="77777777" w:rsidR="009525BC" w:rsidRDefault="009525BC" w:rsidP="008A69C7">
            <w:pPr>
              <w:rPr>
                <w:rFonts w:eastAsiaTheme="minorEastAsia"/>
                <w:lang w:val="en-US" w:eastAsia="zh-CN"/>
              </w:rPr>
            </w:pPr>
          </w:p>
        </w:tc>
        <w:tc>
          <w:tcPr>
            <w:tcW w:w="1372" w:type="dxa"/>
          </w:tcPr>
          <w:p w14:paraId="0E7D7694" w14:textId="77777777" w:rsidR="009525BC" w:rsidRDefault="009525BC" w:rsidP="008A69C7">
            <w:pPr>
              <w:tabs>
                <w:tab w:val="left" w:pos="551"/>
              </w:tabs>
              <w:rPr>
                <w:rFonts w:eastAsiaTheme="minorEastAsia"/>
                <w:lang w:val="en-US" w:eastAsia="zh-CN"/>
              </w:rPr>
            </w:pPr>
          </w:p>
        </w:tc>
        <w:tc>
          <w:tcPr>
            <w:tcW w:w="6780" w:type="dxa"/>
          </w:tcPr>
          <w:p w14:paraId="7E3AC2E9" w14:textId="77777777" w:rsidR="009525BC" w:rsidRDefault="009525BC" w:rsidP="008A69C7">
            <w:pPr>
              <w:rPr>
                <w:rFonts w:eastAsiaTheme="minorEastAsia"/>
                <w:lang w:val="en-US" w:eastAsia="zh-CN"/>
              </w:rPr>
            </w:pP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9525BC" w14:paraId="27F98D46" w14:textId="77777777" w:rsidTr="008A69C7">
        <w:tc>
          <w:tcPr>
            <w:tcW w:w="1479" w:type="dxa"/>
            <w:shd w:val="clear" w:color="auto" w:fill="D9D9D9" w:themeFill="background1" w:themeFillShade="D9"/>
          </w:tcPr>
          <w:p w14:paraId="6190D491"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8A69C7">
            <w:pPr>
              <w:rPr>
                <w:b/>
                <w:bCs/>
                <w:lang w:val="en-US"/>
              </w:rPr>
            </w:pPr>
            <w:r>
              <w:rPr>
                <w:b/>
                <w:bCs/>
                <w:lang w:val="en-US"/>
              </w:rPr>
              <w:t>Comments</w:t>
            </w:r>
          </w:p>
        </w:tc>
      </w:tr>
      <w:tr w:rsidR="009525BC" w14:paraId="14044853" w14:textId="77777777" w:rsidTr="008A69C7">
        <w:tc>
          <w:tcPr>
            <w:tcW w:w="1479" w:type="dxa"/>
          </w:tcPr>
          <w:p w14:paraId="2BAD79DE" w14:textId="77777777" w:rsidR="009525BC" w:rsidRDefault="009525BC" w:rsidP="008A69C7">
            <w:pPr>
              <w:rPr>
                <w:rFonts w:eastAsiaTheme="minorEastAsia"/>
                <w:lang w:val="en-US" w:eastAsia="zh-CN"/>
              </w:rPr>
            </w:pPr>
          </w:p>
        </w:tc>
        <w:tc>
          <w:tcPr>
            <w:tcW w:w="1372" w:type="dxa"/>
          </w:tcPr>
          <w:p w14:paraId="3928FF68" w14:textId="77777777" w:rsidR="009525BC" w:rsidRDefault="009525BC" w:rsidP="008A69C7">
            <w:pPr>
              <w:tabs>
                <w:tab w:val="left" w:pos="551"/>
              </w:tabs>
              <w:rPr>
                <w:rFonts w:eastAsiaTheme="minorEastAsia"/>
                <w:lang w:val="en-US" w:eastAsia="zh-CN"/>
              </w:rPr>
            </w:pPr>
          </w:p>
        </w:tc>
        <w:tc>
          <w:tcPr>
            <w:tcW w:w="6780" w:type="dxa"/>
          </w:tcPr>
          <w:p w14:paraId="74DB16BD" w14:textId="77777777" w:rsidR="009525BC" w:rsidRDefault="009525BC" w:rsidP="008A69C7">
            <w:pPr>
              <w:rPr>
                <w:rFonts w:eastAsiaTheme="minorEastAsia"/>
                <w:lang w:val="en-US" w:eastAsia="zh-CN"/>
              </w:rPr>
            </w:pPr>
          </w:p>
        </w:tc>
      </w:tr>
      <w:tr w:rsidR="009525BC" w14:paraId="062FA644" w14:textId="77777777" w:rsidTr="008A69C7">
        <w:tc>
          <w:tcPr>
            <w:tcW w:w="1479" w:type="dxa"/>
          </w:tcPr>
          <w:p w14:paraId="03574EC7" w14:textId="77777777" w:rsidR="009525BC" w:rsidRDefault="009525BC" w:rsidP="008A69C7">
            <w:pPr>
              <w:rPr>
                <w:rFonts w:eastAsiaTheme="minorEastAsia"/>
                <w:lang w:val="en-US" w:eastAsia="zh-CN"/>
              </w:rPr>
            </w:pPr>
          </w:p>
        </w:tc>
        <w:tc>
          <w:tcPr>
            <w:tcW w:w="1372" w:type="dxa"/>
          </w:tcPr>
          <w:p w14:paraId="4775EBBA" w14:textId="77777777" w:rsidR="009525BC" w:rsidRDefault="009525BC" w:rsidP="008A69C7">
            <w:pPr>
              <w:tabs>
                <w:tab w:val="left" w:pos="551"/>
              </w:tabs>
              <w:rPr>
                <w:rFonts w:eastAsiaTheme="minorEastAsia"/>
                <w:lang w:val="en-US" w:eastAsia="zh-CN"/>
              </w:rPr>
            </w:pPr>
          </w:p>
        </w:tc>
        <w:tc>
          <w:tcPr>
            <w:tcW w:w="6780" w:type="dxa"/>
          </w:tcPr>
          <w:p w14:paraId="11E12AB2" w14:textId="77777777" w:rsidR="009525BC" w:rsidRDefault="009525BC" w:rsidP="008A69C7">
            <w:pPr>
              <w:rPr>
                <w:rFonts w:eastAsiaTheme="minorEastAsia"/>
                <w:lang w:val="en-US" w:eastAsia="zh-CN"/>
              </w:rPr>
            </w:pPr>
          </w:p>
        </w:tc>
      </w:tr>
      <w:tr w:rsidR="009525BC" w14:paraId="7A826F61" w14:textId="77777777" w:rsidTr="008A69C7">
        <w:tc>
          <w:tcPr>
            <w:tcW w:w="1479" w:type="dxa"/>
          </w:tcPr>
          <w:p w14:paraId="6D0A29A2" w14:textId="77777777" w:rsidR="009525BC" w:rsidRDefault="009525BC" w:rsidP="008A69C7">
            <w:pPr>
              <w:rPr>
                <w:rFonts w:eastAsiaTheme="minorEastAsia"/>
                <w:lang w:val="en-US" w:eastAsia="zh-CN"/>
              </w:rPr>
            </w:pPr>
          </w:p>
        </w:tc>
        <w:tc>
          <w:tcPr>
            <w:tcW w:w="1372" w:type="dxa"/>
          </w:tcPr>
          <w:p w14:paraId="39EC2F20" w14:textId="77777777" w:rsidR="009525BC" w:rsidRDefault="009525BC" w:rsidP="008A69C7">
            <w:pPr>
              <w:tabs>
                <w:tab w:val="left" w:pos="551"/>
              </w:tabs>
              <w:rPr>
                <w:rFonts w:eastAsiaTheme="minorEastAsia"/>
                <w:lang w:val="en-US" w:eastAsia="zh-CN"/>
              </w:rPr>
            </w:pPr>
          </w:p>
        </w:tc>
        <w:tc>
          <w:tcPr>
            <w:tcW w:w="6780" w:type="dxa"/>
          </w:tcPr>
          <w:p w14:paraId="34D8C175" w14:textId="77777777" w:rsidR="009525BC" w:rsidRDefault="009525BC" w:rsidP="008A69C7">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f"/>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lastRenderedPageBreak/>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f"/>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8A69C7">
        <w:tc>
          <w:tcPr>
            <w:tcW w:w="1479" w:type="dxa"/>
            <w:shd w:val="clear" w:color="auto" w:fill="D9D9D9" w:themeFill="background1" w:themeFillShade="D9"/>
          </w:tcPr>
          <w:p w14:paraId="784983F1" w14:textId="77777777" w:rsidR="00B935B9" w:rsidRPr="00A7001A" w:rsidRDefault="00B935B9" w:rsidP="008A69C7">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8A69C7">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8A69C7">
            <w:pPr>
              <w:rPr>
                <w:b/>
                <w:bCs/>
                <w:lang w:val="en-US"/>
              </w:rPr>
            </w:pPr>
            <w:r w:rsidRPr="00A7001A">
              <w:rPr>
                <w:b/>
                <w:bCs/>
                <w:lang w:val="en-US"/>
              </w:rPr>
              <w:t>Comments</w:t>
            </w:r>
          </w:p>
        </w:tc>
      </w:tr>
      <w:tr w:rsidR="00B935B9" w:rsidRPr="00A7001A" w14:paraId="7A7CC8CB" w14:textId="77777777" w:rsidTr="008A69C7">
        <w:tc>
          <w:tcPr>
            <w:tcW w:w="1479" w:type="dxa"/>
          </w:tcPr>
          <w:p w14:paraId="7691BE2E" w14:textId="77777777" w:rsidR="00B935B9" w:rsidRPr="00A7001A" w:rsidRDefault="00B935B9" w:rsidP="008A69C7">
            <w:pPr>
              <w:rPr>
                <w:rFonts w:eastAsiaTheme="minorEastAsia"/>
                <w:lang w:val="en-US" w:eastAsia="zh-CN"/>
              </w:rPr>
            </w:pPr>
          </w:p>
        </w:tc>
        <w:tc>
          <w:tcPr>
            <w:tcW w:w="1372" w:type="dxa"/>
          </w:tcPr>
          <w:p w14:paraId="5039DBB4" w14:textId="77777777" w:rsidR="00B935B9" w:rsidRPr="00A7001A" w:rsidRDefault="00B935B9" w:rsidP="008A69C7">
            <w:pPr>
              <w:tabs>
                <w:tab w:val="left" w:pos="551"/>
              </w:tabs>
              <w:rPr>
                <w:rFonts w:eastAsiaTheme="minorEastAsia"/>
                <w:lang w:val="en-US" w:eastAsia="zh-CN"/>
              </w:rPr>
            </w:pPr>
          </w:p>
        </w:tc>
        <w:tc>
          <w:tcPr>
            <w:tcW w:w="6780" w:type="dxa"/>
          </w:tcPr>
          <w:p w14:paraId="56AE5EEF" w14:textId="77777777" w:rsidR="00B935B9" w:rsidRPr="00A7001A" w:rsidRDefault="00B935B9" w:rsidP="008A69C7">
            <w:pPr>
              <w:rPr>
                <w:rFonts w:eastAsiaTheme="minorEastAsia"/>
                <w:lang w:val="en-US" w:eastAsia="zh-CN"/>
              </w:rPr>
            </w:pPr>
          </w:p>
        </w:tc>
      </w:tr>
      <w:tr w:rsidR="00B935B9" w:rsidRPr="00A7001A" w14:paraId="68BD23A1" w14:textId="77777777" w:rsidTr="008A69C7">
        <w:tc>
          <w:tcPr>
            <w:tcW w:w="1479" w:type="dxa"/>
          </w:tcPr>
          <w:p w14:paraId="20300903" w14:textId="77777777" w:rsidR="00B935B9" w:rsidRPr="00A7001A" w:rsidRDefault="00B935B9" w:rsidP="008A69C7">
            <w:pPr>
              <w:rPr>
                <w:rFonts w:eastAsiaTheme="minorEastAsia"/>
                <w:lang w:val="en-US" w:eastAsia="zh-CN"/>
              </w:rPr>
            </w:pPr>
          </w:p>
        </w:tc>
        <w:tc>
          <w:tcPr>
            <w:tcW w:w="1372" w:type="dxa"/>
          </w:tcPr>
          <w:p w14:paraId="6DD675E7" w14:textId="77777777" w:rsidR="00B935B9" w:rsidRPr="00A7001A" w:rsidRDefault="00B935B9" w:rsidP="008A69C7">
            <w:pPr>
              <w:tabs>
                <w:tab w:val="left" w:pos="551"/>
              </w:tabs>
              <w:rPr>
                <w:rFonts w:eastAsiaTheme="minorEastAsia"/>
                <w:lang w:val="en-US" w:eastAsia="zh-CN"/>
              </w:rPr>
            </w:pPr>
          </w:p>
        </w:tc>
        <w:tc>
          <w:tcPr>
            <w:tcW w:w="6780" w:type="dxa"/>
          </w:tcPr>
          <w:p w14:paraId="57761980" w14:textId="77777777" w:rsidR="00B935B9" w:rsidRPr="00A7001A" w:rsidRDefault="00B935B9" w:rsidP="008A69C7">
            <w:pPr>
              <w:rPr>
                <w:rFonts w:eastAsiaTheme="minorEastAsia"/>
                <w:lang w:val="en-US" w:eastAsia="zh-CN"/>
              </w:rPr>
            </w:pPr>
          </w:p>
        </w:tc>
      </w:tr>
      <w:tr w:rsidR="00B935B9" w:rsidRPr="00A7001A" w14:paraId="64ADEEB8" w14:textId="77777777" w:rsidTr="008A69C7">
        <w:tc>
          <w:tcPr>
            <w:tcW w:w="1479" w:type="dxa"/>
          </w:tcPr>
          <w:p w14:paraId="3B0CD96A" w14:textId="77777777" w:rsidR="00B935B9" w:rsidRPr="00A7001A" w:rsidRDefault="00B935B9" w:rsidP="008A69C7">
            <w:pPr>
              <w:rPr>
                <w:rFonts w:eastAsiaTheme="minorEastAsia"/>
                <w:lang w:val="en-US" w:eastAsia="zh-CN"/>
              </w:rPr>
            </w:pPr>
          </w:p>
        </w:tc>
        <w:tc>
          <w:tcPr>
            <w:tcW w:w="1372" w:type="dxa"/>
          </w:tcPr>
          <w:p w14:paraId="76FD8FFF" w14:textId="77777777" w:rsidR="00B935B9" w:rsidRPr="00A7001A" w:rsidRDefault="00B935B9" w:rsidP="008A69C7">
            <w:pPr>
              <w:tabs>
                <w:tab w:val="left" w:pos="551"/>
              </w:tabs>
              <w:rPr>
                <w:rFonts w:eastAsiaTheme="minorEastAsia"/>
                <w:lang w:val="en-US" w:eastAsia="zh-CN"/>
              </w:rPr>
            </w:pPr>
          </w:p>
        </w:tc>
        <w:tc>
          <w:tcPr>
            <w:tcW w:w="6780" w:type="dxa"/>
          </w:tcPr>
          <w:p w14:paraId="788A1754" w14:textId="77777777" w:rsidR="00B935B9" w:rsidRPr="00A7001A" w:rsidRDefault="00B935B9" w:rsidP="008A69C7">
            <w:pPr>
              <w:rPr>
                <w:rFonts w:eastAsiaTheme="minorEastAsia"/>
                <w:lang w:val="en-US" w:eastAsia="zh-CN"/>
              </w:rPr>
            </w:pPr>
          </w:p>
        </w:tc>
      </w:tr>
    </w:tbl>
    <w:p w14:paraId="7FABF6C3" w14:textId="77777777" w:rsidR="00B935B9" w:rsidRDefault="00B935B9" w:rsidP="00B935B9">
      <w:pPr>
        <w:pStyle w:val="aff"/>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B935B9" w:rsidRPr="00440F85" w14:paraId="655CFD11" w14:textId="77777777" w:rsidTr="008A69C7">
        <w:trPr>
          <w:trHeight w:val="2547"/>
        </w:trPr>
        <w:tc>
          <w:tcPr>
            <w:tcW w:w="9642" w:type="dxa"/>
          </w:tcPr>
          <w:p w14:paraId="662B2A51" w14:textId="77777777" w:rsidR="00B935B9" w:rsidRPr="00440F85" w:rsidRDefault="00B935B9" w:rsidP="008A69C7">
            <w:pPr>
              <w:pStyle w:val="PL"/>
              <w:shd w:val="clear" w:color="auto" w:fill="E6E6E6"/>
              <w:rPr>
                <w:sz w:val="15"/>
                <w:szCs w:val="15"/>
              </w:rPr>
            </w:pPr>
            <w:r w:rsidRPr="00440F85">
              <w:rPr>
                <w:sz w:val="15"/>
                <w:szCs w:val="15"/>
              </w:rPr>
              <w:lastRenderedPageBreak/>
              <w:t>SR-SPS-BSR-Config-NB-r</w:t>
            </w:r>
            <w:proofErr w:type="gramStart"/>
            <w:r w:rsidRPr="00440F85">
              <w:rPr>
                <w:sz w:val="15"/>
                <w:szCs w:val="15"/>
              </w:rPr>
              <w:t>15 ::=</w:t>
            </w:r>
            <w:proofErr w:type="gramEnd"/>
            <w:r w:rsidRPr="00440F85">
              <w:rPr>
                <w:sz w:val="15"/>
                <w:szCs w:val="15"/>
              </w:rPr>
              <w:t xml:space="preserve"> CHOICE {</w:t>
            </w:r>
          </w:p>
          <w:p w14:paraId="21035885" w14:textId="77777777" w:rsidR="00B935B9" w:rsidRPr="00440F85" w:rsidRDefault="00B935B9" w:rsidP="008A69C7">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8A69C7">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8A69C7">
            <w:pPr>
              <w:pStyle w:val="PL"/>
              <w:shd w:val="clear" w:color="auto" w:fill="E6E6E6"/>
              <w:rPr>
                <w:sz w:val="15"/>
                <w:szCs w:val="15"/>
              </w:rPr>
            </w:pPr>
            <w:r w:rsidRPr="00440F85">
              <w:rPr>
                <w:sz w:val="15"/>
                <w:szCs w:val="15"/>
              </w:rPr>
              <w:tab/>
              <w:t>}</w:t>
            </w:r>
          </w:p>
          <w:p w14:paraId="1D3069F1" w14:textId="77777777" w:rsidR="00B935B9" w:rsidRPr="00440F85" w:rsidRDefault="00B935B9" w:rsidP="008A69C7">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f"/>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f"/>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f"/>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157B7B30" w14:textId="77777777" w:rsidTr="008A69C7">
        <w:tc>
          <w:tcPr>
            <w:tcW w:w="1479" w:type="dxa"/>
            <w:shd w:val="clear" w:color="auto" w:fill="D9D9D9" w:themeFill="background1" w:themeFillShade="D9"/>
          </w:tcPr>
          <w:p w14:paraId="38371D1B"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8A69C7">
            <w:pPr>
              <w:rPr>
                <w:b/>
                <w:bCs/>
                <w:lang w:val="en-US"/>
              </w:rPr>
            </w:pPr>
            <w:r>
              <w:rPr>
                <w:b/>
                <w:bCs/>
                <w:lang w:val="en-US"/>
              </w:rPr>
              <w:t>Comments</w:t>
            </w:r>
          </w:p>
        </w:tc>
      </w:tr>
      <w:tr w:rsidR="00B935B9" w14:paraId="23B14773" w14:textId="77777777" w:rsidTr="008A69C7">
        <w:tc>
          <w:tcPr>
            <w:tcW w:w="1479" w:type="dxa"/>
          </w:tcPr>
          <w:p w14:paraId="3D318B26" w14:textId="77777777" w:rsidR="00B935B9" w:rsidRDefault="00B935B9" w:rsidP="008A69C7">
            <w:pPr>
              <w:rPr>
                <w:rFonts w:eastAsiaTheme="minorEastAsia"/>
                <w:lang w:val="en-US" w:eastAsia="zh-CN"/>
              </w:rPr>
            </w:pPr>
          </w:p>
        </w:tc>
        <w:tc>
          <w:tcPr>
            <w:tcW w:w="1372" w:type="dxa"/>
          </w:tcPr>
          <w:p w14:paraId="30B3F8D0" w14:textId="77777777" w:rsidR="00B935B9" w:rsidRDefault="00B935B9" w:rsidP="008A69C7">
            <w:pPr>
              <w:tabs>
                <w:tab w:val="left" w:pos="551"/>
              </w:tabs>
              <w:rPr>
                <w:rFonts w:eastAsiaTheme="minorEastAsia"/>
                <w:lang w:val="en-US" w:eastAsia="zh-CN"/>
              </w:rPr>
            </w:pPr>
          </w:p>
        </w:tc>
        <w:tc>
          <w:tcPr>
            <w:tcW w:w="6780" w:type="dxa"/>
          </w:tcPr>
          <w:p w14:paraId="035D0C66" w14:textId="77777777" w:rsidR="00B935B9" w:rsidRDefault="00B935B9" w:rsidP="008A69C7">
            <w:pPr>
              <w:rPr>
                <w:rFonts w:eastAsiaTheme="minorEastAsia"/>
                <w:lang w:val="en-US" w:eastAsia="zh-CN"/>
              </w:rPr>
            </w:pPr>
          </w:p>
        </w:tc>
      </w:tr>
      <w:tr w:rsidR="00B935B9" w14:paraId="4C7C7D99" w14:textId="77777777" w:rsidTr="008A69C7">
        <w:tc>
          <w:tcPr>
            <w:tcW w:w="1479" w:type="dxa"/>
          </w:tcPr>
          <w:p w14:paraId="630EC890" w14:textId="77777777" w:rsidR="00B935B9" w:rsidRDefault="00B935B9" w:rsidP="008A69C7">
            <w:pPr>
              <w:rPr>
                <w:rFonts w:eastAsiaTheme="minorEastAsia"/>
                <w:lang w:val="en-US" w:eastAsia="zh-CN"/>
              </w:rPr>
            </w:pPr>
          </w:p>
        </w:tc>
        <w:tc>
          <w:tcPr>
            <w:tcW w:w="1372" w:type="dxa"/>
          </w:tcPr>
          <w:p w14:paraId="49312895" w14:textId="77777777" w:rsidR="00B935B9" w:rsidRDefault="00B935B9" w:rsidP="008A69C7">
            <w:pPr>
              <w:tabs>
                <w:tab w:val="left" w:pos="551"/>
              </w:tabs>
              <w:rPr>
                <w:rFonts w:eastAsiaTheme="minorEastAsia"/>
                <w:lang w:val="en-US" w:eastAsia="zh-CN"/>
              </w:rPr>
            </w:pPr>
          </w:p>
        </w:tc>
        <w:tc>
          <w:tcPr>
            <w:tcW w:w="6780" w:type="dxa"/>
          </w:tcPr>
          <w:p w14:paraId="7DEEC806" w14:textId="77777777" w:rsidR="00B935B9" w:rsidRDefault="00B935B9" w:rsidP="008A69C7">
            <w:pPr>
              <w:rPr>
                <w:rFonts w:eastAsiaTheme="minorEastAsia"/>
                <w:lang w:val="en-US" w:eastAsia="zh-CN"/>
              </w:rPr>
            </w:pPr>
          </w:p>
        </w:tc>
      </w:tr>
      <w:tr w:rsidR="00B935B9" w14:paraId="131DD842" w14:textId="77777777" w:rsidTr="008A69C7">
        <w:tc>
          <w:tcPr>
            <w:tcW w:w="1479" w:type="dxa"/>
          </w:tcPr>
          <w:p w14:paraId="5EEB3451" w14:textId="77777777" w:rsidR="00B935B9" w:rsidRDefault="00B935B9" w:rsidP="008A69C7">
            <w:pPr>
              <w:rPr>
                <w:rFonts w:eastAsiaTheme="minorEastAsia"/>
                <w:lang w:val="en-US" w:eastAsia="zh-CN"/>
              </w:rPr>
            </w:pPr>
          </w:p>
        </w:tc>
        <w:tc>
          <w:tcPr>
            <w:tcW w:w="1372" w:type="dxa"/>
          </w:tcPr>
          <w:p w14:paraId="0042EA2F" w14:textId="77777777" w:rsidR="00B935B9" w:rsidRDefault="00B935B9" w:rsidP="008A69C7">
            <w:pPr>
              <w:tabs>
                <w:tab w:val="left" w:pos="551"/>
              </w:tabs>
              <w:rPr>
                <w:rFonts w:eastAsiaTheme="minorEastAsia"/>
                <w:lang w:val="en-US" w:eastAsia="zh-CN"/>
              </w:rPr>
            </w:pPr>
          </w:p>
        </w:tc>
        <w:tc>
          <w:tcPr>
            <w:tcW w:w="6780" w:type="dxa"/>
          </w:tcPr>
          <w:p w14:paraId="221ECFFD" w14:textId="77777777" w:rsidR="00B935B9" w:rsidRDefault="00B935B9" w:rsidP="008A69C7">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f"/>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f"/>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lastRenderedPageBreak/>
        <w:t>FL View: For NPDSCH/NPUSCH transmissions, NB-IoT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8A69C7">
        <w:tc>
          <w:tcPr>
            <w:tcW w:w="1479" w:type="dxa"/>
            <w:shd w:val="clear" w:color="auto" w:fill="D9D9D9" w:themeFill="background1" w:themeFillShade="D9"/>
          </w:tcPr>
          <w:p w14:paraId="002634E7" w14:textId="77777777" w:rsidR="00B935B9" w:rsidRPr="00750695" w:rsidRDefault="00B935B9" w:rsidP="008A69C7">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8A69C7">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8A69C7">
            <w:pPr>
              <w:rPr>
                <w:b/>
                <w:bCs/>
                <w:lang w:val="en-US"/>
              </w:rPr>
            </w:pPr>
            <w:r w:rsidRPr="00750695">
              <w:rPr>
                <w:b/>
                <w:bCs/>
                <w:lang w:val="en-US"/>
              </w:rPr>
              <w:t>Comments</w:t>
            </w:r>
          </w:p>
        </w:tc>
      </w:tr>
      <w:tr w:rsidR="00B935B9" w:rsidRPr="00750695" w14:paraId="1EEE9B56" w14:textId="77777777" w:rsidTr="008A69C7">
        <w:tc>
          <w:tcPr>
            <w:tcW w:w="1479" w:type="dxa"/>
          </w:tcPr>
          <w:p w14:paraId="70EE32DD" w14:textId="77777777" w:rsidR="00B935B9" w:rsidRPr="00750695" w:rsidRDefault="00B935B9" w:rsidP="008A69C7">
            <w:pPr>
              <w:rPr>
                <w:rFonts w:eastAsiaTheme="minorEastAsia"/>
                <w:lang w:val="en-US" w:eastAsia="zh-CN"/>
              </w:rPr>
            </w:pPr>
          </w:p>
        </w:tc>
        <w:tc>
          <w:tcPr>
            <w:tcW w:w="1372" w:type="dxa"/>
          </w:tcPr>
          <w:p w14:paraId="7D2240B1" w14:textId="77777777" w:rsidR="00B935B9" w:rsidRPr="00750695" w:rsidRDefault="00B935B9" w:rsidP="008A69C7">
            <w:pPr>
              <w:tabs>
                <w:tab w:val="left" w:pos="551"/>
              </w:tabs>
              <w:rPr>
                <w:rFonts w:eastAsiaTheme="minorEastAsia"/>
                <w:lang w:val="en-US" w:eastAsia="zh-CN"/>
              </w:rPr>
            </w:pPr>
          </w:p>
        </w:tc>
        <w:tc>
          <w:tcPr>
            <w:tcW w:w="6780" w:type="dxa"/>
          </w:tcPr>
          <w:p w14:paraId="2618C29C" w14:textId="77777777" w:rsidR="00B935B9" w:rsidRPr="00750695" w:rsidRDefault="00B935B9" w:rsidP="008A69C7">
            <w:pPr>
              <w:rPr>
                <w:rFonts w:eastAsiaTheme="minorEastAsia"/>
                <w:lang w:val="en-US" w:eastAsia="zh-CN"/>
              </w:rPr>
            </w:pPr>
          </w:p>
        </w:tc>
      </w:tr>
      <w:tr w:rsidR="00B935B9" w:rsidRPr="00750695" w14:paraId="529BB6AA" w14:textId="77777777" w:rsidTr="008A69C7">
        <w:tc>
          <w:tcPr>
            <w:tcW w:w="1479" w:type="dxa"/>
          </w:tcPr>
          <w:p w14:paraId="42CA02B7" w14:textId="77777777" w:rsidR="00B935B9" w:rsidRPr="00750695" w:rsidRDefault="00B935B9" w:rsidP="008A69C7">
            <w:pPr>
              <w:rPr>
                <w:rFonts w:eastAsiaTheme="minorEastAsia"/>
                <w:lang w:val="en-US" w:eastAsia="zh-CN"/>
              </w:rPr>
            </w:pPr>
          </w:p>
        </w:tc>
        <w:tc>
          <w:tcPr>
            <w:tcW w:w="1372" w:type="dxa"/>
          </w:tcPr>
          <w:p w14:paraId="5AD70377" w14:textId="77777777" w:rsidR="00B935B9" w:rsidRPr="00750695" w:rsidRDefault="00B935B9" w:rsidP="008A69C7">
            <w:pPr>
              <w:tabs>
                <w:tab w:val="left" w:pos="551"/>
              </w:tabs>
              <w:rPr>
                <w:rFonts w:eastAsiaTheme="minorEastAsia"/>
                <w:lang w:val="en-US" w:eastAsia="zh-CN"/>
              </w:rPr>
            </w:pPr>
          </w:p>
        </w:tc>
        <w:tc>
          <w:tcPr>
            <w:tcW w:w="6780" w:type="dxa"/>
          </w:tcPr>
          <w:p w14:paraId="05ACD608" w14:textId="77777777" w:rsidR="00B935B9" w:rsidRPr="00750695" w:rsidRDefault="00B935B9" w:rsidP="008A69C7">
            <w:pPr>
              <w:rPr>
                <w:rFonts w:eastAsiaTheme="minorEastAsia"/>
                <w:lang w:val="en-US" w:eastAsia="zh-CN"/>
              </w:rPr>
            </w:pPr>
          </w:p>
        </w:tc>
      </w:tr>
      <w:tr w:rsidR="00B935B9" w:rsidRPr="00750695" w14:paraId="6F1636BD" w14:textId="77777777" w:rsidTr="008A69C7">
        <w:tc>
          <w:tcPr>
            <w:tcW w:w="1479" w:type="dxa"/>
          </w:tcPr>
          <w:p w14:paraId="3ABB75B8" w14:textId="77777777" w:rsidR="00B935B9" w:rsidRPr="00750695" w:rsidRDefault="00B935B9" w:rsidP="008A69C7">
            <w:pPr>
              <w:rPr>
                <w:rFonts w:eastAsiaTheme="minorEastAsia"/>
                <w:lang w:val="en-US" w:eastAsia="zh-CN"/>
              </w:rPr>
            </w:pPr>
          </w:p>
        </w:tc>
        <w:tc>
          <w:tcPr>
            <w:tcW w:w="1372" w:type="dxa"/>
          </w:tcPr>
          <w:p w14:paraId="449FE524" w14:textId="77777777" w:rsidR="00B935B9" w:rsidRPr="00750695" w:rsidRDefault="00B935B9" w:rsidP="008A69C7">
            <w:pPr>
              <w:tabs>
                <w:tab w:val="left" w:pos="551"/>
              </w:tabs>
              <w:rPr>
                <w:rFonts w:eastAsiaTheme="minorEastAsia"/>
                <w:lang w:val="en-US" w:eastAsia="zh-CN"/>
              </w:rPr>
            </w:pPr>
          </w:p>
        </w:tc>
        <w:tc>
          <w:tcPr>
            <w:tcW w:w="6780" w:type="dxa"/>
          </w:tcPr>
          <w:p w14:paraId="452672FD" w14:textId="77777777" w:rsidR="00B935B9" w:rsidRPr="00750695" w:rsidRDefault="00B935B9" w:rsidP="008A69C7">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6FD6A3A8" w14:textId="77777777" w:rsidTr="008A69C7">
        <w:tc>
          <w:tcPr>
            <w:tcW w:w="1479" w:type="dxa"/>
            <w:shd w:val="clear" w:color="auto" w:fill="D9D9D9" w:themeFill="background1" w:themeFillShade="D9"/>
          </w:tcPr>
          <w:p w14:paraId="22C3A80E"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8A69C7">
            <w:pPr>
              <w:rPr>
                <w:b/>
                <w:bCs/>
                <w:lang w:val="en-US"/>
              </w:rPr>
            </w:pPr>
            <w:r>
              <w:rPr>
                <w:b/>
                <w:bCs/>
                <w:lang w:val="en-US"/>
              </w:rPr>
              <w:t>Comments</w:t>
            </w:r>
          </w:p>
        </w:tc>
      </w:tr>
      <w:tr w:rsidR="00B935B9" w14:paraId="265A2C9D" w14:textId="77777777" w:rsidTr="008A69C7">
        <w:tc>
          <w:tcPr>
            <w:tcW w:w="1479" w:type="dxa"/>
          </w:tcPr>
          <w:p w14:paraId="1851557A" w14:textId="77777777" w:rsidR="00B935B9" w:rsidRDefault="00B935B9" w:rsidP="008A69C7">
            <w:pPr>
              <w:rPr>
                <w:rFonts w:eastAsiaTheme="minorEastAsia"/>
                <w:lang w:val="en-US" w:eastAsia="zh-CN"/>
              </w:rPr>
            </w:pPr>
          </w:p>
        </w:tc>
        <w:tc>
          <w:tcPr>
            <w:tcW w:w="1372" w:type="dxa"/>
          </w:tcPr>
          <w:p w14:paraId="0348DD1A" w14:textId="77777777" w:rsidR="00B935B9" w:rsidRDefault="00B935B9" w:rsidP="008A69C7">
            <w:pPr>
              <w:tabs>
                <w:tab w:val="left" w:pos="551"/>
              </w:tabs>
              <w:rPr>
                <w:rFonts w:eastAsiaTheme="minorEastAsia"/>
                <w:lang w:val="en-US" w:eastAsia="zh-CN"/>
              </w:rPr>
            </w:pPr>
          </w:p>
        </w:tc>
        <w:tc>
          <w:tcPr>
            <w:tcW w:w="6780" w:type="dxa"/>
          </w:tcPr>
          <w:p w14:paraId="1D56CF44" w14:textId="77777777" w:rsidR="00B935B9" w:rsidRDefault="00B935B9" w:rsidP="008A69C7">
            <w:pPr>
              <w:rPr>
                <w:rFonts w:eastAsiaTheme="minorEastAsia"/>
                <w:lang w:val="en-US" w:eastAsia="zh-CN"/>
              </w:rPr>
            </w:pPr>
          </w:p>
        </w:tc>
      </w:tr>
      <w:tr w:rsidR="00B935B9" w14:paraId="582F46C6" w14:textId="77777777" w:rsidTr="008A69C7">
        <w:tc>
          <w:tcPr>
            <w:tcW w:w="1479" w:type="dxa"/>
          </w:tcPr>
          <w:p w14:paraId="6C6E4365" w14:textId="77777777" w:rsidR="00B935B9" w:rsidRDefault="00B935B9" w:rsidP="008A69C7">
            <w:pPr>
              <w:rPr>
                <w:rFonts w:eastAsiaTheme="minorEastAsia"/>
                <w:lang w:val="en-US" w:eastAsia="zh-CN"/>
              </w:rPr>
            </w:pPr>
          </w:p>
        </w:tc>
        <w:tc>
          <w:tcPr>
            <w:tcW w:w="1372" w:type="dxa"/>
          </w:tcPr>
          <w:p w14:paraId="5D1C7B04" w14:textId="77777777" w:rsidR="00B935B9" w:rsidRDefault="00B935B9" w:rsidP="008A69C7">
            <w:pPr>
              <w:tabs>
                <w:tab w:val="left" w:pos="551"/>
              </w:tabs>
              <w:rPr>
                <w:rFonts w:eastAsiaTheme="minorEastAsia"/>
                <w:lang w:val="en-US" w:eastAsia="zh-CN"/>
              </w:rPr>
            </w:pPr>
          </w:p>
        </w:tc>
        <w:tc>
          <w:tcPr>
            <w:tcW w:w="6780" w:type="dxa"/>
          </w:tcPr>
          <w:p w14:paraId="28A83613" w14:textId="77777777" w:rsidR="00B935B9" w:rsidRDefault="00B935B9" w:rsidP="008A69C7">
            <w:pPr>
              <w:rPr>
                <w:rFonts w:eastAsiaTheme="minorEastAsia"/>
                <w:lang w:val="en-US" w:eastAsia="zh-CN"/>
              </w:rPr>
            </w:pPr>
          </w:p>
        </w:tc>
      </w:tr>
      <w:tr w:rsidR="00B935B9" w14:paraId="7DA1C7BC" w14:textId="77777777" w:rsidTr="008A69C7">
        <w:tc>
          <w:tcPr>
            <w:tcW w:w="1479" w:type="dxa"/>
          </w:tcPr>
          <w:p w14:paraId="28BB0BE6" w14:textId="77777777" w:rsidR="00B935B9" w:rsidRDefault="00B935B9" w:rsidP="008A69C7">
            <w:pPr>
              <w:rPr>
                <w:rFonts w:eastAsiaTheme="minorEastAsia"/>
                <w:lang w:val="en-US" w:eastAsia="zh-CN"/>
              </w:rPr>
            </w:pPr>
          </w:p>
        </w:tc>
        <w:tc>
          <w:tcPr>
            <w:tcW w:w="1372" w:type="dxa"/>
          </w:tcPr>
          <w:p w14:paraId="2AC43499" w14:textId="77777777" w:rsidR="00B935B9" w:rsidRDefault="00B935B9" w:rsidP="008A69C7">
            <w:pPr>
              <w:tabs>
                <w:tab w:val="left" w:pos="551"/>
              </w:tabs>
              <w:rPr>
                <w:rFonts w:eastAsiaTheme="minorEastAsia"/>
                <w:lang w:val="en-US" w:eastAsia="zh-CN"/>
              </w:rPr>
            </w:pPr>
          </w:p>
        </w:tc>
        <w:tc>
          <w:tcPr>
            <w:tcW w:w="6780" w:type="dxa"/>
          </w:tcPr>
          <w:p w14:paraId="44229458" w14:textId="77777777" w:rsidR="00B935B9" w:rsidRDefault="00B935B9" w:rsidP="008A69C7">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lastRenderedPageBreak/>
        <w:t>Multiplexing</w:t>
      </w:r>
    </w:p>
    <w:p w14:paraId="0BEEA680" w14:textId="77777777" w:rsidR="00B935B9" w:rsidRPr="00FE00A7" w:rsidRDefault="00B935B9" w:rsidP="00B0748B">
      <w:pPr>
        <w:pStyle w:val="aff"/>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f"/>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f"/>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f"/>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93131A" w:rsidRPr="0063564B" w14:paraId="4BB41D3E" w14:textId="77777777" w:rsidTr="009323A6">
        <w:tc>
          <w:tcPr>
            <w:tcW w:w="9634" w:type="dxa"/>
          </w:tcPr>
          <w:p w14:paraId="76AC5697" w14:textId="77777777" w:rsidR="0093131A" w:rsidRPr="0063564B" w:rsidRDefault="0093131A" w:rsidP="009323A6">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9323A6">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9323A6">
            <w:pPr>
              <w:keepNext/>
              <w:jc w:val="center"/>
            </w:pPr>
            <w:r w:rsidRPr="0063564B">
              <w:rPr>
                <w:rFonts w:ascii="Aptos" w:hAnsi="Aptos" w:cs="Aptos"/>
                <w:b/>
                <w:bCs/>
                <w:noProof/>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9323A6">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9323A6">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9323A6">
            <w:pPr>
              <w:rPr>
                <w:lang w:eastAsia="zh-CN"/>
              </w:rPr>
            </w:pPr>
            <w:r w:rsidRPr="0063564B">
              <w:rPr>
                <w:lang w:eastAsia="zh-CN"/>
              </w:rPr>
              <w:lastRenderedPageBreak/>
              <w:t xml:space="preserve">If semi-persistent scheduling (SPS) is specified by RAN for NB-IoT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9323A6">
            <w:pPr>
              <w:rPr>
                <w:rFonts w:eastAsia="等线"/>
                <w:lang w:eastAsia="zh-CN"/>
              </w:rPr>
            </w:pPr>
            <w:r w:rsidRPr="0063564B">
              <w:rPr>
                <w:rFonts w:eastAsia="等线"/>
                <w:lang w:eastAsia="zh-CN"/>
              </w:rPr>
              <w:t xml:space="preserve">  </w:t>
            </w:r>
          </w:p>
          <w:p w14:paraId="52C51192" w14:textId="77777777" w:rsidR="0093131A" w:rsidRPr="0063564B" w:rsidRDefault="0093131A" w:rsidP="009323A6">
            <w:pPr>
              <w:jc w:val="center"/>
              <w:rPr>
                <w:rFonts w:eastAsia="等线"/>
                <w:lang w:eastAsia="zh-CN"/>
              </w:rPr>
            </w:pPr>
            <w:r w:rsidRPr="0063564B">
              <w:rPr>
                <w:rFonts w:eastAsia="等线"/>
                <w:noProof/>
                <w:lang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9323A6">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9323A6">
            <w:pPr>
              <w:pStyle w:val="aa"/>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9323A6">
            <w:pPr>
              <w:pStyle w:val="aa"/>
              <w:keepNext/>
              <w:jc w:val="center"/>
              <w:rPr>
                <w:rFonts w:ascii="Times New Roman" w:hAnsi="Times New Roman"/>
              </w:rPr>
            </w:pPr>
            <w:r w:rsidRPr="0063564B">
              <w:rPr>
                <w:rFonts w:ascii="Times New Roman" w:hAnsi="Times New Roman"/>
                <w:noProof/>
              </w:rPr>
              <w:drawing>
                <wp:inline distT="0" distB="0" distL="0" distR="0" wp14:anchorId="5888CBB2" wp14:editId="12FB51A5">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9323A6">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9323A6">
            <w:pPr>
              <w:pStyle w:val="aa"/>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9323A6">
            <w:pPr>
              <w:pStyle w:val="aa"/>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9323A6">
            <w:pPr>
              <w:pStyle w:val="aa"/>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w:t>
            </w:r>
            <w:proofErr w:type="gramStart"/>
            <w:r w:rsidRPr="0063564B">
              <w:rPr>
                <w:rFonts w:ascii="Times New Roman" w:hAnsi="Times New Roman"/>
              </w:rPr>
              <w:t>e.g.</w:t>
            </w:r>
            <w:proofErr w:type="gramEnd"/>
            <w:r w:rsidRPr="0063564B">
              <w:rPr>
                <w:rFonts w:ascii="Times New Roman" w:hAnsi="Times New Roman"/>
              </w:rPr>
              <w:t xml:space="preserve">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lastRenderedPageBreak/>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r w:rsidRPr="007C2299">
        <w:rPr>
          <w:rFonts w:eastAsiaTheme="minorEastAsia"/>
          <w:lang w:eastAsia="zh-CN"/>
        </w:rPr>
        <w:t>ms</w:t>
      </w:r>
      <w:proofErr w:type="spellEnd"/>
      <w:r w:rsidRPr="007C2299">
        <w:rPr>
          <w:rFonts w:eastAsiaTheme="minorEastAsia"/>
          <w:lang w:eastAsia="zh-CN"/>
        </w:rPr>
        <w:t xml:space="preserve">. </w:t>
      </w:r>
    </w:p>
    <w:p w14:paraId="1F799AC6" w14:textId="77777777" w:rsidR="00766178" w:rsidRDefault="00766178" w:rsidP="00B0748B">
      <w:pPr>
        <w:pStyle w:val="aff"/>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f"/>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f"/>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t>Any comments to above conclusion:</w:t>
      </w:r>
    </w:p>
    <w:tbl>
      <w:tblPr>
        <w:tblStyle w:val="af8"/>
        <w:tblW w:w="9631" w:type="dxa"/>
        <w:tblLayout w:type="fixed"/>
        <w:tblLook w:val="04A0" w:firstRow="1" w:lastRow="0" w:firstColumn="1" w:lastColumn="0" w:noHBand="0" w:noVBand="1"/>
      </w:tblPr>
      <w:tblGrid>
        <w:gridCol w:w="1479"/>
        <w:gridCol w:w="1372"/>
        <w:gridCol w:w="6780"/>
      </w:tblGrid>
      <w:tr w:rsidR="0093131A" w14:paraId="090E6D56" w14:textId="77777777" w:rsidTr="009323A6">
        <w:tc>
          <w:tcPr>
            <w:tcW w:w="1479" w:type="dxa"/>
            <w:shd w:val="clear" w:color="auto" w:fill="D9D9D9" w:themeFill="background1" w:themeFillShade="D9"/>
          </w:tcPr>
          <w:p w14:paraId="5F40B8CA" w14:textId="77777777" w:rsidR="0093131A" w:rsidRDefault="0093131A" w:rsidP="009323A6">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9323A6">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9323A6">
            <w:pPr>
              <w:rPr>
                <w:b/>
                <w:bCs/>
                <w:lang w:val="en-US"/>
              </w:rPr>
            </w:pPr>
            <w:r>
              <w:rPr>
                <w:b/>
                <w:bCs/>
                <w:lang w:val="en-US"/>
              </w:rPr>
              <w:t>Comments</w:t>
            </w:r>
          </w:p>
        </w:tc>
      </w:tr>
      <w:tr w:rsidR="0093131A" w14:paraId="62CF400E" w14:textId="77777777" w:rsidTr="009323A6">
        <w:tc>
          <w:tcPr>
            <w:tcW w:w="1479" w:type="dxa"/>
          </w:tcPr>
          <w:p w14:paraId="09852BFA" w14:textId="77777777" w:rsidR="0093131A" w:rsidRDefault="0093131A" w:rsidP="009323A6">
            <w:pPr>
              <w:rPr>
                <w:rFonts w:eastAsiaTheme="minorEastAsia"/>
                <w:lang w:val="en-US" w:eastAsia="zh-CN"/>
              </w:rPr>
            </w:pPr>
          </w:p>
        </w:tc>
        <w:tc>
          <w:tcPr>
            <w:tcW w:w="1372" w:type="dxa"/>
          </w:tcPr>
          <w:p w14:paraId="54F4BDFB" w14:textId="77777777" w:rsidR="0093131A" w:rsidRDefault="0093131A" w:rsidP="009323A6">
            <w:pPr>
              <w:tabs>
                <w:tab w:val="left" w:pos="551"/>
              </w:tabs>
              <w:rPr>
                <w:rFonts w:eastAsiaTheme="minorEastAsia"/>
                <w:lang w:val="en-US" w:eastAsia="zh-CN"/>
              </w:rPr>
            </w:pPr>
          </w:p>
        </w:tc>
        <w:tc>
          <w:tcPr>
            <w:tcW w:w="6780" w:type="dxa"/>
          </w:tcPr>
          <w:p w14:paraId="4C292DCF" w14:textId="77777777" w:rsidR="0093131A" w:rsidRDefault="0093131A" w:rsidP="009323A6">
            <w:pPr>
              <w:rPr>
                <w:rFonts w:eastAsiaTheme="minorEastAsia"/>
                <w:lang w:val="en-US" w:eastAsia="zh-CN"/>
              </w:rPr>
            </w:pPr>
          </w:p>
        </w:tc>
      </w:tr>
      <w:tr w:rsidR="0093131A" w14:paraId="6687196B" w14:textId="77777777" w:rsidTr="009323A6">
        <w:tc>
          <w:tcPr>
            <w:tcW w:w="1479" w:type="dxa"/>
          </w:tcPr>
          <w:p w14:paraId="43D93B78" w14:textId="77777777" w:rsidR="0093131A" w:rsidRDefault="0093131A" w:rsidP="009323A6">
            <w:pPr>
              <w:rPr>
                <w:rFonts w:eastAsiaTheme="minorEastAsia"/>
                <w:lang w:val="en-US" w:eastAsia="zh-CN"/>
              </w:rPr>
            </w:pPr>
          </w:p>
        </w:tc>
        <w:tc>
          <w:tcPr>
            <w:tcW w:w="1372" w:type="dxa"/>
          </w:tcPr>
          <w:p w14:paraId="7FCB3106" w14:textId="77777777" w:rsidR="0093131A" w:rsidRDefault="0093131A" w:rsidP="009323A6">
            <w:pPr>
              <w:tabs>
                <w:tab w:val="left" w:pos="551"/>
              </w:tabs>
              <w:rPr>
                <w:rFonts w:eastAsiaTheme="minorEastAsia"/>
                <w:lang w:val="en-US" w:eastAsia="zh-CN"/>
              </w:rPr>
            </w:pPr>
          </w:p>
        </w:tc>
        <w:tc>
          <w:tcPr>
            <w:tcW w:w="6780" w:type="dxa"/>
          </w:tcPr>
          <w:p w14:paraId="3124A97E" w14:textId="77777777" w:rsidR="0093131A" w:rsidRDefault="0093131A" w:rsidP="009323A6">
            <w:pPr>
              <w:rPr>
                <w:rFonts w:eastAsiaTheme="minorEastAsia"/>
                <w:lang w:val="en-US" w:eastAsia="zh-CN"/>
              </w:rPr>
            </w:pPr>
          </w:p>
        </w:tc>
      </w:tr>
      <w:tr w:rsidR="0093131A" w14:paraId="50945673" w14:textId="77777777" w:rsidTr="009323A6">
        <w:tc>
          <w:tcPr>
            <w:tcW w:w="1479" w:type="dxa"/>
          </w:tcPr>
          <w:p w14:paraId="67E7051F" w14:textId="77777777" w:rsidR="0093131A" w:rsidRDefault="0093131A" w:rsidP="009323A6">
            <w:pPr>
              <w:rPr>
                <w:rFonts w:eastAsiaTheme="minorEastAsia"/>
                <w:lang w:val="en-US" w:eastAsia="zh-CN"/>
              </w:rPr>
            </w:pPr>
          </w:p>
        </w:tc>
        <w:tc>
          <w:tcPr>
            <w:tcW w:w="1372" w:type="dxa"/>
          </w:tcPr>
          <w:p w14:paraId="24BC5BA4" w14:textId="77777777" w:rsidR="0093131A" w:rsidRDefault="0093131A" w:rsidP="009323A6">
            <w:pPr>
              <w:tabs>
                <w:tab w:val="left" w:pos="551"/>
              </w:tabs>
              <w:rPr>
                <w:rFonts w:eastAsiaTheme="minorEastAsia"/>
                <w:lang w:val="en-US" w:eastAsia="zh-CN"/>
              </w:rPr>
            </w:pPr>
          </w:p>
        </w:tc>
        <w:tc>
          <w:tcPr>
            <w:tcW w:w="6780" w:type="dxa"/>
          </w:tcPr>
          <w:p w14:paraId="69147333" w14:textId="77777777" w:rsidR="0093131A" w:rsidRDefault="0093131A" w:rsidP="009323A6">
            <w:pPr>
              <w:rPr>
                <w:rFonts w:eastAsiaTheme="minorEastAsia"/>
                <w:lang w:val="en-US" w:eastAsia="zh-CN"/>
              </w:rPr>
            </w:pP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445145" w14:paraId="53F397B6" w14:textId="77777777" w:rsidTr="009323A6">
        <w:tc>
          <w:tcPr>
            <w:tcW w:w="1479" w:type="dxa"/>
            <w:shd w:val="clear" w:color="auto" w:fill="D9D9D9" w:themeFill="background1" w:themeFillShade="D9"/>
          </w:tcPr>
          <w:p w14:paraId="1CDBC4E8" w14:textId="77777777" w:rsidR="00445145" w:rsidRDefault="00445145" w:rsidP="009323A6">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9323A6">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9323A6">
            <w:pPr>
              <w:rPr>
                <w:b/>
                <w:bCs/>
                <w:lang w:val="en-US"/>
              </w:rPr>
            </w:pPr>
            <w:r>
              <w:rPr>
                <w:b/>
                <w:bCs/>
                <w:lang w:val="en-US"/>
              </w:rPr>
              <w:t>Comments</w:t>
            </w:r>
          </w:p>
        </w:tc>
      </w:tr>
      <w:tr w:rsidR="00445145" w14:paraId="1A633487" w14:textId="77777777" w:rsidTr="009323A6">
        <w:tc>
          <w:tcPr>
            <w:tcW w:w="1479" w:type="dxa"/>
          </w:tcPr>
          <w:p w14:paraId="430FFEB4" w14:textId="77777777" w:rsidR="00445145" w:rsidRDefault="00445145" w:rsidP="009323A6">
            <w:pPr>
              <w:rPr>
                <w:rFonts w:eastAsiaTheme="minorEastAsia"/>
                <w:lang w:val="en-US" w:eastAsia="zh-CN"/>
              </w:rPr>
            </w:pPr>
          </w:p>
        </w:tc>
        <w:tc>
          <w:tcPr>
            <w:tcW w:w="1372" w:type="dxa"/>
          </w:tcPr>
          <w:p w14:paraId="57AB1435" w14:textId="77777777" w:rsidR="00445145" w:rsidRDefault="00445145" w:rsidP="009323A6">
            <w:pPr>
              <w:tabs>
                <w:tab w:val="left" w:pos="551"/>
              </w:tabs>
              <w:rPr>
                <w:rFonts w:eastAsiaTheme="minorEastAsia"/>
                <w:lang w:val="en-US" w:eastAsia="zh-CN"/>
              </w:rPr>
            </w:pPr>
          </w:p>
        </w:tc>
        <w:tc>
          <w:tcPr>
            <w:tcW w:w="6780" w:type="dxa"/>
          </w:tcPr>
          <w:p w14:paraId="593326C5" w14:textId="77777777" w:rsidR="00445145" w:rsidRDefault="00445145" w:rsidP="009323A6">
            <w:pPr>
              <w:rPr>
                <w:rFonts w:eastAsiaTheme="minorEastAsia"/>
                <w:lang w:val="en-US" w:eastAsia="zh-CN"/>
              </w:rPr>
            </w:pPr>
          </w:p>
        </w:tc>
      </w:tr>
      <w:tr w:rsidR="00445145" w14:paraId="294124A9" w14:textId="77777777" w:rsidTr="009323A6">
        <w:tc>
          <w:tcPr>
            <w:tcW w:w="1479" w:type="dxa"/>
          </w:tcPr>
          <w:p w14:paraId="6AE2D42A" w14:textId="77777777" w:rsidR="00445145" w:rsidRDefault="00445145" w:rsidP="009323A6">
            <w:pPr>
              <w:rPr>
                <w:rFonts w:eastAsiaTheme="minorEastAsia"/>
                <w:lang w:val="en-US" w:eastAsia="zh-CN"/>
              </w:rPr>
            </w:pPr>
          </w:p>
        </w:tc>
        <w:tc>
          <w:tcPr>
            <w:tcW w:w="1372" w:type="dxa"/>
          </w:tcPr>
          <w:p w14:paraId="1AF24725" w14:textId="77777777" w:rsidR="00445145" w:rsidRDefault="00445145" w:rsidP="009323A6">
            <w:pPr>
              <w:tabs>
                <w:tab w:val="left" w:pos="551"/>
              </w:tabs>
              <w:rPr>
                <w:rFonts w:eastAsiaTheme="minorEastAsia"/>
                <w:lang w:val="en-US" w:eastAsia="zh-CN"/>
              </w:rPr>
            </w:pPr>
          </w:p>
        </w:tc>
        <w:tc>
          <w:tcPr>
            <w:tcW w:w="6780" w:type="dxa"/>
          </w:tcPr>
          <w:p w14:paraId="5BA021E5" w14:textId="77777777" w:rsidR="00445145" w:rsidRDefault="00445145" w:rsidP="009323A6">
            <w:pPr>
              <w:rPr>
                <w:rFonts w:eastAsiaTheme="minorEastAsia"/>
                <w:lang w:val="en-US" w:eastAsia="zh-CN"/>
              </w:rPr>
            </w:pPr>
          </w:p>
        </w:tc>
      </w:tr>
      <w:tr w:rsidR="00445145" w14:paraId="205B59B4" w14:textId="77777777" w:rsidTr="009323A6">
        <w:tc>
          <w:tcPr>
            <w:tcW w:w="1479" w:type="dxa"/>
          </w:tcPr>
          <w:p w14:paraId="43283266" w14:textId="77777777" w:rsidR="00445145" w:rsidRDefault="00445145" w:rsidP="009323A6">
            <w:pPr>
              <w:rPr>
                <w:rFonts w:eastAsiaTheme="minorEastAsia"/>
                <w:lang w:val="en-US" w:eastAsia="zh-CN"/>
              </w:rPr>
            </w:pPr>
          </w:p>
        </w:tc>
        <w:tc>
          <w:tcPr>
            <w:tcW w:w="1372" w:type="dxa"/>
          </w:tcPr>
          <w:p w14:paraId="78224612" w14:textId="77777777" w:rsidR="00445145" w:rsidRDefault="00445145" w:rsidP="009323A6">
            <w:pPr>
              <w:tabs>
                <w:tab w:val="left" w:pos="551"/>
              </w:tabs>
              <w:rPr>
                <w:rFonts w:eastAsiaTheme="minorEastAsia"/>
                <w:lang w:val="en-US" w:eastAsia="zh-CN"/>
              </w:rPr>
            </w:pPr>
          </w:p>
        </w:tc>
        <w:tc>
          <w:tcPr>
            <w:tcW w:w="6780" w:type="dxa"/>
          </w:tcPr>
          <w:p w14:paraId="55E72AA2" w14:textId="77777777" w:rsidR="00445145" w:rsidRDefault="00445145" w:rsidP="009323A6">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lastRenderedPageBreak/>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a"/>
        <w:jc w:val="center"/>
        <w:rPr>
          <w:rFonts w:eastAsiaTheme="minorEastAsia"/>
        </w:rPr>
      </w:pPr>
      <w:r w:rsidRPr="0029327A">
        <w:rPr>
          <w:noProof/>
        </w:rPr>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a"/>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aff"/>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f"/>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f"/>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 xml:space="preserve">[17] observed </w:t>
      </w:r>
      <w:proofErr w:type="spellStart"/>
      <w:proofErr w:type="gramStart"/>
      <w:r w:rsidRPr="0029327A">
        <w:rPr>
          <w:rFonts w:eastAsiaTheme="minorEastAsia"/>
          <w:sz w:val="20"/>
          <w:szCs w:val="20"/>
          <w:lang w:val="en-US" w:eastAsia="zh-CN"/>
        </w:rPr>
        <w:t>that“</w:t>
      </w:r>
      <w:proofErr w:type="gramEnd"/>
      <w:r w:rsidRPr="0029327A">
        <w:rPr>
          <w:rFonts w:eastAsiaTheme="minorEastAsia"/>
          <w:sz w:val="20"/>
          <w:szCs w:val="20"/>
          <w:lang w:val="en-US" w:eastAsia="zh-CN"/>
        </w:rPr>
        <w:t>DMRS</w:t>
      </w:r>
      <w:proofErr w:type="spellEnd"/>
      <w:r w:rsidRPr="0029327A">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f"/>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8667F7" w14:paraId="5BF5CA6A" w14:textId="77777777" w:rsidTr="003935C9">
        <w:tc>
          <w:tcPr>
            <w:tcW w:w="1479" w:type="dxa"/>
          </w:tcPr>
          <w:p w14:paraId="5AECA9CF" w14:textId="77777777" w:rsidR="008667F7" w:rsidRDefault="008667F7" w:rsidP="003935C9">
            <w:pPr>
              <w:rPr>
                <w:rFonts w:eastAsiaTheme="minorEastAsia"/>
                <w:lang w:val="en-US" w:eastAsia="zh-CN"/>
              </w:rPr>
            </w:pPr>
          </w:p>
        </w:tc>
        <w:tc>
          <w:tcPr>
            <w:tcW w:w="1372" w:type="dxa"/>
          </w:tcPr>
          <w:p w14:paraId="443B49BC" w14:textId="77777777" w:rsidR="008667F7" w:rsidRDefault="008667F7" w:rsidP="003935C9">
            <w:pPr>
              <w:tabs>
                <w:tab w:val="left" w:pos="551"/>
              </w:tabs>
              <w:rPr>
                <w:rFonts w:eastAsiaTheme="minorEastAsia"/>
                <w:lang w:val="en-US" w:eastAsia="zh-CN"/>
              </w:rPr>
            </w:pPr>
          </w:p>
        </w:tc>
        <w:tc>
          <w:tcPr>
            <w:tcW w:w="6780" w:type="dxa"/>
          </w:tcPr>
          <w:p w14:paraId="31887B7A" w14:textId="77777777" w:rsidR="008667F7" w:rsidRDefault="008667F7" w:rsidP="003935C9">
            <w:pPr>
              <w:rPr>
                <w:rFonts w:eastAsiaTheme="minorEastAsia"/>
                <w:lang w:val="en-US" w:eastAsia="zh-CN"/>
              </w:rPr>
            </w:pP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B73698" w:rsidP="00997432">
            <w:pPr>
              <w:adjustRightInd w:val="0"/>
              <w:snapToGrid w:val="0"/>
              <w:spacing w:afterLines="50" w:after="120" w:line="240" w:lineRule="auto"/>
              <w:rPr>
                <w:lang w:val="en-US"/>
              </w:rPr>
            </w:pPr>
            <w:hyperlink r:id="rId22" w:history="1">
              <w:r w:rsidR="00997432" w:rsidRPr="003946C5">
                <w:rPr>
                  <w:rStyle w:val="afb"/>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B73698" w:rsidP="00997432">
            <w:pPr>
              <w:adjustRightInd w:val="0"/>
              <w:snapToGrid w:val="0"/>
              <w:spacing w:afterLines="50" w:after="120" w:line="240" w:lineRule="auto"/>
            </w:pPr>
            <w:hyperlink r:id="rId23" w:history="1">
              <w:r w:rsidR="00997432" w:rsidRPr="003946C5">
                <w:rPr>
                  <w:rStyle w:val="afb"/>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Spreadtrum</w:t>
            </w:r>
            <w:proofErr w:type="spellEnd"/>
            <w:r w:rsidRPr="003946C5">
              <w:rPr>
                <w:rFonts w:ascii="Arial" w:hAnsi="Arial" w:cs="Arial"/>
                <w:sz w:val="16"/>
                <w:szCs w:val="16"/>
              </w:rPr>
              <w:t>,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B73698" w:rsidP="00997432">
            <w:pPr>
              <w:adjustRightInd w:val="0"/>
              <w:snapToGrid w:val="0"/>
              <w:spacing w:afterLines="50" w:after="120" w:line="240" w:lineRule="auto"/>
              <w:rPr>
                <w:bCs/>
              </w:rPr>
            </w:pPr>
            <w:hyperlink r:id="rId24" w:history="1">
              <w:r w:rsidR="00997432" w:rsidRPr="003946C5">
                <w:rPr>
                  <w:rStyle w:val="afb"/>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B73698" w:rsidP="00997432">
            <w:pPr>
              <w:adjustRightInd w:val="0"/>
              <w:snapToGrid w:val="0"/>
              <w:spacing w:afterLines="50" w:after="120" w:line="240" w:lineRule="auto"/>
            </w:pPr>
            <w:hyperlink r:id="rId25" w:history="1">
              <w:r w:rsidR="00997432" w:rsidRPr="003946C5">
                <w:rPr>
                  <w:rStyle w:val="afb"/>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ZTE Corporation, </w:t>
            </w:r>
            <w:proofErr w:type="spellStart"/>
            <w:r w:rsidRPr="003946C5">
              <w:rPr>
                <w:rFonts w:ascii="Arial" w:hAnsi="Arial" w:cs="Arial"/>
                <w:sz w:val="16"/>
                <w:szCs w:val="16"/>
              </w:rPr>
              <w:t>Sanechips</w:t>
            </w:r>
            <w:proofErr w:type="spellEnd"/>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B73698" w:rsidP="00997432">
            <w:pPr>
              <w:adjustRightInd w:val="0"/>
              <w:snapToGrid w:val="0"/>
              <w:spacing w:afterLines="50" w:after="120" w:line="240" w:lineRule="auto"/>
            </w:pPr>
            <w:hyperlink r:id="rId26" w:history="1">
              <w:r w:rsidR="00997432" w:rsidRPr="003946C5">
                <w:rPr>
                  <w:rStyle w:val="afb"/>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B73698" w:rsidP="00997432">
            <w:pPr>
              <w:adjustRightInd w:val="0"/>
              <w:snapToGrid w:val="0"/>
              <w:spacing w:afterLines="50" w:after="120" w:line="240" w:lineRule="auto"/>
            </w:pPr>
            <w:hyperlink r:id="rId27" w:history="1">
              <w:r w:rsidR="00997432" w:rsidRPr="003946C5">
                <w:rPr>
                  <w:rStyle w:val="afb"/>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B73698" w:rsidP="00997432">
            <w:pPr>
              <w:adjustRightInd w:val="0"/>
              <w:snapToGrid w:val="0"/>
              <w:spacing w:afterLines="50" w:after="120" w:line="240" w:lineRule="auto"/>
            </w:pPr>
            <w:hyperlink r:id="rId28" w:history="1">
              <w:r w:rsidR="00997432" w:rsidRPr="003946C5">
                <w:rPr>
                  <w:rStyle w:val="afb"/>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B73698" w:rsidP="00997432">
            <w:pPr>
              <w:adjustRightInd w:val="0"/>
              <w:snapToGrid w:val="0"/>
              <w:spacing w:afterLines="50" w:after="120" w:line="240" w:lineRule="auto"/>
            </w:pPr>
            <w:hyperlink r:id="rId29" w:history="1">
              <w:r w:rsidR="00997432" w:rsidRPr="003946C5">
                <w:rPr>
                  <w:rStyle w:val="afb"/>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B73698" w:rsidP="00997432">
            <w:pPr>
              <w:adjustRightInd w:val="0"/>
              <w:snapToGrid w:val="0"/>
              <w:spacing w:afterLines="50" w:after="120" w:line="240" w:lineRule="auto"/>
            </w:pPr>
            <w:hyperlink r:id="rId30" w:history="1">
              <w:r w:rsidR="00997432" w:rsidRPr="003946C5">
                <w:rPr>
                  <w:rStyle w:val="afb"/>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B73698" w:rsidP="00997432">
            <w:pPr>
              <w:adjustRightInd w:val="0"/>
              <w:snapToGrid w:val="0"/>
              <w:spacing w:afterLines="50" w:after="120" w:line="240" w:lineRule="auto"/>
              <w:rPr>
                <w:bCs/>
              </w:rPr>
            </w:pPr>
            <w:hyperlink r:id="rId31" w:history="1">
              <w:r w:rsidR="00997432" w:rsidRPr="003946C5">
                <w:rPr>
                  <w:rStyle w:val="afb"/>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B73698" w:rsidP="00997432">
            <w:pPr>
              <w:adjustRightInd w:val="0"/>
              <w:snapToGrid w:val="0"/>
              <w:spacing w:afterLines="50" w:after="120" w:line="240" w:lineRule="auto"/>
            </w:pPr>
            <w:hyperlink r:id="rId32" w:history="1">
              <w:r w:rsidR="00997432" w:rsidRPr="003946C5">
                <w:rPr>
                  <w:rStyle w:val="afb"/>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B73698" w:rsidP="00997432">
            <w:pPr>
              <w:adjustRightInd w:val="0"/>
              <w:snapToGrid w:val="0"/>
              <w:spacing w:afterLines="50" w:after="120" w:line="240" w:lineRule="auto"/>
            </w:pPr>
            <w:hyperlink r:id="rId33" w:history="1">
              <w:r w:rsidR="00997432" w:rsidRPr="003946C5">
                <w:rPr>
                  <w:rStyle w:val="afb"/>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B73698" w:rsidP="00997432">
            <w:pPr>
              <w:adjustRightInd w:val="0"/>
              <w:snapToGrid w:val="0"/>
              <w:spacing w:afterLines="50" w:after="120" w:line="240" w:lineRule="auto"/>
            </w:pPr>
            <w:hyperlink r:id="rId34" w:history="1">
              <w:r w:rsidR="00997432" w:rsidRPr="003946C5">
                <w:rPr>
                  <w:rStyle w:val="afb"/>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B73698" w:rsidP="00997432">
            <w:pPr>
              <w:adjustRightInd w:val="0"/>
              <w:snapToGrid w:val="0"/>
              <w:spacing w:afterLines="50" w:after="120" w:line="240" w:lineRule="auto"/>
              <w:rPr>
                <w:bCs/>
              </w:rPr>
            </w:pPr>
            <w:hyperlink r:id="rId35" w:history="1">
              <w:r w:rsidR="00997432" w:rsidRPr="003946C5">
                <w:rPr>
                  <w:rStyle w:val="afb"/>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B73698" w:rsidP="00997432">
            <w:pPr>
              <w:adjustRightInd w:val="0"/>
              <w:snapToGrid w:val="0"/>
              <w:spacing w:afterLines="50" w:after="120" w:line="240" w:lineRule="auto"/>
            </w:pPr>
            <w:hyperlink r:id="rId36" w:history="1">
              <w:r w:rsidR="00997432" w:rsidRPr="003946C5">
                <w:rPr>
                  <w:rStyle w:val="afb"/>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B73698" w:rsidP="00997432">
            <w:pPr>
              <w:adjustRightInd w:val="0"/>
              <w:snapToGrid w:val="0"/>
              <w:spacing w:afterLines="50" w:after="120" w:line="240" w:lineRule="auto"/>
            </w:pPr>
            <w:hyperlink r:id="rId37" w:history="1">
              <w:r w:rsidR="00997432" w:rsidRPr="003946C5">
                <w:rPr>
                  <w:rStyle w:val="afb"/>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B73698" w:rsidP="00997432">
            <w:pPr>
              <w:adjustRightInd w:val="0"/>
              <w:snapToGrid w:val="0"/>
              <w:spacing w:afterLines="50" w:after="120" w:line="240" w:lineRule="auto"/>
            </w:pPr>
            <w:hyperlink r:id="rId38" w:history="1">
              <w:r w:rsidR="00997432" w:rsidRPr="003946C5">
                <w:rPr>
                  <w:rStyle w:val="afb"/>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B73698" w:rsidP="00997432">
            <w:pPr>
              <w:adjustRightInd w:val="0"/>
              <w:snapToGrid w:val="0"/>
              <w:spacing w:afterLines="50" w:after="120" w:line="240" w:lineRule="auto"/>
            </w:pPr>
            <w:hyperlink r:id="rId39" w:history="1">
              <w:r w:rsidR="00997432" w:rsidRPr="003946C5">
                <w:rPr>
                  <w:rStyle w:val="afb"/>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B73698" w:rsidP="00997432">
            <w:pPr>
              <w:adjustRightInd w:val="0"/>
              <w:snapToGrid w:val="0"/>
              <w:spacing w:afterLines="50" w:after="120" w:line="240" w:lineRule="auto"/>
            </w:pPr>
            <w:hyperlink r:id="rId40" w:history="1">
              <w:r w:rsidR="00997432" w:rsidRPr="003946C5">
                <w:rPr>
                  <w:rStyle w:val="afb"/>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9C21" w14:textId="77777777" w:rsidR="00B73698" w:rsidRDefault="00B73698">
      <w:pPr>
        <w:spacing w:line="240" w:lineRule="auto"/>
      </w:pPr>
      <w:r>
        <w:separator/>
      </w:r>
    </w:p>
  </w:endnote>
  <w:endnote w:type="continuationSeparator" w:id="0">
    <w:p w14:paraId="09B69363" w14:textId="77777777" w:rsidR="00B73698" w:rsidRDefault="00B73698">
      <w:pPr>
        <w:spacing w:line="240" w:lineRule="auto"/>
      </w:pPr>
      <w:r>
        <w:continuationSeparator/>
      </w:r>
    </w:p>
  </w:endnote>
  <w:endnote w:type="continuationNotice" w:id="1">
    <w:p w14:paraId="258B0BBD" w14:textId="77777777" w:rsidR="00B73698" w:rsidRDefault="00B73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F591" w14:textId="77777777" w:rsidR="00B73698" w:rsidRDefault="00B73698">
      <w:pPr>
        <w:spacing w:after="0"/>
      </w:pPr>
      <w:r>
        <w:separator/>
      </w:r>
    </w:p>
  </w:footnote>
  <w:footnote w:type="continuationSeparator" w:id="0">
    <w:p w14:paraId="53780855" w14:textId="77777777" w:rsidR="00B73698" w:rsidRDefault="00B73698">
      <w:pPr>
        <w:spacing w:after="0"/>
      </w:pPr>
      <w:r>
        <w:continuationSeparator/>
      </w:r>
    </w:p>
  </w:footnote>
  <w:footnote w:type="continuationNotice" w:id="1">
    <w:p w14:paraId="610611AF" w14:textId="77777777" w:rsidR="00B73698" w:rsidRDefault="00B736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720"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18"/>
  </w:num>
  <w:num w:numId="6">
    <w:abstractNumId w:val="22"/>
    <w:lvlOverride w:ilvl="0">
      <w:startOverride w:val="1"/>
    </w:lvlOverride>
  </w:num>
  <w:num w:numId="7">
    <w:abstractNumId w:val="23"/>
  </w:num>
  <w:num w:numId="8">
    <w:abstractNumId w:val="29"/>
  </w:num>
  <w:num w:numId="9">
    <w:abstractNumId w:val="0"/>
  </w:num>
  <w:num w:numId="10">
    <w:abstractNumId w:val="10"/>
  </w:num>
  <w:num w:numId="11">
    <w:abstractNumId w:val="37"/>
  </w:num>
  <w:num w:numId="12">
    <w:abstractNumId w:val="4"/>
  </w:num>
  <w:num w:numId="13">
    <w:abstractNumId w:val="19"/>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39"/>
  </w:num>
  <w:num w:numId="17">
    <w:abstractNumId w:val="42"/>
  </w:num>
  <w:num w:numId="18">
    <w:abstractNumId w:val="17"/>
  </w:num>
  <w:num w:numId="19">
    <w:abstractNumId w:val="14"/>
  </w:num>
  <w:num w:numId="20">
    <w:abstractNumId w:val="41"/>
  </w:num>
  <w:num w:numId="21">
    <w:abstractNumId w:val="40"/>
  </w:num>
  <w:num w:numId="22">
    <w:abstractNumId w:val="30"/>
  </w:num>
  <w:num w:numId="23">
    <w:abstractNumId w:val="31"/>
  </w:num>
  <w:num w:numId="24">
    <w:abstractNumId w:val="32"/>
  </w:num>
  <w:num w:numId="25">
    <w:abstractNumId w:val="35"/>
  </w:num>
  <w:num w:numId="26">
    <w:abstractNumId w:val="33"/>
  </w:num>
  <w:num w:numId="27">
    <w:abstractNumId w:val="26"/>
  </w:num>
  <w:num w:numId="28">
    <w:abstractNumId w:val="36"/>
  </w:num>
  <w:num w:numId="29">
    <w:abstractNumId w:val="13"/>
  </w:num>
  <w:num w:numId="30">
    <w:abstractNumId w:val="15"/>
  </w:num>
  <w:num w:numId="31">
    <w:abstractNumId w:val="34"/>
  </w:num>
  <w:num w:numId="32">
    <w:abstractNumId w:val="27"/>
  </w:num>
  <w:num w:numId="33">
    <w:abstractNumId w:val="12"/>
  </w:num>
  <w:num w:numId="34">
    <w:abstractNumId w:val="38"/>
  </w:num>
  <w:num w:numId="35">
    <w:abstractNumId w:val="25"/>
  </w:num>
  <w:num w:numId="36">
    <w:abstractNumId w:val="5"/>
  </w:num>
  <w:num w:numId="37">
    <w:abstractNumId w:val="20"/>
  </w:num>
  <w:num w:numId="38">
    <w:abstractNumId w:val="24"/>
  </w:num>
  <w:num w:numId="39">
    <w:abstractNumId w:val="7"/>
  </w:num>
  <w:num w:numId="40">
    <w:abstractNumId w:val="28"/>
  </w:num>
  <w:num w:numId="41">
    <w:abstractNumId w:val="8"/>
  </w:num>
  <w:num w:numId="42">
    <w:abstractNumId w:val="9"/>
  </w:num>
  <w:num w:numId="43">
    <w:abstractNumId w:val="45"/>
  </w:num>
  <w:num w:numId="44">
    <w:abstractNumId w:val="43"/>
  </w:num>
  <w:num w:numId="45">
    <w:abstractNumId w:val="21"/>
  </w:num>
  <w:num w:numId="46">
    <w:abstractNumId w:val="44"/>
  </w:num>
  <w:num w:numId="47">
    <w:abstractNumId w:val="6"/>
  </w:num>
  <w:num w:numId="48">
    <w:abstractNumId w:val="6"/>
  </w:num>
  <w:num w:numId="49">
    <w:abstractNumId w:val="6"/>
  </w:num>
  <w:num w:numId="50">
    <w:abstractNumId w:val="6"/>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F0"/>
    <w:rsid w:val="00455327"/>
    <w:rsid w:val="004554D1"/>
    <w:rsid w:val="00455891"/>
    <w:rsid w:val="00455C07"/>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3009"/>
    <w:rsid w:val="00553174"/>
    <w:rsid w:val="0055317C"/>
    <w:rsid w:val="00553180"/>
    <w:rsid w:val="00553B8F"/>
    <w:rsid w:val="00553DC7"/>
    <w:rsid w:val="00553EBF"/>
    <w:rsid w:val="005540BE"/>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521E"/>
    <w:rsid w:val="00635249"/>
    <w:rsid w:val="0063552E"/>
    <w:rsid w:val="0063564B"/>
    <w:rsid w:val="00635A33"/>
    <w:rsid w:val="00635B68"/>
    <w:rsid w:val="00635BEB"/>
    <w:rsid w:val="00635CCA"/>
    <w:rsid w:val="00635CEB"/>
    <w:rsid w:val="00635D3E"/>
    <w:rsid w:val="00635E28"/>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88"/>
    <w:rsid w:val="006C1127"/>
    <w:rsid w:val="006C146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CC5"/>
    <w:rsid w:val="009F1EB0"/>
    <w:rsid w:val="009F23EE"/>
    <w:rsid w:val="009F258C"/>
    <w:rsid w:val="009F27FE"/>
    <w:rsid w:val="009F2D03"/>
    <w:rsid w:val="009F2D37"/>
    <w:rsid w:val="009F3165"/>
    <w:rsid w:val="009F3267"/>
    <w:rsid w:val="009F326E"/>
    <w:rsid w:val="009F3496"/>
    <w:rsid w:val="009F38AD"/>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EC"/>
    <w:rsid w:val="00AC6F7C"/>
    <w:rsid w:val="00AC72B7"/>
    <w:rsid w:val="00AC7650"/>
    <w:rsid w:val="00AC79FB"/>
    <w:rsid w:val="00AC7C8A"/>
    <w:rsid w:val="00AC7D70"/>
    <w:rsid w:val="00AD0027"/>
    <w:rsid w:val="00AD017F"/>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48B"/>
    <w:rsid w:val="00B07639"/>
    <w:rsid w:val="00B0792A"/>
    <w:rsid w:val="00B0796D"/>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F0"/>
    <w:rsid w:val="00B65C76"/>
    <w:rsid w:val="00B65CF2"/>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9A7"/>
    <w:rsid w:val="00B70B87"/>
    <w:rsid w:val="00B70DD0"/>
    <w:rsid w:val="00B70DFF"/>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C88"/>
    <w:rsid w:val="00C630A6"/>
    <w:rsid w:val="00C63139"/>
    <w:rsid w:val="00C631D2"/>
    <w:rsid w:val="00C63208"/>
    <w:rsid w:val="00C6323D"/>
    <w:rsid w:val="00C632B4"/>
    <w:rsid w:val="00C63792"/>
    <w:rsid w:val="00C638C3"/>
    <w:rsid w:val="00C63E6C"/>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C6A"/>
    <w:rsid w:val="00F93256"/>
    <w:rsid w:val="00F93431"/>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8CDC3B12-48F2-46B8-B03A-473B10EF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0"/>
    <w:qFormat/>
    <w:pPr>
      <w:tabs>
        <w:tab w:val="left" w:pos="772"/>
      </w:tabs>
      <w:spacing w:after="100" w:afterAutospacing="1"/>
      <w:outlineLvl w:val="1"/>
    </w:pPr>
    <w:rPr>
      <w:lang w:val="en-US"/>
    </w:rPr>
  </w:style>
  <w:style w:type="paragraph" w:styleId="31">
    <w:name w:val="heading 3"/>
    <w:aliases w:val="Heading 3 3GPP"/>
    <w:basedOn w:val="2"/>
    <w:next w:val="a0"/>
    <w:link w:val="32"/>
    <w:qFormat/>
    <w:pPr>
      <w:numPr>
        <w:ilvl w:val="2"/>
        <w:numId w:val="1"/>
      </w:numPr>
      <w:tabs>
        <w:tab w:val="left" w:pos="360"/>
        <w:tab w:val="left" w:pos="926"/>
      </w:tabs>
      <w:spacing w:before="1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aliases w:val="Heading 3 3GPP 字符"/>
    <w:link w:val="31"/>
    <w:qFormat/>
    <w:rPr>
      <w:sz w:val="28"/>
      <w:lang w:eastAsia="en-US"/>
    </w:rPr>
  </w:style>
  <w:style w:type="character" w:customStyle="1" w:styleId="afe">
    <w:name w:val="列表段落 字符"/>
    <w:aliases w:val="- Bullets 字符,목록 단락 字符,リスト段落 字符,?? ?? 字符,????? 字符,???? 字符,Lista1 字符,列出段落1 字符,中等深浅网格 1 - 着色 21 字符,列出段落 字符,¥¡¡¡¡ì¬º¥¹¥È¶ÎÂä 字符,ÁÐ³ö¶ÎÂä 字符,¥ê¥¹¥È¶ÎÂä 字符,列表段落1 字符,—ño’i—Ž 字符,1st level - Bullet List Paragraph 字符,Lettre d'introduction 字符,列表段落11 字符"/>
    <w:link w:val="aff"/>
    <w:uiPriority w:val="34"/>
    <w:qFormat/>
    <w:locked/>
    <w:rPr>
      <w:rFonts w:ascii="Times" w:eastAsia="宋体" w:hAnsi="Times" w:cs="Times"/>
      <w:sz w:val="22"/>
      <w:szCs w:val="24"/>
      <w:lang w:eastAsia="ja-JP"/>
    </w:rPr>
  </w:style>
  <w:style w:type="paragraph" w:styleId="aff">
    <w:name w:val="List Paragraph"/>
    <w:aliases w:val="- Bullets,목록 단락,リスト段落,?? ??,?????,????,Lista1,列出段落1,中等深浅网格 1 - 着色 21,列出段落,¥¡¡¡¡ì¬º¥¹¥È¶ÎÂä,ÁÐ³ö¶ÎÂä,¥ê¥¹¥È¶ÎÂä,列表段落1,—ño’i—Ž,1st level - Bullet List Paragraph,Lettre d'introduction,Paragrafo elenco,Normal bullet 2,Bullet list,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aliases w:val="H2 字符,h2 字符,DO NOT USE_h2 字符,h21 字符,Heading 2 3GPP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a"/>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62C7306-801E-4A42-A490-0A6689CF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7879</Words>
  <Characters>44912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52686</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Siqi Liu(vivo)</cp:lastModifiedBy>
  <cp:revision>10</cp:revision>
  <dcterms:created xsi:type="dcterms:W3CDTF">2026-02-07T08:17:00Z</dcterms:created>
  <dcterms:modified xsi:type="dcterms:W3CDTF">2026-02-08T04:22:00Z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