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r w:rsidRPr="00CE0424">
        <w:rPr>
          <w:sz w:val="32"/>
          <w:szCs w:val="32"/>
        </w:rPr>
        <w:t xml:space="preserve">Tdoc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r w:rsidRPr="00D54605">
              <w:rPr>
                <w:rFonts w:ascii="Calibri" w:hAnsi="Calibri" w:cs="Calibri"/>
                <w:szCs w:val="22"/>
              </w:rPr>
              <w:t>InterDigital,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 xml:space="preserve">The UE shall be able to request for TRP-LocationInfo-Implicit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r w:rsidRPr="00D54605">
        <w:rPr>
          <w:rFonts w:ascii="Calibri" w:hAnsi="Calibri" w:cs="Calibri"/>
        </w:rPr>
        <w:t>InterDigital</w:t>
      </w:r>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r>
        <w:rPr>
          <w:rFonts w:eastAsiaTheme="minorEastAsia" w:cs="Arial"/>
          <w:lang w:eastAsia="ko-KR"/>
        </w:rPr>
        <w:t>the associated ID may always be provided to the UE which may lead to an increase in signaling overhead and creates potentially frequently communication between the LMF and gNB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by InterDigital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r w:rsidRPr="002A06AC">
        <w:rPr>
          <w:b/>
          <w:bCs/>
        </w:rPr>
        <w:t>InterDigital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HW/HiSi</w:t>
            </w:r>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InterDigital. In our view, all aspects related to Associated ID should be solved by RAN1. The solution raised by RAN1 may impact 38.214 and 37.355 (RAN2). </w:t>
            </w:r>
            <w:r>
              <w:br/>
            </w:r>
            <w:r>
              <w:br/>
              <w:t xml:space="preserve">The UE should be able to request the </w:t>
            </w:r>
            <w:r w:rsidRPr="00D54605">
              <w:rPr>
                <w:i/>
                <w:iCs/>
                <w:lang w:val="en-GB"/>
              </w:rPr>
              <w:t>TRP-LocationInfo-Implicit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InterDigital.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r>
              <w:t>InterDIgital</w:t>
            </w:r>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TRP-LocationInfo-Implicit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lastRenderedPageBreak/>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InterDigital), this request is unnecessary as the </w:t>
            </w:r>
            <w:r w:rsidRPr="00FE6751">
              <w:rPr>
                <w:i/>
                <w:iCs/>
              </w:rPr>
              <w:t>nr-TRP-LocationInfo-Implicit</w:t>
            </w:r>
            <w:r>
              <w:rPr>
                <w:rFonts w:eastAsiaTheme="minorEastAsia" w:hint="eastAsia"/>
              </w:rPr>
              <w:t xml:space="preserve">(including associated ID) is optional in </w:t>
            </w:r>
            <w:r w:rsidRPr="00B6529D">
              <w:rPr>
                <w:i/>
                <w:iCs/>
              </w:rPr>
              <w:t>NR-PositionCalculationAssistance</w:t>
            </w:r>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r>
              <w:t xml:space="preserve">We do not support the conclusion. However, we support the proposal done by InterDigital. In our view this explicit request is beneficial for data collection and monitoring. In our view it is not an optimization related signalling.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r w:rsidR="00234753" w:rsidRPr="00D76D93" w14:paraId="63CD6481" w14:textId="77777777" w:rsidTr="002D6AD3">
        <w:tc>
          <w:tcPr>
            <w:tcW w:w="1411" w:type="dxa"/>
          </w:tcPr>
          <w:p w14:paraId="1F3086A8" w14:textId="634BB8FF" w:rsidR="00234753" w:rsidRPr="00234753" w:rsidRDefault="00234753" w:rsidP="00934A37">
            <w:pPr>
              <w:rPr>
                <w:rFonts w:eastAsia="Yu Mincho"/>
              </w:rPr>
            </w:pPr>
            <w:r>
              <w:rPr>
                <w:rFonts w:eastAsia="Yu Mincho" w:hint="eastAsia"/>
              </w:rPr>
              <w:t>DOCOMO</w:t>
            </w:r>
          </w:p>
        </w:tc>
        <w:tc>
          <w:tcPr>
            <w:tcW w:w="8574" w:type="dxa"/>
          </w:tcPr>
          <w:p w14:paraId="23AAA01E" w14:textId="32E92A68" w:rsidR="00234753" w:rsidRPr="00234753" w:rsidRDefault="00234753" w:rsidP="00934A37">
            <w:pPr>
              <w:rPr>
                <w:rFonts w:eastAsia="Yu Mincho"/>
              </w:rPr>
            </w:pPr>
            <w:r>
              <w:rPr>
                <w:rFonts w:eastAsia="Yu Mincho" w:hint="eastAsia"/>
              </w:rPr>
              <w:t>Support this conclusion.</w:t>
            </w:r>
          </w:p>
        </w:tc>
      </w:tr>
      <w:tr w:rsidR="00EF5CB0" w:rsidRPr="00D76D93" w14:paraId="2A2CC7B2" w14:textId="77777777" w:rsidTr="002D6AD3">
        <w:tc>
          <w:tcPr>
            <w:tcW w:w="1411" w:type="dxa"/>
          </w:tcPr>
          <w:p w14:paraId="7789B9A7" w14:textId="338FDE45" w:rsidR="00EF5CB0" w:rsidRDefault="00EF5CB0" w:rsidP="00934A37">
            <w:pPr>
              <w:rPr>
                <w:rFonts w:eastAsia="Yu Mincho"/>
              </w:rPr>
            </w:pPr>
            <w:r>
              <w:rPr>
                <w:rFonts w:eastAsia="Yu Mincho"/>
              </w:rPr>
              <w:t>InterDigital</w:t>
            </w:r>
          </w:p>
        </w:tc>
        <w:tc>
          <w:tcPr>
            <w:tcW w:w="8574" w:type="dxa"/>
          </w:tcPr>
          <w:p w14:paraId="79A42BAF" w14:textId="52EA6A37" w:rsidR="00EF5CB0" w:rsidRDefault="00EF5CB0" w:rsidP="00934A37">
            <w:pPr>
              <w:rPr>
                <w:rFonts w:eastAsia="Yu Mincho"/>
              </w:rPr>
            </w:pPr>
            <w:r>
              <w:rPr>
                <w:rFonts w:eastAsia="Yu Mincho"/>
              </w:rPr>
              <w:t>Same view as vivo and Nokia. We do not support this conclusion.</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r w:rsidRPr="00AE088A">
              <w:rPr>
                <w:rFonts w:ascii="Times" w:eastAsia="Times" w:hAnsi="Times" w:cs="Times"/>
                <w:sz w:val="20"/>
                <w:szCs w:val="20"/>
              </w:rPr>
              <w:t>If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lastRenderedPageBreak/>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along with a </w:t>
            </w:r>
            <w:r w:rsidRPr="00A05703">
              <w:rPr>
                <w:rFonts w:ascii="Times New Roman" w:eastAsia="Times" w:hAnsi="Times New Roman" w:cs="Times New Roman"/>
                <w:i/>
                <w:iCs/>
                <w:sz w:val="20"/>
                <w:szCs w:val="20"/>
              </w:rPr>
              <w:t>nr-DL-PRS-ResourceSetID</w:t>
            </w:r>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nr-PhysCellID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nr-CellGlobalID</w:t>
            </w:r>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nr-DL-PRS-ResourceSetID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nr-DL-PRS-ResourceID</w:t>
            </w:r>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nr-PhysCellID</w:t>
            </w:r>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nr-CellGlobalID</w:t>
            </w:r>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 xml:space="preserve">nr-PhysCellID </w:t>
            </w:r>
            <w:r w:rsidRPr="00A05703">
              <w:rPr>
                <w:rFonts w:ascii="Times New Roman" w:hAnsi="Times New Roman" w:cs="Times New Roman"/>
                <w:sz w:val="20"/>
              </w:rPr>
              <w:t xml:space="preserve">or </w:t>
            </w:r>
            <w:r w:rsidRPr="00A05703">
              <w:rPr>
                <w:rFonts w:ascii="Times New Roman" w:hAnsi="Times New Roman" w:cs="Times New Roman"/>
                <w:i/>
                <w:iCs/>
                <w:sz w:val="20"/>
              </w:rPr>
              <w:t xml:space="preserve">nr-CellGlobalID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nr-PhysCellID</w:t>
            </w:r>
            <w:r w:rsidRPr="00A05703">
              <w:rPr>
                <w:rFonts w:ascii="Times New Roman" w:hAnsi="Times New Roman" w:cs="Times New Roman"/>
                <w:sz w:val="20"/>
              </w:rPr>
              <w:t xml:space="preserve">, </w:t>
            </w:r>
            <w:r w:rsidRPr="00A05703">
              <w:rPr>
                <w:rFonts w:ascii="Times New Roman" w:hAnsi="Times New Roman" w:cs="Times New Roman"/>
                <w:i/>
                <w:iCs/>
                <w:sz w:val="20"/>
              </w:rPr>
              <w:t xml:space="preserve">nr-CellGlobalID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if provided, are the same as the corresponding information of a serving cell, the UE may assume that the DL PRS is transmitted from the serving cell;</w:t>
            </w:r>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Spatial direction information (e.g. azimuth, elevation etc.) of the DL-PRS Resources of the TRPs served by the gNB</w:t>
            </w:r>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Geographical coordinates of the TRPs served by the gNB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HW/HiSi</w:t>
            </w:r>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refering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lastRenderedPageBreak/>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nr-PhysCellID</w:t>
            </w:r>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nr-CellGlobalID</w:t>
            </w:r>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r w:rsidR="00234753" w:rsidRPr="00D76D93" w14:paraId="24035298" w14:textId="77777777" w:rsidTr="002D6AD3">
        <w:tc>
          <w:tcPr>
            <w:tcW w:w="1411" w:type="dxa"/>
          </w:tcPr>
          <w:p w14:paraId="69A0327C" w14:textId="2106DF3E" w:rsidR="00234753" w:rsidRDefault="00234753" w:rsidP="00234753">
            <w:r>
              <w:rPr>
                <w:rFonts w:eastAsia="Yu Mincho" w:hint="eastAsia"/>
              </w:rPr>
              <w:t>DOCOMO</w:t>
            </w:r>
          </w:p>
        </w:tc>
        <w:tc>
          <w:tcPr>
            <w:tcW w:w="8574" w:type="dxa"/>
          </w:tcPr>
          <w:p w14:paraId="41BDA8D9" w14:textId="4BDE6380" w:rsidR="00234753" w:rsidRDefault="00234753" w:rsidP="00234753">
            <w:r>
              <w:rPr>
                <w:rFonts w:eastAsia="Yu Mincho" w:hint="eastAsia"/>
              </w:rPr>
              <w:t>In my understanding, how to check for consistency with explicit indication is up to i</w:t>
            </w:r>
            <w:r>
              <w:rPr>
                <w:rFonts w:eastAsia="Yu Mincho"/>
              </w:rPr>
              <w:t>mplementation</w:t>
            </w:r>
            <w:r>
              <w:rPr>
                <w:rFonts w:eastAsia="Yu Mincho" w:hint="eastAsia"/>
              </w:rPr>
              <w:t>.</w:t>
            </w: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NR-TRP-LocationInfo-Implicit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w:t>
            </w:r>
            <w:r>
              <w:rPr>
                <w:rFonts w:ascii="Times New Roman" w:eastAsia="Times" w:hAnsi="Times New Roman" w:cs="Times New Roman"/>
                <w:color w:val="000000" w:themeColor="text1"/>
                <w:sz w:val="20"/>
              </w:rPr>
              <w:lastRenderedPageBreak/>
              <w:t xml:space="preserve">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TRP-LocationInfo-Implicit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TRP-LocationInfo-Implicit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at the UE. To this end, the UE can report the one or more </w:t>
            </w:r>
            <w:r w:rsidRPr="00AC5DEA">
              <w:rPr>
                <w:rFonts w:ascii="Times" w:eastAsia="DengXian" w:hAnsi="Times" w:cs="Times New Roman"/>
                <w:i/>
                <w:iCs/>
                <w:sz w:val="20"/>
                <w:lang w:eastAsia="x-none"/>
              </w:rPr>
              <w:t>NR-TRP-LocationInfo-Implicit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NR-TRP-LocationInfo-Implicit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lastRenderedPageBreak/>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NR-TRP-LocationInfo-Implicit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NR-TRP-LocationInfo-Implicit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NR-TRP-LocationInfo-Implicit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NR-TRP-LocationInfo-Implicit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NR-TRP-LocationInfo-Implicit</w:t>
      </w:r>
      <w:r w:rsidR="007C4FCF">
        <w:t>) without it being provided by LMF</w:t>
      </w:r>
      <w:r w:rsidR="003227F9">
        <w:t xml:space="preserve"> to UE</w:t>
      </w:r>
      <w:r w:rsidR="007C4FCF">
        <w:t xml:space="preserve">. Thus, it is not clear how the UE can report </w:t>
      </w:r>
      <w:r w:rsidR="007C4FCF" w:rsidRPr="00781954">
        <w:rPr>
          <w:i/>
          <w:iCs/>
        </w:rPr>
        <w:t>NR-TRP-LocationInfo-Implicit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Also, similar to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HW/HiSi</w:t>
            </w:r>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NR-TRP-LocationInfo-Implicit</w:t>
            </w:r>
            <w:r>
              <w:rPr>
                <w:i/>
                <w:iCs/>
              </w:rPr>
              <w:t xml:space="preserve">, e.g., </w:t>
            </w:r>
            <w:r w:rsidRPr="004340B0">
              <w:t>during</w:t>
            </w:r>
            <w:r>
              <w:t xml:space="preserve"> the</w:t>
            </w:r>
            <w:r w:rsidRPr="004340B0">
              <w:t xml:space="preserve"> training</w:t>
            </w:r>
            <w:r>
              <w:t xml:space="preserve"> of a model at the UE. Thus, the UE </w:t>
            </w:r>
            <w:r>
              <w:lastRenderedPageBreak/>
              <w:t>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As mentioned in our reply to Issue 2-1, we believe that this issue can be addressed by RAN1 together with the Issue 2-1,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lastRenderedPageBreak/>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NR-TRP-LocationInfo-Implicit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 xml:space="preserve">NR-TRP-LocationInfo-Implicit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NR-DL-AIML-RequestAssistanceData</w:t>
            </w:r>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signalling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the TP is impacting TS 38.214. So, what RAN2 may do or not is not part oft he discussion.</w:t>
            </w:r>
            <w:r w:rsidR="00661E56">
              <w:rPr>
                <w:rFonts w:ascii="Times New Roman" w:eastAsia="Batang" w:hAnsi="Times New Roman"/>
              </w:rPr>
              <w:br/>
            </w:r>
            <w:r w:rsidR="00661E56">
              <w:rPr>
                <w:rFonts w:ascii="Times New Roman" w:eastAsia="Batang" w:hAnsi="Times New Roman"/>
              </w:rPr>
              <w:br/>
              <w:t xml:space="preserve">The purpose is to provide practical usage of NR-TRP-LocationInfo-Implicit for data </w:t>
            </w:r>
            <w:r w:rsidR="00661E56">
              <w:rPr>
                <w:rFonts w:ascii="Times New Roman" w:eastAsia="Batang" w:hAnsi="Times New Roman"/>
              </w:rPr>
              <w:lastRenderedPageBreak/>
              <w:t xml:space="preserve">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lastRenderedPageBreak/>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t>2</w:t>
      </w:r>
      <w:r w:rsidRPr="00D76D93">
        <w:rPr>
          <w:vertAlign w:val="superscript"/>
        </w:rPr>
        <w:t>nd</w:t>
      </w:r>
      <w:r>
        <w:t xml:space="preserve"> round discussion</w:t>
      </w:r>
    </w:p>
    <w:p w14:paraId="2064AD1F" w14:textId="19BBE3A5" w:rsidR="00D76D93" w:rsidRDefault="00D76D93" w:rsidP="00D76D93">
      <w:r>
        <w:t>For the conclusion presented in 1st round, there is a suggestion to change to “no consensus to endorse the TP”. Thus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 xml:space="preserve">NR-TRP-LocationInfo-Implicit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 xml:space="preserve">NR-TRP-LocationInfo-Implicit </w:t>
            </w:r>
            <w:r>
              <w:t xml:space="preserve">(associated ID) in the request </w:t>
            </w:r>
            <w:r w:rsidRPr="002D6AD3">
              <w:t>NR-DL-AIML-RequestAssistanceData</w:t>
            </w:r>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HW/HiSi</w:t>
            </w:r>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r>
              <w:t>We do not support the conclusion. This type of conclusions are not helping the progress and discussion. In our view, the discussion should be limited to show our views on proposed TPs and nothing else.</w:t>
            </w:r>
            <w:r>
              <w:br/>
            </w:r>
            <w:r>
              <w:br/>
              <w:t xml:space="preserve">we request companies that are using the argument that it may be solved by </w:t>
            </w:r>
            <w:r>
              <w:lastRenderedPageBreak/>
              <w:t xml:space="preserve">implementation to provide further explanation to support their views. </w:t>
            </w:r>
            <w:r>
              <w:br/>
            </w:r>
            <w:r>
              <w:br/>
              <w:t xml:space="preserve">To companies indicating that RAN2 may solve it, we do not agree with such asssmption because RAN1 was the lead working group and because RAN2 did not introduced the concept of Associated ID (NR-TRP-LocationInfo).  </w:t>
            </w:r>
          </w:p>
        </w:tc>
      </w:tr>
      <w:tr w:rsidR="003D58ED" w:rsidRPr="00D76D93" w14:paraId="3193B580" w14:textId="77777777" w:rsidTr="002D6AD3">
        <w:tc>
          <w:tcPr>
            <w:tcW w:w="1411" w:type="dxa"/>
          </w:tcPr>
          <w:p w14:paraId="59FF849E" w14:textId="09F70F77" w:rsidR="003D58ED" w:rsidRDefault="003D58ED" w:rsidP="00934A37">
            <w:r>
              <w:lastRenderedPageBreak/>
              <w:t>Qualcomm</w:t>
            </w:r>
          </w:p>
        </w:tc>
        <w:tc>
          <w:tcPr>
            <w:tcW w:w="8574" w:type="dxa"/>
          </w:tcPr>
          <w:p w14:paraId="3A8F96A9" w14:textId="25E89079" w:rsidR="003D58ED" w:rsidRDefault="003D58ED" w:rsidP="00934A37">
            <w:r>
              <w:t xml:space="preserve">We support the conclusion. We don’t consider it an essential correction the UE to indicate specific associated ID. The LMF can make sure that the PRU-INFo that are provided to the UE are derived using the same associatedID as that being used at the EU. </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 xml:space="preserve">TRP-LocationInfo-Implicit-Element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nr-CellGlobalID</w:t>
            </w:r>
            <w:r w:rsidRPr="453A8293">
              <w:rPr>
                <w:rFonts w:ascii="Times" w:eastAsia="Times" w:hAnsi="Times" w:cs="Times"/>
                <w:sz w:val="20"/>
              </w:rPr>
              <w:t xml:space="preserve">. However, the currently introduced text in TS 38.214 implies that the cell ID is optional, and can be either </w:t>
            </w:r>
            <w:r w:rsidRPr="453A8293">
              <w:rPr>
                <w:rFonts w:ascii="Times" w:eastAsia="Times" w:hAnsi="Times" w:cs="Times"/>
                <w:i/>
                <w:iCs/>
                <w:sz w:val="20"/>
              </w:rPr>
              <w:t xml:space="preserve">nr-CellGlobalID </w:t>
            </w:r>
            <w:r w:rsidRPr="00AC5DEA">
              <w:rPr>
                <w:rFonts w:ascii="Times" w:eastAsia="Times" w:hAnsi="Times" w:cs="Times"/>
                <w:sz w:val="20"/>
              </w:rPr>
              <w:t xml:space="preserve">or </w:t>
            </w:r>
            <w:r w:rsidRPr="453A8293">
              <w:rPr>
                <w:rFonts w:ascii="Times" w:eastAsia="Times" w:hAnsi="Times" w:cs="Times"/>
                <w:i/>
                <w:iCs/>
                <w:sz w:val="20"/>
              </w:rPr>
              <w:t>nr-PhysCellID</w:t>
            </w:r>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TRP-LocationInfoElement</w:t>
            </w:r>
            <w:r w:rsidRPr="453A8293">
              <w:rPr>
                <w:rFonts w:ascii="Times" w:eastAsia="Times" w:hAnsi="Times" w:cs="Times"/>
                <w:sz w:val="20"/>
              </w:rPr>
              <w:t xml:space="preserve">, whereas the newly introduced  </w:t>
            </w:r>
            <w:r w:rsidRPr="453A8293">
              <w:rPr>
                <w:rFonts w:ascii="Times" w:eastAsia="Times" w:hAnsi="Times" w:cs="Times"/>
                <w:i/>
                <w:iCs/>
                <w:sz w:val="20"/>
              </w:rPr>
              <w:t xml:space="preserve">TRP-LocationInfo-Implicit-Element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TRP-LocationInfo-Implicit-Element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lastRenderedPageBreak/>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 xml:space="preserve">TRP-LocationInfo-Implicit-Element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nr-AIML-AssociatedID</w:t>
            </w:r>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nr-CellGlobalID</w:t>
            </w:r>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It is unclear why Nokia thinks the endorsed TP is not inline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In FL’s view, the associated ID should not be linked to DL-PRS-ID(s) for a group of TRP(s). Thus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lastRenderedPageBreak/>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t>HW/HiSi</w:t>
            </w:r>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whitout this detail, the </w:t>
            </w:r>
            <w:r w:rsidR="004D617C" w:rsidRPr="00435F3F">
              <w:rPr>
                <w:rFonts w:ascii="Times New Roman" w:eastAsia="Batang" w:hAnsi="Times New Roman" w:cs="Times New Roman"/>
                <w:i/>
                <w:iCs/>
                <w:color w:val="FF0000"/>
                <w:sz w:val="20"/>
                <w:lang w:val="en-GB"/>
              </w:rPr>
              <w:t>TRP-LocationInfo-Implicit-Element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lastRenderedPageBreak/>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t>HW/HiSi</w:t>
            </w:r>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whitout this detail, the </w:t>
            </w:r>
            <w:r w:rsidRPr="00435F3F">
              <w:rPr>
                <w:rFonts w:ascii="Times New Roman" w:eastAsia="Batang" w:hAnsi="Times New Roman" w:cs="Times New Roman"/>
                <w:i/>
                <w:iCs/>
                <w:color w:val="FF0000"/>
                <w:sz w:val="20"/>
                <w:lang w:val="en-GB"/>
              </w:rPr>
              <w:t>TRP-LocationInfo-Implicit-Element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C351DE">
            <w:r>
              <w:t>Qualcomm</w:t>
            </w:r>
          </w:p>
        </w:tc>
        <w:tc>
          <w:tcPr>
            <w:tcW w:w="8574" w:type="dxa"/>
          </w:tcPr>
          <w:p w14:paraId="351B5A37" w14:textId="77777777" w:rsidR="005C70AB" w:rsidRDefault="005C70AB" w:rsidP="00C351DE">
            <w:r>
              <w:t xml:space="preserve">We do not think this TP is necessary. </w:t>
            </w:r>
          </w:p>
        </w:tc>
      </w:tr>
      <w:tr w:rsidR="00234753" w14:paraId="55FC8C7C" w14:textId="77777777" w:rsidTr="005C70AB">
        <w:tc>
          <w:tcPr>
            <w:tcW w:w="1411" w:type="dxa"/>
          </w:tcPr>
          <w:p w14:paraId="469BD3E3" w14:textId="2A5A1CF4" w:rsidR="00234753" w:rsidRPr="00234753" w:rsidRDefault="00234753" w:rsidP="00C351DE">
            <w:pPr>
              <w:rPr>
                <w:rFonts w:eastAsia="Yu Mincho"/>
              </w:rPr>
            </w:pPr>
            <w:r>
              <w:rPr>
                <w:rFonts w:eastAsia="Yu Mincho" w:hint="eastAsia"/>
              </w:rPr>
              <w:t>DOCOMO</w:t>
            </w:r>
          </w:p>
        </w:tc>
        <w:tc>
          <w:tcPr>
            <w:tcW w:w="8574" w:type="dxa"/>
          </w:tcPr>
          <w:p w14:paraId="631C768B" w14:textId="1A7F7935" w:rsidR="00234753" w:rsidRPr="00234753" w:rsidRDefault="00234753" w:rsidP="00C351DE">
            <w:pPr>
              <w:rPr>
                <w:rFonts w:eastAsia="Yu Mincho"/>
              </w:rPr>
            </w:pPr>
            <w:r>
              <w:rPr>
                <w:rFonts w:eastAsia="Yu Mincho" w:hint="eastAsia"/>
              </w:rPr>
              <w:t>Support this conclusion.</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Huawei, HiSilicon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lastRenderedPageBreak/>
              <w:t>Proposal 4:</w:t>
            </w:r>
            <w:r>
              <w:t xml:space="preserve"> In the request of Part B for Case 3a data collection, the gNB indicates to the LMF the time stamp for which Part B is requested.</w:t>
            </w:r>
          </w:p>
          <w:p w14:paraId="39E24DAD" w14:textId="77777777" w:rsidR="00071E14" w:rsidRDefault="00071E14" w:rsidP="00071E14">
            <w:r>
              <w:t>•</w:t>
            </w:r>
            <w:r>
              <w:tab/>
              <w:t>The gNB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Huawei/HiSilicon (R1-2506934) also discussed the same issue. It was proposed that LMF indicate to gNB (Case 3a) or UE (Case 1) the anticipated time stamp in which Part B is expected to be generated. Based on companies’ feedback, majority (6 out 9) didn’t support it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r w:rsidR="00980A0D" w:rsidRPr="00071E14">
        <w:t>HiSilicon (R1-2508497)</w:t>
      </w:r>
      <w:r w:rsidR="00980A0D">
        <w:t xml:space="preserve"> propos</w:t>
      </w:r>
      <w:r>
        <w:t>als are revised to:</w:t>
      </w:r>
      <w:r w:rsidR="00980A0D">
        <w:t xml:space="preserve"> gNB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r w:rsidRPr="00071E14">
        <w:t>HiSilicon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r w:rsidRPr="00071E14">
        <w:t>HiSilicon</w:t>
      </w:r>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Huawei/HiSilicon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gNB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284"/>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HW/HiSi</w:t>
            </w:r>
          </w:p>
        </w:tc>
        <w:tc>
          <w:tcPr>
            <w:tcW w:w="9579" w:type="dxa"/>
          </w:tcPr>
          <w:p w14:paraId="6CBAC80E" w14:textId="77777777" w:rsidR="00BF0744" w:rsidRDefault="00BF0744" w:rsidP="00BF0744">
            <w:pPr>
              <w:rPr>
                <w:iCs/>
              </w:rPr>
            </w:pPr>
            <w:r>
              <w:rPr>
                <w:iCs/>
              </w:rPr>
              <w:t>Without any alignment of the time stamp of Part B provided by the LMF, it is not clear how the gNB may be able to pair a provided Part B with a Part A at the gNB, e.g., as Part B may be outdated. Hence, a provided Part B to the gNB may be useless.</w:t>
            </w:r>
          </w:p>
          <w:p w14:paraId="5499C555" w14:textId="77777777" w:rsidR="00BF0744" w:rsidRDefault="00BF0744" w:rsidP="00BF0744">
            <w:pPr>
              <w:rPr>
                <w:iCs/>
              </w:rPr>
            </w:pPr>
            <w:r>
              <w:rPr>
                <w:iCs/>
              </w:rPr>
              <w:t xml:space="preserve">The alignment can be simply achieved by the gNB indicating the time stamp in the request of Part B sent to the LMF as also proposed by E/// and acknowledged by other companies in RAN3 </w:t>
            </w:r>
            <w:r>
              <w:rPr>
                <w:iCs/>
              </w:rPr>
              <w:lastRenderedPageBreak/>
              <w:t xml:space="preserve">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lastRenderedPageBreak/>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From RAN1 point of view, in the requested of Part B for Case 3a data collection, the gNB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(NRPPa), which contains a field “</w:t>
      </w:r>
      <w:r w:rsidRPr="00CC1C1E">
        <w:rPr>
          <w:rFonts w:ascii="Arial" w:eastAsia="DengXian" w:hAnsi="Arial" w:cs="Arial"/>
          <w:sz w:val="20"/>
          <w:szCs w:val="20"/>
          <w:highlight w:val="green"/>
          <w:lang w:eastAsia="en-GB"/>
        </w:rPr>
        <w:t>Positioning Data Collection Needed</w:t>
      </w:r>
      <w:r>
        <w:t>”. This can be taken into account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lastRenderedPageBreak/>
              <w:t>NRPPa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INTEGER (1..65536,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1..&lt;maxnoofMeasTRPs&gt;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gNB/UE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lastRenderedPageBreak/>
              <w:t>HW/HiSi</w:t>
            </w:r>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in the request of Part B sent from the gNB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gNB would like to have a Part B.</w:t>
            </w:r>
          </w:p>
          <w:p w14:paraId="03714CFF" w14:textId="52738A65" w:rsidR="007410B3" w:rsidRDefault="007F61FC" w:rsidP="007F61FC">
            <w:pPr>
              <w:rPr>
                <w:rFonts w:eastAsiaTheme="minorEastAsia"/>
              </w:rPr>
            </w:pPr>
            <w:r>
              <w:t>We do not view this as an optimization, as otherwise it is not clear how can it be guaranteed that a provided Part B may be able to be paired with a Part A at the gNB.</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C351DE">
            <w:r>
              <w:t>Qualcomm</w:t>
            </w:r>
          </w:p>
        </w:tc>
        <w:tc>
          <w:tcPr>
            <w:tcW w:w="8574" w:type="dxa"/>
          </w:tcPr>
          <w:p w14:paraId="5FF2DCCD" w14:textId="1A92C54A" w:rsidR="00893436" w:rsidRDefault="00893436" w:rsidP="00C351DE">
            <w:r>
              <w:t>We support the conclusion</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lastRenderedPageBreak/>
              <w:t xml:space="preserve">Within each window indicated by </w:t>
            </w:r>
            <w:r w:rsidRPr="239E3B58">
              <w:rPr>
                <w:rFonts w:ascii="Times" w:eastAsia="Times" w:hAnsi="Times" w:cs="Times"/>
                <w:i/>
                <w:iCs/>
                <w:sz w:val="20"/>
                <w:szCs w:val="20"/>
              </w:rPr>
              <w:t>NR-DL-PRS-MeasurementTimeWindowsConfig</w:t>
            </w:r>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 xml:space="preserve">NR-DL-AIML-TargetDeviceErrorCauses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HW/HiSi</w:t>
            </w:r>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NR-DL-AIML-TargetDeviceErrorCauses</w:t>
            </w:r>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NR-DL-AIML-TargetDeviceErrorCauses</w:t>
            </w:r>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lastRenderedPageBreak/>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HW/HiSi</w:t>
            </w:r>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C351DE">
            <w:r>
              <w:t>Qualcomm</w:t>
            </w:r>
          </w:p>
        </w:tc>
        <w:tc>
          <w:tcPr>
            <w:tcW w:w="8574" w:type="dxa"/>
          </w:tcPr>
          <w:p w14:paraId="04D2054E" w14:textId="77777777" w:rsidR="00893436" w:rsidRDefault="00893436" w:rsidP="00C351DE">
            <w:r>
              <w:t>We support the conclusion</w:t>
            </w:r>
          </w:p>
        </w:tc>
      </w:tr>
      <w:tr w:rsidR="00234753" w14:paraId="571C1004" w14:textId="77777777" w:rsidTr="00893436">
        <w:tc>
          <w:tcPr>
            <w:tcW w:w="1411" w:type="dxa"/>
          </w:tcPr>
          <w:p w14:paraId="659FC0DF" w14:textId="6CB1A2CB" w:rsidR="00234753" w:rsidRPr="00234753" w:rsidRDefault="00234753" w:rsidP="00C351DE">
            <w:pPr>
              <w:rPr>
                <w:rFonts w:eastAsia="Yu Mincho"/>
              </w:rPr>
            </w:pPr>
            <w:r>
              <w:rPr>
                <w:rFonts w:eastAsia="Yu Mincho" w:hint="eastAsia"/>
              </w:rPr>
              <w:t>DOCOMO</w:t>
            </w:r>
          </w:p>
        </w:tc>
        <w:tc>
          <w:tcPr>
            <w:tcW w:w="8574" w:type="dxa"/>
          </w:tcPr>
          <w:p w14:paraId="3CB717E2" w14:textId="799926EA" w:rsidR="00234753" w:rsidRPr="00234753" w:rsidRDefault="00234753" w:rsidP="00C351DE">
            <w:pPr>
              <w:rPr>
                <w:rFonts w:eastAsia="Yu Mincho"/>
              </w:rPr>
            </w:pPr>
            <w:r>
              <w:rPr>
                <w:rFonts w:eastAsia="Yu Mincho" w:hint="eastAsia"/>
              </w:rPr>
              <w:t xml:space="preserve">Support. </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lastRenderedPageBreak/>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meetings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(HW/HiSi, Nokia) believe this issue need to be addressed.</w:t>
      </w:r>
      <w:r>
        <w:rPr>
          <w:color w:val="0070C0"/>
        </w:rPr>
        <w:t xml:space="preserve"> Nokia suggest a new proposal than HW/HiSi.</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lastRenderedPageBreak/>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nr-PhysCellID</w:t>
            </w:r>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 xml:space="preserve">TRP-LocationInfo-Implicit-Element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TRP-LocationInfo-Implicit-Element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 xml:space="preserve">nr-PhysCellID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nr-CellGlobalID</w:t>
            </w:r>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 xml:space="preserve">nr-AIML-AssociatedID,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nr-AIML-AssociatedID</w:t>
            </w:r>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TRP-LocationInfo-Implicit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(InterDigital, Nokia</w:t>
      </w:r>
      <w:r w:rsidR="008A6C31">
        <w:rPr>
          <w:color w:val="0070C0"/>
        </w:rPr>
        <w:t>,</w:t>
      </w:r>
      <w:r w:rsidRPr="009E02FF">
        <w:rPr>
          <w:color w:val="0070C0"/>
        </w:rPr>
        <w:t xml:space="preserve"> HW/HiSi,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 xml:space="preserve">NR-TRP-LocationInfo-Implicit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/HiSi, vivo) suggest to have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/HiSi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Huawei, HiSilicon</w:t>
      </w:r>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t>InterDigital,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AD9D" w14:textId="77777777" w:rsidR="00B33AFF" w:rsidRDefault="00B33AFF" w:rsidP="00C46C57">
      <w:r>
        <w:separator/>
      </w:r>
    </w:p>
  </w:endnote>
  <w:endnote w:type="continuationSeparator" w:id="0">
    <w:p w14:paraId="58F3A92C" w14:textId="77777777" w:rsidR="00B33AFF" w:rsidRDefault="00B33AFF" w:rsidP="00C46C57">
      <w:r>
        <w:continuationSeparator/>
      </w:r>
    </w:p>
  </w:endnote>
  <w:endnote w:type="continuationNotice" w:id="1">
    <w:p w14:paraId="29BD644C" w14:textId="77777777" w:rsidR="00B33AFF" w:rsidRDefault="00B33A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3AA0" w14:textId="77777777" w:rsidR="00B33AFF" w:rsidRDefault="00B33AFF" w:rsidP="00C46C57">
      <w:r>
        <w:separator/>
      </w:r>
    </w:p>
  </w:footnote>
  <w:footnote w:type="continuationSeparator" w:id="0">
    <w:p w14:paraId="548EAF70" w14:textId="77777777" w:rsidR="00B33AFF" w:rsidRDefault="00B33AFF" w:rsidP="00C46C57">
      <w:r>
        <w:continuationSeparator/>
      </w:r>
    </w:p>
  </w:footnote>
  <w:footnote w:type="continuationNotice" w:id="1">
    <w:p w14:paraId="2919B779" w14:textId="77777777" w:rsidR="00B33AFF" w:rsidRDefault="00B33A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393178">
    <w:abstractNumId w:val="25"/>
  </w:num>
  <w:num w:numId="2" w16cid:durableId="1099790601">
    <w:abstractNumId w:val="19"/>
  </w:num>
  <w:num w:numId="3" w16cid:durableId="1337803373">
    <w:abstractNumId w:val="0"/>
  </w:num>
  <w:num w:numId="4" w16cid:durableId="470947617">
    <w:abstractNumId w:val="27"/>
  </w:num>
  <w:num w:numId="5" w16cid:durableId="498737108">
    <w:abstractNumId w:val="28"/>
  </w:num>
  <w:num w:numId="6" w16cid:durableId="2073917890">
    <w:abstractNumId w:val="32"/>
  </w:num>
  <w:num w:numId="7" w16cid:durableId="944729455">
    <w:abstractNumId w:val="10"/>
  </w:num>
  <w:num w:numId="8" w16cid:durableId="1577858090">
    <w:abstractNumId w:val="12"/>
  </w:num>
  <w:num w:numId="9" w16cid:durableId="1351175270">
    <w:abstractNumId w:val="4"/>
  </w:num>
  <w:num w:numId="10" w16cid:durableId="439227386">
    <w:abstractNumId w:val="38"/>
  </w:num>
  <w:num w:numId="11" w16cid:durableId="207185892">
    <w:abstractNumId w:val="16"/>
  </w:num>
  <w:num w:numId="12" w16cid:durableId="712122654">
    <w:abstractNumId w:val="37"/>
  </w:num>
  <w:num w:numId="13" w16cid:durableId="30350852">
    <w:abstractNumId w:val="20"/>
  </w:num>
  <w:num w:numId="14" w16cid:durableId="1378092444">
    <w:abstractNumId w:val="17"/>
  </w:num>
  <w:num w:numId="15" w16cid:durableId="1607692860">
    <w:abstractNumId w:val="8"/>
  </w:num>
  <w:num w:numId="16" w16cid:durableId="1499922519">
    <w:abstractNumId w:val="33"/>
  </w:num>
  <w:num w:numId="17" w16cid:durableId="1560826421">
    <w:abstractNumId w:val="18"/>
  </w:num>
  <w:num w:numId="18" w16cid:durableId="2108305665">
    <w:abstractNumId w:val="2"/>
  </w:num>
  <w:num w:numId="19" w16cid:durableId="759836967">
    <w:abstractNumId w:val="13"/>
  </w:num>
  <w:num w:numId="20" w16cid:durableId="1758016579">
    <w:abstractNumId w:val="31"/>
  </w:num>
  <w:num w:numId="21" w16cid:durableId="2025789052">
    <w:abstractNumId w:val="29"/>
  </w:num>
  <w:num w:numId="22" w16cid:durableId="1078788880">
    <w:abstractNumId w:val="34"/>
  </w:num>
  <w:num w:numId="23" w16cid:durableId="1411387232">
    <w:abstractNumId w:val="6"/>
  </w:num>
  <w:num w:numId="24" w16cid:durableId="1606885716">
    <w:abstractNumId w:val="1"/>
  </w:num>
  <w:num w:numId="25" w16cid:durableId="1291547397">
    <w:abstractNumId w:val="36"/>
  </w:num>
  <w:num w:numId="26" w16cid:durableId="995574273">
    <w:abstractNumId w:val="7"/>
  </w:num>
  <w:num w:numId="27" w16cid:durableId="107282949">
    <w:abstractNumId w:val="3"/>
  </w:num>
  <w:num w:numId="28" w16cid:durableId="773869494">
    <w:abstractNumId w:val="14"/>
  </w:num>
  <w:num w:numId="29" w16cid:durableId="918251067">
    <w:abstractNumId w:val="22"/>
  </w:num>
  <w:num w:numId="30" w16cid:durableId="930511793">
    <w:abstractNumId w:val="20"/>
  </w:num>
  <w:num w:numId="31" w16cid:durableId="1910654632">
    <w:abstractNumId w:val="5"/>
  </w:num>
  <w:num w:numId="32" w16cid:durableId="1783112686">
    <w:abstractNumId w:val="11"/>
  </w:num>
  <w:num w:numId="33" w16cid:durableId="332145004">
    <w:abstractNumId w:val="21"/>
  </w:num>
  <w:num w:numId="34" w16cid:durableId="842938088">
    <w:abstractNumId w:val="26"/>
  </w:num>
  <w:num w:numId="35" w16cid:durableId="615403241">
    <w:abstractNumId w:val="30"/>
  </w:num>
  <w:num w:numId="36" w16cid:durableId="1604992927">
    <w:abstractNumId w:val="23"/>
  </w:num>
  <w:num w:numId="37" w16cid:durableId="1608661395">
    <w:abstractNumId w:val="39"/>
  </w:num>
  <w:num w:numId="38" w16cid:durableId="1182816489">
    <w:abstractNumId w:val="24"/>
  </w:num>
  <w:num w:numId="39" w16cid:durableId="263154649">
    <w:abstractNumId w:val="40"/>
  </w:num>
  <w:num w:numId="40" w16cid:durableId="1340425895">
    <w:abstractNumId w:val="41"/>
  </w:num>
  <w:num w:numId="41" w16cid:durableId="1658417174">
    <w:abstractNumId w:val="15"/>
  </w:num>
  <w:num w:numId="42" w16cid:durableId="1750157233">
    <w:abstractNumId w:val="9"/>
  </w:num>
  <w:num w:numId="43" w16cid:durableId="1363020934">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028"/>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4753"/>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6C64"/>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41F1"/>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6C91"/>
    <w:rsid w:val="003B7FE5"/>
    <w:rsid w:val="003C11C8"/>
    <w:rsid w:val="003C11FF"/>
    <w:rsid w:val="003C2702"/>
    <w:rsid w:val="003C2CA4"/>
    <w:rsid w:val="003C480B"/>
    <w:rsid w:val="003C7806"/>
    <w:rsid w:val="003D0AFA"/>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728"/>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114"/>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AFF"/>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4F77"/>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1D9"/>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5CB0"/>
    <w:rsid w:val="00EF60D0"/>
    <w:rsid w:val="00F00014"/>
    <w:rsid w:val="00F04A69"/>
    <w:rsid w:val="00F0528D"/>
    <w:rsid w:val="00F0698F"/>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3B0D"/>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728"/>
    <w:pPr>
      <w:spacing w:after="160" w:line="278" w:lineRule="auto"/>
    </w:pPr>
    <w:rPr>
      <w:rFonts w:asciiTheme="minorHAnsi" w:hAnsiTheme="minorHAnsi" w:cstheme="minorBidi"/>
      <w:kern w:val="2"/>
      <w:sz w:val="24"/>
      <w:szCs w:val="24"/>
      <w:lang w:val="en-US" w:eastAsia="ja-JP"/>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767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672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customXml/itemProps4.xml><?xml version="1.0" encoding="utf-8"?>
<ds:datastoreItem xmlns:ds="http://schemas.openxmlformats.org/officeDocument/2006/customXml" ds:itemID="{F734E8BA-9115-4E9C-AF88-F488CA413AA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22</Pages>
  <Words>6268</Words>
  <Characters>33274</Characters>
  <Application>Microsoft Office Word</Application>
  <DocSecurity>0</DocSecurity>
  <Lines>739</Lines>
  <Paragraphs>608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38934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Fumihiro Hasegawa</cp:lastModifiedBy>
  <cp:revision>12</cp:revision>
  <dcterms:created xsi:type="dcterms:W3CDTF">2025-11-19T15:25:00Z</dcterms:created>
  <dcterms:modified xsi:type="dcterms:W3CDTF">2025-11-19T21:33:00Z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