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request for TRP-LocationInfo-Implicit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HW/HiSi</w:t>
            </w:r>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w:t>
            </w:r>
            <w: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TRP-LocationInfo-Implicit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r>
              <w:t>InterDIgital</w:t>
            </w:r>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lang w:val="en-GB"/>
        </w:rPr>
        <w:t>TRP-LocationInfo-Implicit</w:t>
      </w:r>
      <w:r>
        <w:rPr>
          <w:lang w:val="en-GB"/>
        </w:rPr>
        <w:t xml:space="preserve"> in </w:t>
      </w:r>
      <w:r w:rsidRPr="00D54605">
        <w:rPr>
          <w:i/>
          <w:iCs/>
          <w:lang w:val="en-GB"/>
        </w:rPr>
        <w:t>NR-PRU-DL-Info</w:t>
      </w:r>
      <w:r>
        <w:rPr>
          <w:lang w:val="en-GB"/>
        </w:rPr>
        <w:t>.</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InterDigital), this request is unnecessary as the </w:t>
            </w:r>
            <w:r w:rsidRPr="00FE6751">
              <w:rPr>
                <w:i/>
                <w:iCs/>
              </w:rPr>
              <w:t>nr-TRP-LocationInfo-Implicit</w:t>
            </w:r>
            <w:r>
              <w:rPr>
                <w:rFonts w:eastAsiaTheme="minorEastAsia" w:hint="eastAsia"/>
              </w:rPr>
              <w:t xml:space="preserve">(including associated ID) is optional in </w:t>
            </w:r>
            <w:r w:rsidRPr="00B6529D">
              <w:rPr>
                <w:i/>
                <w:iCs/>
              </w:rPr>
              <w:t>NR-PositionCalculationAssistance</w:t>
            </w:r>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pPr>
              <w:rPr>
                <w:rFonts w:hint="eastAsia"/>
              </w:rPr>
            </w:pPr>
            <w:r>
              <w:lastRenderedPageBreak/>
              <w:t>vivo</w:t>
            </w:r>
          </w:p>
        </w:tc>
        <w:tc>
          <w:tcPr>
            <w:tcW w:w="8574" w:type="dxa"/>
          </w:tcPr>
          <w:p w14:paraId="0F8819F4" w14:textId="7AB80304" w:rsidR="002D6AD3" w:rsidRDefault="002D6AD3" w:rsidP="00EE64CA">
            <w:pPr>
              <w:rPr>
                <w:rFonts w:hint="eastAsia"/>
              </w:rPr>
            </w:pPr>
            <w:r>
              <w:t>Given on-going related RAN2 discussion/work, we don’t think a conclusion in RAN1 is needed at this time. As that may give RAN2 the impression tha</w:t>
            </w:r>
            <w:r w:rsidR="00EE64CA">
              <w:t xml:space="preserve">t RAN1 concluded on this matter </w:t>
            </w:r>
            <w:r w:rsidR="00EE64CA">
              <w:t xml:space="preserve">which in turn may impact RAN2 </w:t>
            </w:r>
            <w:r w:rsidR="00EE64CA">
              <w:t>discussion.</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lastRenderedPageBreak/>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HW/HiSi</w:t>
            </w:r>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refering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lastRenderedPageBreak/>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nr-CellGlobalID</w:t>
            </w:r>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CC1C1E" w:rsidRPr="00D76D93" w14:paraId="7AED172F" w14:textId="77777777" w:rsidTr="002D6AD3">
        <w:tc>
          <w:tcPr>
            <w:tcW w:w="1411" w:type="dxa"/>
          </w:tcPr>
          <w:p w14:paraId="783CFC34" w14:textId="77777777" w:rsidR="00CC1C1E" w:rsidRPr="002E089D" w:rsidRDefault="00CC1C1E" w:rsidP="002D6AD3">
            <w:pPr>
              <w:rPr>
                <w:rFonts w:eastAsiaTheme="minorEastAsia"/>
              </w:rPr>
            </w:pPr>
          </w:p>
        </w:tc>
        <w:tc>
          <w:tcPr>
            <w:tcW w:w="8574" w:type="dxa"/>
          </w:tcPr>
          <w:p w14:paraId="56A45F69" w14:textId="39CE151F" w:rsidR="00CC1C1E" w:rsidRPr="004D02C7" w:rsidRDefault="00CC1C1E" w:rsidP="002D6AD3">
            <w:pPr>
              <w:rPr>
                <w:rFonts w:eastAsiaTheme="minorEastAsia"/>
              </w:rPr>
            </w:pP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lastRenderedPageBreak/>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NR-TRP-LocationInfo-Implicit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NR-TRP-LocationInfo-Implicit</w:t>
      </w:r>
      <w:r w:rsidR="007C4FCF">
        <w:t>) without it being provided by LMF</w:t>
      </w:r>
      <w:r w:rsidR="003227F9">
        <w:t xml:space="preserve"> to UE</w:t>
      </w:r>
      <w:r w:rsidR="007C4FCF">
        <w:t xml:space="preserve">. Thus, it is not clear how the UE can report </w:t>
      </w:r>
      <w:r w:rsidR="007C4FCF" w:rsidRPr="00781954">
        <w:rPr>
          <w:i/>
          <w:iCs/>
        </w:rPr>
        <w:t>NR-TRP-LocationInfo-Implicit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HW/HiSi</w:t>
            </w:r>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NR-TRP-LocationInfo-Implicit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lastRenderedPageBreak/>
              <w:t>vivo</w:t>
            </w:r>
          </w:p>
        </w:tc>
        <w:tc>
          <w:tcPr>
            <w:tcW w:w="8574" w:type="dxa"/>
          </w:tcPr>
          <w:p w14:paraId="74C50D54" w14:textId="77777777" w:rsidR="00C32E5F" w:rsidRDefault="00C32E5F" w:rsidP="002D6AD3">
            <w:r>
              <w:t xml:space="preserve">We think it’s beneficial for UE to request </w:t>
            </w:r>
            <w:r w:rsidRPr="004B4E37">
              <w:rPr>
                <w:i/>
              </w:rPr>
              <w:t>NR-TRP-LocationInfo-Implicit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the TP is impacting TS 38.214. So, what RAN2 may do or not is not part oft he discussion.</w:t>
            </w:r>
            <w:r w:rsidR="00661E56">
              <w:rPr>
                <w:rFonts w:ascii="Times New Roman" w:eastAsia="Batang" w:hAnsi="Times New Roman"/>
              </w:rPr>
              <w:br/>
            </w:r>
            <w:r w:rsidR="00661E56">
              <w:rPr>
                <w:rFonts w:ascii="Times New Roman" w:eastAsia="Batang" w:hAnsi="Times New Roman"/>
              </w:rPr>
              <w:br/>
              <w:t xml:space="preserve">The purpose is to provide practical usage of NR-TRP-LocationInfo-Implicit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For the conclusion presented in 1st round, there is a suggestion to change to “no consensus to endorse the TP”. Thus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 xml:space="preserve">NR-TRP-LocationInfo-Implicit </w:t>
      </w:r>
      <w:r w:rsidRPr="002A617B">
        <w:t xml:space="preserve">for which it expects to receive the associated </w:t>
      </w:r>
      <w:r w:rsidRPr="002A617B">
        <w:rPr>
          <w:i/>
          <w:iCs/>
        </w:rPr>
        <w:t>NR-PRU-DL-Info</w:t>
      </w:r>
      <w:r>
        <w:rPr>
          <w:lang w:val="en-GB"/>
        </w:rPr>
        <w:t>.</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lastRenderedPageBreak/>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pPr>
              <w:rPr>
                <w:rFonts w:hint="eastAsia"/>
              </w:rPr>
            </w:pPr>
            <w:r>
              <w:t>vivo</w:t>
            </w:r>
          </w:p>
        </w:tc>
        <w:tc>
          <w:tcPr>
            <w:tcW w:w="8574" w:type="dxa"/>
          </w:tcPr>
          <w:p w14:paraId="18B54816" w14:textId="073F6740" w:rsidR="002D6AD3" w:rsidRDefault="002D6AD3" w:rsidP="002D6AD3">
            <w:r>
              <w:t xml:space="preserve">First of all, this is UE report </w:t>
            </w:r>
            <w:r w:rsidRPr="002D6AD3">
              <w:t xml:space="preserve">NR-TRP-LocationInfo-Implicit </w:t>
            </w:r>
            <w:r>
              <w:t xml:space="preserve">(associated ID) in the request </w:t>
            </w:r>
            <w:r w:rsidRPr="002D6AD3">
              <w:t>NR-DL-AIML-RequestAssistanceData</w:t>
            </w:r>
            <w:r>
              <w:t>.</w:t>
            </w:r>
          </w:p>
          <w:p w14:paraId="05F6BA3D" w14:textId="77BD3286" w:rsidR="002D6AD3" w:rsidRDefault="002D6AD3" w:rsidP="00EE64CA">
            <w:pPr>
              <w:rPr>
                <w:rFonts w:hint="eastAsia"/>
              </w:rPr>
            </w:pPr>
            <w:r>
              <w:t>Given on-going related RAN2 discussion/work, we don’t think a conclusion in RAN1 is needed at this time. As that may give RAN2 the impression tha</w:t>
            </w:r>
            <w:r w:rsidR="00EE64CA">
              <w:t>t RAN1 concluded on this matter which in turn may impact RAN2 discussion</w:t>
            </w:r>
            <w:bookmarkStart w:id="0" w:name="_GoBack"/>
            <w:bookmarkEnd w:id="0"/>
            <w:r w:rsidR="00EE64CA">
              <w:t>.</w:t>
            </w:r>
          </w:p>
        </w:tc>
      </w:tr>
      <w:tr w:rsidR="002D6AD3" w:rsidRPr="00D76D93" w14:paraId="21062DDD" w14:textId="77777777" w:rsidTr="002D6AD3">
        <w:tc>
          <w:tcPr>
            <w:tcW w:w="1411" w:type="dxa"/>
          </w:tcPr>
          <w:p w14:paraId="3BBB9285" w14:textId="33BB8E16" w:rsidR="002D6AD3" w:rsidRDefault="002D6AD3" w:rsidP="002D6AD3">
            <w:pPr>
              <w:rPr>
                <w:rFonts w:hint="eastAsia"/>
              </w:rPr>
            </w:pPr>
          </w:p>
        </w:tc>
        <w:tc>
          <w:tcPr>
            <w:tcW w:w="8574" w:type="dxa"/>
          </w:tcPr>
          <w:p w14:paraId="25F0C6C5" w14:textId="77777777" w:rsidR="002D6AD3" w:rsidRDefault="002D6AD3" w:rsidP="002D6AD3">
            <w:pPr>
              <w:rPr>
                <w:rFonts w:hint="eastAsia"/>
              </w:rPr>
            </w:pP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It is unclear why Nokia thinks the endorsed TP is not inline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t>HW/HiSi</w:t>
            </w:r>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lastRenderedPageBreak/>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lastRenderedPageBreak/>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Huawei, HiSilicon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r w:rsidR="00980A0D" w:rsidRPr="00071E14">
        <w:t>HiSilicon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r w:rsidRPr="00071E14">
        <w:t>HiSilicon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r w:rsidRPr="00071E14">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7"/>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lastRenderedPageBreak/>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lastRenderedPageBreak/>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(NRPPa), which contains a field “</w:t>
      </w:r>
      <w:r w:rsidRPr="00CC1C1E">
        <w:rPr>
          <w:rFonts w:ascii="Arial" w:eastAsia="DengXian" w:hAnsi="Arial" w:cs="Arial"/>
          <w:sz w:val="20"/>
          <w:szCs w:val="20"/>
          <w:highlight w:val="green"/>
          <w:lang w:val="en-GB" w:eastAsia="en-GB"/>
        </w:rPr>
        <w:t>Positioning Data Collection Needed</w:t>
      </w:r>
      <w:r>
        <w:t>”. This can be taken into account in 2</w:t>
      </w:r>
      <w:r w:rsidRPr="00CC1C1E">
        <w:rPr>
          <w:vertAlign w:val="superscript"/>
        </w:rPr>
        <w:t>nd</w:t>
      </w:r>
      <w:r>
        <w:t xml:space="preserve"> round discussion.  </w:t>
      </w:r>
    </w:p>
    <w:p w14:paraId="53914B1F" w14:textId="77777777" w:rsidR="00CC1C1E" w:rsidRPr="00CC1C1E" w:rsidRDefault="00CC1C1E" w:rsidP="00CC1C1E">
      <w:pPr>
        <w:rPr>
          <w:lang w:val="en-GB" w:eastAsia="ko-KR"/>
        </w:rPr>
      </w:pPr>
      <w:bookmarkStart w:id="1" w:name="_Toc51776014"/>
      <w:bookmarkStart w:id="2" w:name="_Toc56773036"/>
      <w:bookmarkStart w:id="3" w:name="_Toc64447665"/>
      <w:bookmarkStart w:id="4" w:name="_Toc74152321"/>
      <w:bookmarkStart w:id="5" w:name="_Toc88654174"/>
      <w:bookmarkStart w:id="6" w:name="_Toc99056243"/>
      <w:bookmarkStart w:id="7" w:name="_Toc99959176"/>
      <w:bookmarkStart w:id="8" w:name="_Toc105612362"/>
      <w:bookmarkStart w:id="9" w:name="_Toc106109578"/>
      <w:bookmarkStart w:id="10" w:name="_Toc112766470"/>
      <w:bookmarkStart w:id="11" w:name="_Toc113379386"/>
      <w:bookmarkStart w:id="12" w:name="_Toc120091939"/>
      <w:bookmarkStart w:id="13" w:name="_Toc209692906"/>
      <w:r w:rsidRPr="00CC1C1E">
        <w:rPr>
          <w:lang w:val="en-GB" w:eastAsia="ko-KR"/>
        </w:rPr>
        <w:t>9.1.4.4          MEASUREMENT REPORT</w:t>
      </w:r>
      <w:bookmarkEnd w:id="1"/>
      <w:bookmarkEnd w:id="2"/>
      <w:bookmarkEnd w:id="3"/>
      <w:bookmarkEnd w:id="4"/>
      <w:bookmarkEnd w:id="5"/>
      <w:bookmarkEnd w:id="6"/>
      <w:bookmarkEnd w:id="7"/>
      <w:bookmarkEnd w:id="8"/>
      <w:bookmarkEnd w:id="9"/>
      <w:bookmarkEnd w:id="10"/>
      <w:bookmarkEnd w:id="11"/>
      <w:bookmarkEnd w:id="12"/>
      <w:bookmarkEnd w:id="13"/>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b/>
                <w:bCs/>
                <w:sz w:val="20"/>
                <w:szCs w:val="20"/>
                <w:lang w:val="en-GB"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b/>
                <w:bCs/>
                <w:sz w:val="20"/>
                <w:szCs w:val="20"/>
                <w:lang w:val="en-GB"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NRPPa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lastRenderedPageBreak/>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i/>
                <w:iCs/>
                <w:sz w:val="20"/>
                <w:szCs w:val="20"/>
                <w:lang w:val="en-GB"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i/>
                <w:iCs/>
                <w:sz w:val="20"/>
                <w:szCs w:val="20"/>
                <w:lang w:val="en-GB" w:eastAsia="en-GB"/>
              </w:rPr>
              <w:t>1..&lt;maxnoofMeasTRPs&gt;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 xml:space="preserve">The Cell ID of the TRP identified by the </w:t>
            </w:r>
            <w:r w:rsidRPr="00CC1C1E">
              <w:rPr>
                <w:rFonts w:ascii="Arial" w:eastAsia="DengXian" w:hAnsi="Arial" w:cs="Arial"/>
                <w:i/>
                <w:iCs/>
                <w:sz w:val="20"/>
                <w:szCs w:val="20"/>
                <w:lang w:val="en-GB" w:eastAsia="en-GB"/>
              </w:rPr>
              <w:t xml:space="preserve">TRP ID </w:t>
            </w:r>
            <w:r w:rsidRPr="00CC1C1E">
              <w:rPr>
                <w:rFonts w:ascii="Arial" w:eastAsia="DengXian" w:hAnsi="Arial" w:cs="Arial"/>
                <w:sz w:val="20"/>
                <w:szCs w:val="20"/>
                <w:lang w:val="en-GB"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highlight w:val="green"/>
                <w:lang w:val="en-GB"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lang w:val="en-GB"/>
              </w:rPr>
            </w:pPr>
            <w:r w:rsidRPr="00CC1C1E">
              <w:rPr>
                <w:rFonts w:ascii="Arial" w:eastAsia="DengXian" w:hAnsi="Arial" w:cs="Arial"/>
                <w:sz w:val="20"/>
                <w:szCs w:val="20"/>
                <w:lang w:val="en-GB"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gNB/UE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lastRenderedPageBreak/>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HW/HiSi</w:t>
            </w:r>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NR-DL-AIML-TargetDeviceErrorCauses</w:t>
            </w:r>
          </w:p>
        </w:tc>
      </w:tr>
      <w:tr w:rsidR="00386613" w14:paraId="264D111C" w14:textId="77777777" w:rsidTr="00BA4CD3">
        <w:tc>
          <w:tcPr>
            <w:tcW w:w="1947" w:type="dxa"/>
          </w:tcPr>
          <w:p w14:paraId="3A046CDB" w14:textId="77777777" w:rsidR="00386613" w:rsidRDefault="00386613" w:rsidP="002D6AD3">
            <w:r>
              <w:lastRenderedPageBreak/>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lastRenderedPageBreak/>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(HW/HiSi, Nokia) believe this issue need to be addressed.</w:t>
      </w:r>
      <w:r>
        <w:rPr>
          <w:color w:val="0070C0"/>
        </w:rPr>
        <w:t xml:space="preserve"> Nokia suggest a new proposal than HW/HiSi.</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lastRenderedPageBreak/>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lang w:val="en-GB"/>
        </w:rPr>
        <w:t>TRP-LocationInfo-Implicit</w:t>
      </w:r>
      <w:r w:rsidR="009E02FF">
        <w:rPr>
          <w:lang w:val="en-GB"/>
        </w:rPr>
        <w:t xml:space="preserve"> in </w:t>
      </w:r>
      <w:r w:rsidR="009E02FF" w:rsidRPr="00D54605">
        <w:rPr>
          <w:i/>
          <w:iCs/>
          <w:lang w:val="en-GB"/>
        </w:rPr>
        <w:t>NR-PRU-DL-Info</w:t>
      </w:r>
      <w:r w:rsidR="009E02FF">
        <w:rPr>
          <w:lang w:val="en-GB"/>
        </w:rPr>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(InterDigital, Nokia</w:t>
      </w:r>
      <w:r w:rsidR="008A6C31">
        <w:rPr>
          <w:color w:val="0070C0"/>
        </w:rPr>
        <w:t>,</w:t>
      </w:r>
      <w:r w:rsidRPr="009E02FF">
        <w:rPr>
          <w:color w:val="0070C0"/>
        </w:rPr>
        <w:t xml:space="preserve"> HW/HiSi,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 xml:space="preserve">NR-TRP-LocationInfo-Implicit </w:t>
      </w:r>
      <w:r w:rsidR="002A617B" w:rsidRPr="002A617B">
        <w:t xml:space="preserve">for which it expects to receive the associated </w:t>
      </w:r>
      <w:r w:rsidR="002A617B" w:rsidRPr="002A617B">
        <w:rPr>
          <w:i/>
          <w:iCs/>
        </w:rPr>
        <w:t>NR-PRU-DL-Info</w:t>
      </w:r>
      <w:r>
        <w:rPr>
          <w:lang w:val="en-GB"/>
        </w:rPr>
        <w:t>.</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/HiSi, vivo) suggest to have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7BCEB" w14:textId="77777777" w:rsidR="00D30F07" w:rsidRDefault="00D30F07" w:rsidP="00C46C57">
      <w:r>
        <w:separator/>
      </w:r>
    </w:p>
  </w:endnote>
  <w:endnote w:type="continuationSeparator" w:id="0">
    <w:p w14:paraId="4CE8A4AB" w14:textId="77777777" w:rsidR="00D30F07" w:rsidRDefault="00D30F07" w:rsidP="00C46C57">
      <w:r>
        <w:continuationSeparator/>
      </w:r>
    </w:p>
  </w:endnote>
  <w:endnote w:type="continuationNotice" w:id="1">
    <w:p w14:paraId="3042AC7E" w14:textId="77777777" w:rsidR="00D30F07" w:rsidRDefault="00D30F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Footer"/>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D20A4" w14:textId="77777777" w:rsidR="00D30F07" w:rsidRDefault="00D30F07" w:rsidP="00C46C57">
      <w:r>
        <w:separator/>
      </w:r>
    </w:p>
  </w:footnote>
  <w:footnote w:type="continuationSeparator" w:id="0">
    <w:p w14:paraId="342CC228" w14:textId="77777777" w:rsidR="00D30F07" w:rsidRDefault="00D30F07" w:rsidP="00C46C57">
      <w:r>
        <w:continuationSeparator/>
      </w:r>
    </w:p>
  </w:footnote>
  <w:footnote w:type="continuationNotice" w:id="1">
    <w:p w14:paraId="7E1F8FA5" w14:textId="77777777" w:rsidR="00D30F07" w:rsidRDefault="00D30F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10"/>
  </w:num>
  <w:num w:numId="8">
    <w:abstractNumId w:val="12"/>
  </w:num>
  <w:num w:numId="9">
    <w:abstractNumId w:val="4"/>
  </w:num>
  <w:num w:numId="10">
    <w:abstractNumId w:val="38"/>
  </w:num>
  <w:num w:numId="11">
    <w:abstractNumId w:val="16"/>
  </w:num>
  <w:num w:numId="12">
    <w:abstractNumId w:val="37"/>
  </w:num>
  <w:num w:numId="13">
    <w:abstractNumId w:val="20"/>
  </w:num>
  <w:num w:numId="14">
    <w:abstractNumId w:val="17"/>
  </w:num>
  <w:num w:numId="15">
    <w:abstractNumId w:val="8"/>
  </w:num>
  <w:num w:numId="16">
    <w:abstractNumId w:val="33"/>
  </w:num>
  <w:num w:numId="17">
    <w:abstractNumId w:val="18"/>
  </w:num>
  <w:num w:numId="18">
    <w:abstractNumId w:val="2"/>
  </w:num>
  <w:num w:numId="19">
    <w:abstractNumId w:val="13"/>
  </w:num>
  <w:num w:numId="20">
    <w:abstractNumId w:val="31"/>
  </w:num>
  <w:num w:numId="21">
    <w:abstractNumId w:val="29"/>
  </w:num>
  <w:num w:numId="22">
    <w:abstractNumId w:val="34"/>
  </w:num>
  <w:num w:numId="23">
    <w:abstractNumId w:val="6"/>
  </w:num>
  <w:num w:numId="24">
    <w:abstractNumId w:val="1"/>
  </w:num>
  <w:num w:numId="25">
    <w:abstractNumId w:val="36"/>
  </w:num>
  <w:num w:numId="26">
    <w:abstractNumId w:val="7"/>
  </w:num>
  <w:num w:numId="27">
    <w:abstractNumId w:val="3"/>
  </w:num>
  <w:num w:numId="28">
    <w:abstractNumId w:val="14"/>
  </w:num>
  <w:num w:numId="29">
    <w:abstractNumId w:val="22"/>
  </w:num>
  <w:num w:numId="30">
    <w:abstractNumId w:val="20"/>
  </w:num>
  <w:num w:numId="31">
    <w:abstractNumId w:val="5"/>
  </w:num>
  <w:num w:numId="32">
    <w:abstractNumId w:val="11"/>
  </w:num>
  <w:num w:numId="33">
    <w:abstractNumId w:val="21"/>
  </w:num>
  <w:num w:numId="34">
    <w:abstractNumId w:val="26"/>
  </w:num>
  <w:num w:numId="35">
    <w:abstractNumId w:val="30"/>
  </w:num>
  <w:num w:numId="36">
    <w:abstractNumId w:val="23"/>
  </w:num>
  <w:num w:numId="37">
    <w:abstractNumId w:val="39"/>
  </w:num>
  <w:num w:numId="38">
    <w:abstractNumId w:val="24"/>
  </w:num>
  <w:num w:numId="39">
    <w:abstractNumId w:val="40"/>
  </w:num>
  <w:num w:numId="40">
    <w:abstractNumId w:val="41"/>
  </w:num>
  <w:num w:numId="41">
    <w:abstractNumId w:val="15"/>
  </w:num>
  <w:num w:numId="42">
    <w:abstractNumId w:val="9"/>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D3"/>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2D6A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6AD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2.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3.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5354</Words>
  <Characters>30522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2025-11-19T15:25:00Z</dcterms:created>
  <dcterms:modified xsi:type="dcterms:W3CDTF">2025-11-19T15:27:00Z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