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0DDD1AF9"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R1-2508981</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82188B">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等线"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f1"/>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7"/>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等线"/>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interleaver</w:t>
      </w:r>
    </w:p>
    <w:p w14:paraId="792CF67D" w14:textId="7CC58693"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hint="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lastRenderedPageBreak/>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8pt;height:32.8pt;mso-width-percent:0;mso-height-percent:0;mso-width-percent:0;mso-height-percent:0" o:ole="">
                  <v:imagedata r:id="rId8" o:title=""/>
                </v:shape>
                <o:OLEObject Type="Embed" ProgID="Equation.DSMT4" ShapeID="_x0000_i1025" DrawAspect="Content" ObjectID="_1825007263"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宋体"/>
                <w:lang w:eastAsia="zh-CN"/>
              </w:rPr>
            </w:pPr>
            <w:r>
              <w:rPr>
                <w:iCs/>
                <w:lang w:eastAsia="zh-CN"/>
              </w:rPr>
              <w:t>f</w:t>
            </w:r>
            <w:r>
              <w:rPr>
                <w:iCs/>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宋体"/>
                <w:lang w:eastAsia="zh-CN"/>
              </w:rPr>
              <w:t>;</w:t>
            </w:r>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iteration;</w:t>
            </w:r>
            <w:r>
              <w:rPr>
                <w:rFonts w:eastAsia="宋体"/>
                <w:color w:val="000000"/>
                <w:lang w:eastAsia="zh-CN"/>
              </w:rPr>
              <w:t xml:space="preserve"> Here, we assume </w:t>
            </w:r>
            <w:r>
              <w:rPr>
                <w:iCs/>
              </w:rPr>
              <w:t>I</w:t>
            </w:r>
            <w:r>
              <w:t xml:space="preserve"> = 8</w:t>
            </w:r>
            <w:r>
              <w:rPr>
                <w:rFonts w:eastAsia="宋体"/>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For LDPC codes, the performance-complexity tradeoff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lastRenderedPageBreak/>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75pt;height:36.45pt;mso-width-percent:0;mso-height-percent:0;mso-width-percent:0;mso-height-percent:0" o:ole="">
            <v:imagedata r:id="rId10" o:title=""/>
          </v:shape>
          <o:OLEObject Type="Embed" ProgID="Equation.DSMT4" ShapeID="_x0000_i1026" DrawAspect="Content" ObjectID="_1825007264"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8pt;height:34.2pt;mso-width-percent:0;mso-height-percent:0;mso-width-percent:0;mso-height-percent:0" o:ole="">
            <v:imagedata r:id="rId8" o:title=""/>
          </v:shape>
          <o:OLEObject Type="Embed" ProgID="Equation.DSMT4" ShapeID="_x0000_i1027" DrawAspect="Content" ObjectID="_1825007265"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D5FB14E" w14:textId="77777777" w:rsidR="007B6E17" w:rsidRDefault="005C1924">
      <w:pPr>
        <w:spacing w:after="0" w:line="240" w:lineRule="auto"/>
        <w:ind w:left="840"/>
        <w:jc w:val="left"/>
        <w:rPr>
          <w:rFonts w:eastAsia="宋体"/>
          <w:lang w:eastAsia="zh-CN"/>
        </w:rPr>
      </w:pPr>
      <w:r>
        <w:rPr>
          <w:lang w:eastAsia="zh-CN"/>
        </w:rPr>
        <w:t>I denotes the number of iteration;</w:t>
      </w:r>
      <w:r>
        <w:rPr>
          <w:rFonts w:eastAsia="宋体"/>
          <w:lang w:eastAsia="zh-CN"/>
        </w:rPr>
        <w:t xml:space="preserve"> Here, we assume </w:t>
      </w:r>
      <w:r>
        <w:t>I = 8</w:t>
      </w:r>
      <w:r>
        <w:rPr>
          <w:rFonts w:eastAsia="宋体"/>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lastRenderedPageBreak/>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t>Qualcomm:</w:t>
      </w:r>
      <w:r>
        <w:rPr>
          <w:rFonts w:eastAsia="等线"/>
          <w:lang w:val="en-US" w:eastAsia="zh-CN"/>
        </w:rPr>
        <w:t xml:space="preserve"> </w:t>
      </w:r>
      <w:r>
        <w:rPr>
          <w:rFonts w:eastAsia="宋体"/>
        </w:rPr>
        <w:t>RAN1 shall discuss metrics to capture the decoding complexity in the complexity-performance tradeoff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w:lastRenderedPageBreak/>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vivo(*), CMCC, CATT(*), Lenovo(*), OPPO(*), Huawei(*), Samsung(*), ZTE(*), Tejas, SJTU(*), LGE(*), ETRI(*), ESA(*), Thales(*), Apple(*), Qualcomm(*), Ericsson(*), Fujistu(*),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lastRenderedPageBreak/>
              <w:t>vivo, CMCC, CATT, Lenovo, Huawei, Samsung(*),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lastRenderedPageBreak/>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OPPO, Huawei</w:t>
            </w:r>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ZTE</w:t>
            </w:r>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Huawei</w:t>
            </w:r>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vivo (*), ZTE(*),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lastRenderedPageBreak/>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TDocs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lastRenderedPageBreak/>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Generally support the first 3 bullet but definition of complexity needs to be clarified further, for example, is it computation complexity of implementation complexity? Also, similar comments to previous comments, it is better to have some alignment on the Tput/latency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lastRenderedPageBreak/>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bl>
    <w:p w14:paraId="2D5FB229" w14:textId="77777777" w:rsidR="007B6E17" w:rsidRPr="00081EC6" w:rsidRDefault="007B6E17">
      <w:pPr>
        <w:rPr>
          <w:rFonts w:eastAsiaTheme="minorEastAsia"/>
          <w:lang w:val="en-US"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 determined based on Kb and Zc;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 xml:space="preserve">Polar is the control channel candidate and the evaluation assumptions need to reflect the requirements for at least IC/hRLLC/MC  </w:t>
            </w:r>
          </w:p>
          <w:p w14:paraId="2D5FB2AB" w14:textId="77777777" w:rsidR="007B6E17" w:rsidRDefault="005C1924">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lastRenderedPageBreak/>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is recommended (to observe the error floor) for hRLLC</w:t>
            </w:r>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2D5FB2F3"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lastRenderedPageBreak/>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CR=1/3,Z=128,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lastRenderedPageBreak/>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eMBB</w:t>
                  </w:r>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i.</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5G NR supports diverse UE device types and diverse UE tiers with very different peak data rate conditions. 5G Low tier modems and Redcap/eRedcap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lastRenderedPageBreak/>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1/12, 1/6, 1/5, 1/3, 2/5, 1/2, 2/3, 3/4, 5/6, 8/9: xiaomi</w:t>
            </w:r>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r>
              <w:rPr>
                <w:rFonts w:eastAsia="等线"/>
                <w:bCs/>
                <w:lang w:val="en-US" w:eastAsia="zh-CN"/>
              </w:rPr>
              <w:t>vivo, Lenovo, Xiaomi, Samsung, ZTE, SJTU(*),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r>
              <w:t xml:space="preserve">CATT(*), OPPO(*), </w:t>
            </w:r>
            <w:r>
              <w:rPr>
                <w:rFonts w:eastAsia="宋体"/>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lastRenderedPageBreak/>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t>
            </w:r>
            <w:r>
              <w:rPr>
                <w:rFonts w:eastAsiaTheme="minorEastAsia" w:hint="eastAsia"/>
                <w:kern w:val="2"/>
                <w:lang w:val="en-US" w:eastAsia="zh-CN"/>
              </w:rPr>
              <w:lastRenderedPageBreak/>
              <w:t xml:space="preserve">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 .W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lastRenderedPageBreak/>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We suggest at least setting associated with high Tput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Tdoc, we provide an example on lowing MCS27 iterations to 5 lead to 3 iteration margin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074347">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074347">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lastRenderedPageBreak/>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074347">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074347">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r>
              <w:rPr>
                <w:color w:val="000000"/>
              </w:rPr>
              <w:t>Spreadtrum</w:t>
            </w:r>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lastRenderedPageBreak/>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w:t>
            </w:r>
            <w:r>
              <w:rPr>
                <w:bCs/>
                <w:sz w:val="20"/>
                <w:szCs w:val="20"/>
              </w:rPr>
              <w:lastRenderedPageBreak/>
              <w:t xml:space="preserve">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It may increase complexity if protograph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For LDPC codes, the performance-complexity tradeoff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Increasing k_b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lastRenderedPageBreak/>
              <w:t>Design a new LDPC base graph for 6G Radio supporting larger codeblock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lastRenderedPageBreak/>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lastRenderedPageBreak/>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lastRenderedPageBreak/>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lastRenderedPageBreak/>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could deliver significant area reduction for the LDPC encoder and decoder, without requiring hardware change at the gNB.</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lastRenderedPageBreak/>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7"/>
              <w:numPr>
                <w:ilvl w:val="0"/>
                <w:numId w:val="17"/>
              </w:numPr>
              <w:spacing w:after="0" w:line="240" w:lineRule="auto"/>
              <w:ind w:firstLineChars="0"/>
              <w:jc w:val="left"/>
              <w:rPr>
                <w:iCs/>
              </w:rPr>
            </w:pPr>
            <w:r>
              <w:rPr>
                <w:iCs/>
              </w:rPr>
              <w:t>Low Latency</w:t>
            </w:r>
          </w:p>
          <w:p w14:paraId="2D5FB603" w14:textId="77777777" w:rsidR="007B6E17" w:rsidRDefault="005C1924">
            <w:pPr>
              <w:pStyle w:val="af7"/>
              <w:numPr>
                <w:ilvl w:val="0"/>
                <w:numId w:val="17"/>
              </w:numPr>
              <w:spacing w:after="0" w:line="240" w:lineRule="auto"/>
              <w:ind w:firstLineChars="0"/>
              <w:jc w:val="left"/>
              <w:rPr>
                <w:iCs/>
              </w:rPr>
            </w:pPr>
            <w:r>
              <w:rPr>
                <w:iCs/>
              </w:rPr>
              <w:t>High Reliability</w:t>
            </w:r>
          </w:p>
          <w:p w14:paraId="2D5FB604" w14:textId="77777777" w:rsidR="007B6E17" w:rsidRDefault="005C1924">
            <w:pPr>
              <w:pStyle w:val="af7"/>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7"/>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7"/>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7"/>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609"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7"/>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7"/>
              <w:numPr>
                <w:ilvl w:val="0"/>
                <w:numId w:val="17"/>
              </w:numPr>
              <w:spacing w:after="0" w:line="240" w:lineRule="auto"/>
              <w:ind w:firstLineChars="0"/>
              <w:jc w:val="left"/>
              <w:rPr>
                <w:iCs/>
              </w:rPr>
            </w:pPr>
            <w:r>
              <w:rPr>
                <w:iCs/>
              </w:rPr>
              <w:t>Codes for ISAC</w:t>
            </w:r>
          </w:p>
          <w:p w14:paraId="2D5FB610"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r>
              <w:t>AccelerComm</w:t>
            </w:r>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lastRenderedPageBreak/>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lastRenderedPageBreak/>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r>
        <w:t xml:space="preserve">AccelerComm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lastRenderedPageBreak/>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r>
        <w:rPr>
          <w:rFonts w:eastAsiaTheme="minorEastAsia"/>
          <w:lang w:eastAsia="zh-CN"/>
        </w:rPr>
        <w:t>AccelerComm observes that the chip area associated with the RAM of a layered belief LDPC decoder is proportional to its maximum supported lifting size Zmax, and increasing the parallelism P and maximum lifting size Zmax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tradeoff.</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6AC" w14:textId="77777777" w:rsidR="007B6E17" w:rsidRDefault="005C1924">
      <w:pPr>
        <w:pStyle w:val="4"/>
        <w:spacing w:after="156"/>
        <w:rPr>
          <w:b/>
          <w:szCs w:val="22"/>
          <w:lang w:eastAsia="zh-CN"/>
        </w:rPr>
      </w:pPr>
      <w:r>
        <w:rPr>
          <w:b/>
          <w:szCs w:val="22"/>
          <w:lang w:eastAsia="zh-CN"/>
        </w:rPr>
        <w:t>Round 1</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Generally OK to the proposal but we would like to add one more option as proposed by our Tdco and R1-2509168(Ericsson). In our Tdoc,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2 or 4]*384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5G LDPC design adopted Z</w:t>
            </w:r>
            <w:r w:rsidRPr="00BF384C">
              <w:rPr>
                <w:rFonts w:eastAsia="宋体"/>
                <w:b/>
                <w:bCs/>
                <w:i/>
                <w:iCs/>
                <w:kern w:val="2"/>
                <w:vertAlign w:val="subscript"/>
                <w:lang w:val="en-US" w:eastAsia="zh-CN"/>
              </w:rPr>
              <w:t>max</w:t>
            </w:r>
            <w:r w:rsidRPr="00BF384C">
              <w:rPr>
                <w:rFonts w:eastAsia="宋体"/>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Increasing Z</w:t>
            </w:r>
            <w:r w:rsidRPr="00BF384C">
              <w:rPr>
                <w:rFonts w:eastAsia="宋体"/>
                <w:b/>
                <w:bCs/>
                <w:i/>
                <w:iCs/>
                <w:kern w:val="2"/>
                <w:vertAlign w:val="subscript"/>
                <w:lang w:val="en-US" w:eastAsia="zh-CN"/>
              </w:rPr>
              <w:t>max</w:t>
            </w:r>
            <w:r w:rsidRPr="00BF384C">
              <w:rPr>
                <w:rFonts w:eastAsia="宋体"/>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Increasing Z</w:t>
            </w:r>
            <w:r w:rsidRPr="00BF384C">
              <w:rPr>
                <w:rFonts w:eastAsia="宋体"/>
                <w:b/>
                <w:bCs/>
                <w:i/>
                <w:iCs/>
                <w:kern w:val="2"/>
                <w:vertAlign w:val="subscript"/>
                <w:lang w:val="en-US" w:eastAsia="zh-CN"/>
              </w:rPr>
              <w:t>max</w:t>
            </w:r>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LDPC extension are outline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Improved BLER performance under same complexity, for all targeted code rates</w:t>
            </w:r>
            <w:r w:rsidRPr="00F04E30">
              <w:rPr>
                <w:rFonts w:eastAsia="宋体"/>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bl>
    <w:p w14:paraId="2D5FB6DB" w14:textId="77777777" w:rsidR="007B6E17" w:rsidRPr="00081EC6" w:rsidRDefault="007B6E17">
      <w:pPr>
        <w:adjustRightInd w:val="0"/>
        <w:spacing w:afterLines="50" w:after="156" w:line="240" w:lineRule="auto"/>
        <w:jc w:val="left"/>
        <w:rPr>
          <w:rFonts w:eastAsiaTheme="minorEastAsia"/>
          <w:b/>
          <w:bCs/>
          <w:lang w:eastAsia="zh-CN"/>
        </w:rPr>
      </w:pP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lastRenderedPageBreak/>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lastRenderedPageBreak/>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for a reduced Z</w:t>
            </w:r>
            <w:r>
              <w:rPr>
                <w:rFonts w:eastAsiaTheme="minorEastAsia"/>
                <w:kern w:val="2"/>
                <w:vertAlign w:val="subscript"/>
                <w:lang w:val="en-US" w:eastAsia="zh-CN"/>
              </w:rPr>
              <w:t>max</w:t>
            </w:r>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lastRenderedPageBreak/>
              <w:t>Lenovo</w:t>
            </w:r>
          </w:p>
        </w:tc>
        <w:tc>
          <w:tcPr>
            <w:tcW w:w="8215" w:type="dxa"/>
          </w:tcPr>
          <w:p w14:paraId="2D5FB76F" w14:textId="77777777" w:rsidR="007B6E17" w:rsidRDefault="005C1924">
            <w:pPr>
              <w:rPr>
                <w:bCs/>
                <w:iCs/>
              </w:rPr>
            </w:pPr>
            <w:r>
              <w:rPr>
                <w:bCs/>
                <w:iCs/>
              </w:rPr>
              <w:t>Proposal 10: Evaluate optimized interleaver designs and refined bit-to-symbol mapping to support enhancements of LDPC data channel coding for higher order modulation schemes (e.g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lastRenderedPageBreak/>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r>
              <w:rPr>
                <w:color w:val="000000"/>
              </w:rPr>
              <w:t>InterDigital</w:t>
            </w:r>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r>
              <w:rPr>
                <w:color w:val="000000"/>
              </w:rPr>
              <w:t>CEWiT</w:t>
            </w:r>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lastRenderedPageBreak/>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r>
        <w:rPr>
          <w:lang w:val="en-US"/>
        </w:rPr>
        <w:t>InterDigital</w:t>
      </w:r>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r>
        <w:t>InterDigital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interleaver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lastRenderedPageBreak/>
        <w:t>vivo observe</w:t>
      </w:r>
      <w:r>
        <w:rPr>
          <w:rFonts w:eastAsiaTheme="minorEastAsia" w:hint="eastAsia"/>
          <w:lang w:eastAsia="zh-CN"/>
        </w:rPr>
        <w:t>d</w:t>
      </w:r>
      <w:r>
        <w:t xml:space="preserve"> that compared with NR design, the cross-codeblock interleaver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Enhance CW-to-Layer mapping: CEWiT</w:t>
      </w:r>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lastRenderedPageBreak/>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interleaver).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that inter-CB coding can provide performance gains for the transmission of large transport blocks. Additionally, enhancing the bit interleaver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lastRenderedPageBreak/>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r>
              <w:rPr>
                <w:color w:val="000000"/>
              </w:rPr>
              <w:t>Spreadtrum</w:t>
            </w:r>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lastRenderedPageBreak/>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lastRenderedPageBreak/>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Observation 18: RNTI-FAR is avoidable by gNB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lastRenderedPageBreak/>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interleaver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interleaver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interleaver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Option 2: Remove the distributed CRC interleaver</w:t>
            </w:r>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lastRenderedPageBreak/>
              <w:t>Option 3: Redefine the distributed CRC interleaver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leverage NR interleaver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lastRenderedPageBreak/>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Indicate TPMI per subband: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Pr>
          <w:rFonts w:eastAsiaTheme="minorEastAsia" w:hint="eastAsia"/>
          <w:lang w:val="en-US" w:eastAsia="zh-CN"/>
        </w:rPr>
        <w:t>(</w:t>
      </w:r>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lastRenderedPageBreak/>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removing D-CRC and the corresponding interleaver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For the DCI payload size within NR range, the current early termination (ET) scheme should be improved. Due to the inflexible characteristics inherent to the NR D-CRC interleaver,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r>
              <w:rPr>
                <w:rFonts w:eastAsia="Malgun Gothic" w:hint="eastAsia"/>
                <w:kern w:val="2"/>
                <w:lang w:val="en-US" w:eastAsia="ko-KR"/>
              </w:rPr>
              <w:t>interleaver</w:t>
            </w:r>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Extending or re-designing the D-CRC interleaver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HiSilcon</w:t>
            </w:r>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lastRenderedPageBreak/>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r>
              <w:rPr>
                <w:color w:val="000000"/>
              </w:rPr>
              <w:lastRenderedPageBreak/>
              <w:t>Spreadtrum</w:t>
            </w:r>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r>
              <w:rPr>
                <w:iCs/>
              </w:rPr>
              <w:t>K</w:t>
            </w:r>
            <w:r>
              <w:rPr>
                <w:iCs/>
                <w:vertAlign w:val="subscript"/>
              </w:rPr>
              <w:t>segthr</w:t>
            </w:r>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lastRenderedPageBreak/>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lastRenderedPageBreak/>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lastRenderedPageBreak/>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lastRenderedPageBreak/>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lastRenderedPageBreak/>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0.63 dB.</w:t>
      </w:r>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depend on other agendas: Nokia, Spreadtrum,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 xml:space="preserve">amsung observed extending segmentation beyond two CBs provide more than 4~5dB for payloads </w:t>
      </w:r>
      <w:r>
        <w:rPr>
          <w:rFonts w:eastAsiaTheme="minorEastAsia"/>
          <w:iCs/>
          <w:lang w:eastAsia="zh-CN"/>
        </w:rPr>
        <w:lastRenderedPageBreak/>
        <w:t>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r>
        <w:rPr>
          <w:rFonts w:eastAsia="等线" w:hint="eastAsia"/>
          <w:lang w:val="en-US" w:eastAsia="zh-CN"/>
        </w:rPr>
        <w:t>dB.</w:t>
      </w:r>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bits.. To resolve this issue, ,more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A straightforward extension of the segmentation to more than two code blocks yields substantial coding gains up to around 2 dB. Provided that it is evident that excessive 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w:t>
            </w:r>
            <w:r>
              <w:rPr>
                <w:rFonts w:eastAsiaTheme="minorEastAsia" w:hint="eastAsia"/>
                <w:b/>
                <w:bCs/>
                <w:kern w:val="2"/>
                <w:lang w:val="en-US" w:eastAsia="zh-CN"/>
              </w:rPr>
              <w:t>Silicon</w:t>
            </w:r>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lastRenderedPageBreak/>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lastRenderedPageBreak/>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lastRenderedPageBreak/>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lastRenderedPageBreak/>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lastRenderedPageBreak/>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lastRenderedPageBreak/>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HiSilicon</w:t>
            </w:r>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r>
              <w:rPr>
                <w:color w:val="000000"/>
              </w:rPr>
              <w:t>Spreadtrum</w:t>
            </w:r>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lastRenderedPageBreak/>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agree to continue using existing NR Polar code for PBCH. Specific enhancements beyond legacy may be however necessary based on other A.I./RAN plenary decisions on carrier bandwidth (e.g., 3 vs. 5 Mhz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lastRenderedPageBreak/>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lastRenderedPageBreak/>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r>
              <w:rPr>
                <w:bCs/>
                <w:lang w:val="en-US"/>
              </w:rPr>
              <w:t>m :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lastRenderedPageBreak/>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lastRenderedPageBreak/>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an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r>
                    <w:rPr>
                      <w:lang w:val="en-US"/>
                    </w:rPr>
                    <w:t>N</w:t>
                  </w:r>
                  <w:r>
                    <w:rPr>
                      <w:vertAlign w:val="subscript"/>
                      <w:lang w:val="en-US"/>
                    </w:rPr>
                    <w:t>max</w:t>
                  </w:r>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IC/hRLLC/MC</w:t>
            </w:r>
          </w:p>
          <w:p w14:paraId="2D5FBC74" w14:textId="77777777" w:rsidR="007B6E17" w:rsidRDefault="005C1924">
            <w:pPr>
              <w:pStyle w:val="af7"/>
              <w:numPr>
                <w:ilvl w:val="0"/>
                <w:numId w:val="123"/>
              </w:numPr>
              <w:spacing w:after="0" w:line="240" w:lineRule="auto"/>
              <w:ind w:firstLineChars="0"/>
              <w:jc w:val="left"/>
              <w:rPr>
                <w:bCs/>
                <w:iCs/>
              </w:rPr>
            </w:pPr>
            <w:r>
              <w:rPr>
                <w:bCs/>
                <w:iCs/>
              </w:rPr>
              <w:t xml:space="preserve">Polar is the control channel candidate and the evaluation assumptions need to reflect the requirements for at least IC/hRLLC/MC  </w:t>
            </w:r>
          </w:p>
          <w:p w14:paraId="2D5FBC75" w14:textId="77777777" w:rsidR="007B6E17" w:rsidRDefault="005C1924">
            <w:pPr>
              <w:spacing w:after="0" w:line="240" w:lineRule="auto"/>
              <w:rPr>
                <w:bCs/>
                <w:iCs/>
              </w:rPr>
            </w:pPr>
            <w:r>
              <w:rPr>
                <w:bCs/>
                <w:iCs/>
              </w:rPr>
              <w:t>Proposal 4: For 6GR, the following evaluation assumptions can be used to check whether the channel coding candidates fulfill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lastRenderedPageBreak/>
              <w:t>BLER simulations down to 10</w:t>
            </w:r>
            <w:r>
              <w:rPr>
                <w:rFonts w:eastAsia="MS Mincho"/>
                <w:vertAlign w:val="superscript"/>
              </w:rPr>
              <w:t xml:space="preserve">-4 </w:t>
            </w:r>
            <w:r>
              <w:rPr>
                <w:rFonts w:eastAsia="MS Mincho"/>
              </w:rPr>
              <w:t>is recommended (to observe the error floor) for hRLLC</w:t>
            </w:r>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lastRenderedPageBreak/>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lastRenderedPageBreak/>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CRC-aided SCL decoding was assumed as the baseline polar decoding algorithm during 5G standardisation.</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r w:rsidRPr="00A96162">
        <w:rPr>
          <w:rFonts w:eastAsiaTheme="minorEastAsia"/>
          <w:lang w:eastAsia="zh-CN"/>
        </w:rPr>
        <w:t>AccelerComm</w:t>
      </w:r>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emove D-CRC interleaver: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r w:rsidRPr="00A96162">
        <w:rPr>
          <w:rFonts w:eastAsiaTheme="minorEastAsia"/>
          <w:lang w:eastAsia="zh-CN"/>
        </w:rPr>
        <w:t>AccelerComm</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r w:rsidRPr="00556D04">
        <w:rPr>
          <w:rFonts w:eastAsiaTheme="minorEastAsia"/>
          <w:lang w:eastAsia="zh-CN"/>
        </w:rPr>
        <w:t>AccelerComm</w:t>
      </w:r>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r w:rsidRPr="00A33D04">
        <w:rPr>
          <w:rFonts w:eastAsiaTheme="minorEastAsia"/>
          <w:lang w:eastAsia="zh-CN"/>
        </w:rPr>
        <w:t>AccelerComm</w:t>
      </w:r>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lastRenderedPageBreak/>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DOCOMO,Huawei</w:t>
      </w:r>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ager D-CRC interleaver:</w:t>
      </w:r>
      <w:r w:rsidRPr="000630C3">
        <w:t xml:space="preserve"> </w:t>
      </w:r>
      <w:r w:rsidRPr="000630C3">
        <w:rPr>
          <w:rFonts w:eastAsiaTheme="minorEastAsia"/>
          <w:lang w:eastAsia="zh-CN"/>
        </w:rPr>
        <w:t>AccelerComm</w:t>
      </w:r>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1020-length Polar sequence for DL: Apple (Yes), Samsung (No), Huawei(Yes)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lastRenderedPageBreak/>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2D5FBD51" w14:textId="77777777" w:rsidR="007B6E17" w:rsidRPr="000822AB" w:rsidRDefault="007B6E17">
      <w:pPr>
        <w:jc w:val="left"/>
        <w:rPr>
          <w:rFonts w:eastAsiaTheme="minor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Spreadtrum,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2D5FBD91" w14:textId="77777777" w:rsidR="007B6E17" w:rsidRDefault="005C1924">
      <w:pPr>
        <w:spacing w:after="0" w:line="259" w:lineRule="auto"/>
        <w:jc w:val="left"/>
        <w:rPr>
          <w:bCs/>
        </w:rPr>
      </w:pPr>
      <w:r>
        <w:rPr>
          <w:bCs/>
        </w:rPr>
        <w:lastRenderedPageBreak/>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lastRenderedPageBreak/>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B880" w14:textId="77777777" w:rsidR="00F0669D" w:rsidRDefault="00F0669D">
      <w:pPr>
        <w:spacing w:line="240" w:lineRule="auto"/>
      </w:pPr>
      <w:r>
        <w:separator/>
      </w:r>
    </w:p>
  </w:endnote>
  <w:endnote w:type="continuationSeparator" w:id="0">
    <w:p w14:paraId="2D4E4497" w14:textId="77777777" w:rsidR="00F0669D" w:rsidRDefault="00F066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58A8" w14:textId="77777777" w:rsidR="00F0669D" w:rsidRDefault="00F0669D">
      <w:pPr>
        <w:spacing w:after="0"/>
      </w:pPr>
      <w:r>
        <w:separator/>
      </w:r>
    </w:p>
  </w:footnote>
  <w:footnote w:type="continuationSeparator" w:id="0">
    <w:p w14:paraId="11E6FBF6" w14:textId="77777777" w:rsidR="00F0669D" w:rsidRDefault="00F066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1"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9"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4"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0"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5"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7"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8"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1"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3"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4"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2"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3"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7"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0"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1"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3"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8"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9"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1"/>
  </w:num>
  <w:num w:numId="5" w16cid:durableId="1108237350">
    <w:abstractNumId w:val="59"/>
  </w:num>
  <w:num w:numId="6" w16cid:durableId="1983580822">
    <w:abstractNumId w:val="82"/>
  </w:num>
  <w:num w:numId="7" w16cid:durableId="388919515">
    <w:abstractNumId w:val="72"/>
  </w:num>
  <w:num w:numId="8" w16cid:durableId="1855997216">
    <w:abstractNumId w:val="29"/>
  </w:num>
  <w:num w:numId="9" w16cid:durableId="1849254458">
    <w:abstractNumId w:val="136"/>
  </w:num>
  <w:num w:numId="10" w16cid:durableId="693534164">
    <w:abstractNumId w:val="111"/>
  </w:num>
  <w:num w:numId="11" w16cid:durableId="905142744">
    <w:abstractNumId w:val="87"/>
  </w:num>
  <w:num w:numId="12" w16cid:durableId="1019238202">
    <w:abstractNumId w:val="10"/>
  </w:num>
  <w:num w:numId="13" w16cid:durableId="66348198">
    <w:abstractNumId w:val="66"/>
  </w:num>
  <w:num w:numId="14" w16cid:durableId="1735927785">
    <w:abstractNumId w:val="67"/>
  </w:num>
  <w:num w:numId="15" w16cid:durableId="726489381">
    <w:abstractNumId w:val="52"/>
  </w:num>
  <w:num w:numId="16" w16cid:durableId="45497609">
    <w:abstractNumId w:val="109"/>
  </w:num>
  <w:num w:numId="17" w16cid:durableId="120880333">
    <w:abstractNumId w:val="58"/>
  </w:num>
  <w:num w:numId="18" w16cid:durableId="1974828530">
    <w:abstractNumId w:val="7"/>
  </w:num>
  <w:num w:numId="19" w16cid:durableId="962928415">
    <w:abstractNumId w:val="124"/>
  </w:num>
  <w:num w:numId="20" w16cid:durableId="1637569587">
    <w:abstractNumId w:val="20"/>
  </w:num>
  <w:num w:numId="21" w16cid:durableId="439179367">
    <w:abstractNumId w:val="12"/>
  </w:num>
  <w:num w:numId="22" w16cid:durableId="268122024">
    <w:abstractNumId w:val="15"/>
  </w:num>
  <w:num w:numId="23" w16cid:durableId="581139559">
    <w:abstractNumId w:val="120"/>
  </w:num>
  <w:num w:numId="24" w16cid:durableId="230308102">
    <w:abstractNumId w:val="118"/>
  </w:num>
  <w:num w:numId="25" w16cid:durableId="122114615">
    <w:abstractNumId w:val="98"/>
  </w:num>
  <w:num w:numId="26" w16cid:durableId="16469814">
    <w:abstractNumId w:val="75"/>
  </w:num>
  <w:num w:numId="27" w16cid:durableId="601844628">
    <w:abstractNumId w:val="45"/>
  </w:num>
  <w:num w:numId="28" w16cid:durableId="978194537">
    <w:abstractNumId w:val="17"/>
  </w:num>
  <w:num w:numId="29" w16cid:durableId="592277483">
    <w:abstractNumId w:val="30"/>
  </w:num>
  <w:num w:numId="30" w16cid:durableId="1603418126">
    <w:abstractNumId w:val="125"/>
  </w:num>
  <w:num w:numId="31" w16cid:durableId="614487706">
    <w:abstractNumId w:val="25"/>
  </w:num>
  <w:num w:numId="32" w16cid:durableId="2072271261">
    <w:abstractNumId w:val="64"/>
  </w:num>
  <w:num w:numId="33" w16cid:durableId="1369332111">
    <w:abstractNumId w:val="76"/>
  </w:num>
  <w:num w:numId="34" w16cid:durableId="1174344569">
    <w:abstractNumId w:val="33"/>
  </w:num>
  <w:num w:numId="35" w16cid:durableId="85542171">
    <w:abstractNumId w:val="21"/>
  </w:num>
  <w:num w:numId="36" w16cid:durableId="74935275">
    <w:abstractNumId w:val="69"/>
  </w:num>
  <w:num w:numId="37" w16cid:durableId="1089349996">
    <w:abstractNumId w:val="13"/>
  </w:num>
  <w:num w:numId="38" w16cid:durableId="1467354527">
    <w:abstractNumId w:val="65"/>
  </w:num>
  <w:num w:numId="39" w16cid:durableId="173346837">
    <w:abstractNumId w:val="107"/>
  </w:num>
  <w:num w:numId="40" w16cid:durableId="1519393328">
    <w:abstractNumId w:val="84"/>
  </w:num>
  <w:num w:numId="41" w16cid:durableId="1991474462">
    <w:abstractNumId w:val="108"/>
  </w:num>
  <w:num w:numId="42" w16cid:durableId="1235967525">
    <w:abstractNumId w:val="32"/>
  </w:num>
  <w:num w:numId="43" w16cid:durableId="1336298892">
    <w:abstractNumId w:val="79"/>
  </w:num>
  <w:num w:numId="44" w16cid:durableId="1154757045">
    <w:abstractNumId w:val="60"/>
  </w:num>
  <w:num w:numId="45" w16cid:durableId="1266614433">
    <w:abstractNumId w:val="113"/>
  </w:num>
  <w:num w:numId="46" w16cid:durableId="1435050099">
    <w:abstractNumId w:val="133"/>
  </w:num>
  <w:num w:numId="47" w16cid:durableId="1086272129">
    <w:abstractNumId w:val="50"/>
  </w:num>
  <w:num w:numId="48" w16cid:durableId="965233359">
    <w:abstractNumId w:val="56"/>
  </w:num>
  <w:num w:numId="49" w16cid:durableId="1270316623">
    <w:abstractNumId w:val="100"/>
  </w:num>
  <w:num w:numId="50" w16cid:durableId="28115364">
    <w:abstractNumId w:val="40"/>
  </w:num>
  <w:num w:numId="51" w16cid:durableId="2144231418">
    <w:abstractNumId w:val="4"/>
  </w:num>
  <w:num w:numId="52" w16cid:durableId="334768389">
    <w:abstractNumId w:val="139"/>
  </w:num>
  <w:num w:numId="53" w16cid:durableId="76295812">
    <w:abstractNumId w:val="102"/>
  </w:num>
  <w:num w:numId="54" w16cid:durableId="1616863583">
    <w:abstractNumId w:val="74"/>
  </w:num>
  <w:num w:numId="55" w16cid:durableId="289749829">
    <w:abstractNumId w:val="37"/>
  </w:num>
  <w:num w:numId="56" w16cid:durableId="1805807906">
    <w:abstractNumId w:val="22"/>
  </w:num>
  <w:num w:numId="57" w16cid:durableId="395594594">
    <w:abstractNumId w:val="49"/>
  </w:num>
  <w:num w:numId="58" w16cid:durableId="1499733212">
    <w:abstractNumId w:val="115"/>
  </w:num>
  <w:num w:numId="59" w16cid:durableId="1245382228">
    <w:abstractNumId w:val="92"/>
  </w:num>
  <w:num w:numId="60" w16cid:durableId="449855841">
    <w:abstractNumId w:val="6"/>
  </w:num>
  <w:num w:numId="61" w16cid:durableId="1029376038">
    <w:abstractNumId w:val="91"/>
  </w:num>
  <w:num w:numId="62" w16cid:durableId="461928857">
    <w:abstractNumId w:val="73"/>
  </w:num>
  <w:num w:numId="63" w16cid:durableId="838274940">
    <w:abstractNumId w:val="103"/>
  </w:num>
  <w:num w:numId="64" w16cid:durableId="33242103">
    <w:abstractNumId w:val="85"/>
  </w:num>
  <w:num w:numId="65" w16cid:durableId="817653580">
    <w:abstractNumId w:val="51"/>
  </w:num>
  <w:num w:numId="66" w16cid:durableId="1236429276">
    <w:abstractNumId w:val="80"/>
  </w:num>
  <w:num w:numId="67" w16cid:durableId="1801609919">
    <w:abstractNumId w:val="104"/>
  </w:num>
  <w:num w:numId="68" w16cid:durableId="78799133">
    <w:abstractNumId w:val="5"/>
  </w:num>
  <w:num w:numId="69" w16cid:durableId="814104507">
    <w:abstractNumId w:val="38"/>
  </w:num>
  <w:num w:numId="70" w16cid:durableId="2076968866">
    <w:abstractNumId w:val="31"/>
  </w:num>
  <w:num w:numId="71" w16cid:durableId="1032682804">
    <w:abstractNumId w:val="9"/>
  </w:num>
  <w:num w:numId="72" w16cid:durableId="1831828675">
    <w:abstractNumId w:val="138"/>
  </w:num>
  <w:num w:numId="73" w16cid:durableId="2039118177">
    <w:abstractNumId w:val="128"/>
  </w:num>
  <w:num w:numId="74" w16cid:durableId="178466813">
    <w:abstractNumId w:val="116"/>
  </w:num>
  <w:num w:numId="75" w16cid:durableId="110367103">
    <w:abstractNumId w:val="14"/>
  </w:num>
  <w:num w:numId="76" w16cid:durableId="2133595309">
    <w:abstractNumId w:val="19"/>
  </w:num>
  <w:num w:numId="77" w16cid:durableId="1504004963">
    <w:abstractNumId w:val="88"/>
  </w:num>
  <w:num w:numId="78" w16cid:durableId="921336459">
    <w:abstractNumId w:val="41"/>
  </w:num>
  <w:num w:numId="79" w16cid:durableId="1637298256">
    <w:abstractNumId w:val="101"/>
  </w:num>
  <w:num w:numId="80" w16cid:durableId="1989361307">
    <w:abstractNumId w:val="55"/>
  </w:num>
  <w:num w:numId="81" w16cid:durableId="923957656">
    <w:abstractNumId w:val="28"/>
  </w:num>
  <w:num w:numId="82" w16cid:durableId="459031553">
    <w:abstractNumId w:val="126"/>
  </w:num>
  <w:num w:numId="83" w16cid:durableId="1839804221">
    <w:abstractNumId w:val="39"/>
  </w:num>
  <w:num w:numId="84" w16cid:durableId="1438140173">
    <w:abstractNumId w:val="63"/>
  </w:num>
  <w:num w:numId="85" w16cid:durableId="784083259">
    <w:abstractNumId w:val="112"/>
  </w:num>
  <w:num w:numId="86" w16cid:durableId="141654072">
    <w:abstractNumId w:val="78"/>
  </w:num>
  <w:num w:numId="87" w16cid:durableId="1575555051">
    <w:abstractNumId w:val="131"/>
  </w:num>
  <w:num w:numId="88" w16cid:durableId="1439180271">
    <w:abstractNumId w:val="97"/>
  </w:num>
  <w:num w:numId="89" w16cid:durableId="575633570">
    <w:abstractNumId w:val="106"/>
  </w:num>
  <w:num w:numId="90" w16cid:durableId="1714882071">
    <w:abstractNumId w:val="127"/>
  </w:num>
  <w:num w:numId="91" w16cid:durableId="1360203462">
    <w:abstractNumId w:val="48"/>
  </w:num>
  <w:num w:numId="92" w16cid:durableId="678965012">
    <w:abstractNumId w:val="99"/>
  </w:num>
  <w:num w:numId="93" w16cid:durableId="1406755897">
    <w:abstractNumId w:val="54"/>
  </w:num>
  <w:num w:numId="94" w16cid:durableId="451093545">
    <w:abstractNumId w:val="18"/>
  </w:num>
  <w:num w:numId="95" w16cid:durableId="1466121138">
    <w:abstractNumId w:val="110"/>
  </w:num>
  <w:num w:numId="96" w16cid:durableId="1475952231">
    <w:abstractNumId w:val="129"/>
  </w:num>
  <w:num w:numId="97" w16cid:durableId="1502770398">
    <w:abstractNumId w:val="8"/>
  </w:num>
  <w:num w:numId="98" w16cid:durableId="1033338656">
    <w:abstractNumId w:val="105"/>
  </w:num>
  <w:num w:numId="99" w16cid:durableId="339626818">
    <w:abstractNumId w:val="53"/>
  </w:num>
  <w:num w:numId="100" w16cid:durableId="173807158">
    <w:abstractNumId w:val="117"/>
  </w:num>
  <w:num w:numId="101" w16cid:durableId="702022238">
    <w:abstractNumId w:val="61"/>
  </w:num>
  <w:num w:numId="102" w16cid:durableId="1994795264">
    <w:abstractNumId w:val="86"/>
  </w:num>
  <w:num w:numId="103" w16cid:durableId="713120880">
    <w:abstractNumId w:val="123"/>
  </w:num>
  <w:num w:numId="104" w16cid:durableId="86390528">
    <w:abstractNumId w:val="16"/>
  </w:num>
  <w:num w:numId="105" w16cid:durableId="1881433537">
    <w:abstractNumId w:val="95"/>
  </w:num>
  <w:num w:numId="106" w16cid:durableId="964504872">
    <w:abstractNumId w:val="93"/>
  </w:num>
  <w:num w:numId="107" w16cid:durableId="287441359">
    <w:abstractNumId w:val="3"/>
  </w:num>
  <w:num w:numId="108" w16cid:durableId="1858158287">
    <w:abstractNumId w:val="23"/>
  </w:num>
  <w:num w:numId="109" w16cid:durableId="653729063">
    <w:abstractNumId w:val="71"/>
  </w:num>
  <w:num w:numId="110" w16cid:durableId="1987202210">
    <w:abstractNumId w:val="90"/>
  </w:num>
  <w:num w:numId="111" w16cid:durableId="1685128927">
    <w:abstractNumId w:val="135"/>
  </w:num>
  <w:num w:numId="112" w16cid:durableId="1325932532">
    <w:abstractNumId w:val="137"/>
  </w:num>
  <w:num w:numId="113" w16cid:durableId="1134445084">
    <w:abstractNumId w:val="89"/>
  </w:num>
  <w:num w:numId="114" w16cid:durableId="836266188">
    <w:abstractNumId w:val="77"/>
  </w:num>
  <w:num w:numId="115" w16cid:durableId="1766341758">
    <w:abstractNumId w:val="114"/>
  </w:num>
  <w:num w:numId="116" w16cid:durableId="950631858">
    <w:abstractNumId w:val="26"/>
  </w:num>
  <w:num w:numId="117" w16cid:durableId="659429782">
    <w:abstractNumId w:val="35"/>
  </w:num>
  <w:num w:numId="118" w16cid:durableId="1669601699">
    <w:abstractNumId w:val="68"/>
  </w:num>
  <w:num w:numId="119" w16cid:durableId="1071462130">
    <w:abstractNumId w:val="43"/>
  </w:num>
  <w:num w:numId="120" w16cid:durableId="1469660716">
    <w:abstractNumId w:val="62"/>
  </w:num>
  <w:num w:numId="121" w16cid:durableId="1365134841">
    <w:abstractNumId w:val="2"/>
  </w:num>
  <w:num w:numId="122" w16cid:durableId="9917116">
    <w:abstractNumId w:val="46"/>
  </w:num>
  <w:num w:numId="123" w16cid:durableId="1374964171">
    <w:abstractNumId w:val="70"/>
  </w:num>
  <w:num w:numId="124" w16cid:durableId="1287586078">
    <w:abstractNumId w:val="134"/>
  </w:num>
  <w:num w:numId="125" w16cid:durableId="1580140659">
    <w:abstractNumId w:val="96"/>
  </w:num>
  <w:num w:numId="126" w16cid:durableId="2065903067">
    <w:abstractNumId w:val="42"/>
  </w:num>
  <w:num w:numId="127" w16cid:durableId="966592896">
    <w:abstractNumId w:val="24"/>
  </w:num>
  <w:num w:numId="128" w16cid:durableId="503328335">
    <w:abstractNumId w:val="132"/>
  </w:num>
  <w:num w:numId="129" w16cid:durableId="1446772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1"/>
    <w:lvlOverride w:ilvl="0">
      <w:startOverride w:val="1"/>
    </w:lvlOverride>
    <w:lvlOverride w:ilvl="1">
      <w:startOverride w:val="1"/>
    </w:lvlOverride>
  </w:num>
  <w:num w:numId="131" w16cid:durableId="439450953">
    <w:abstractNumId w:val="36"/>
  </w:num>
  <w:num w:numId="132" w16cid:durableId="669717359">
    <w:abstractNumId w:val="27"/>
  </w:num>
  <w:num w:numId="133" w16cid:durableId="495998044">
    <w:abstractNumId w:val="47"/>
  </w:num>
  <w:num w:numId="134" w16cid:durableId="1588924246">
    <w:abstractNumId w:val="53"/>
  </w:num>
  <w:num w:numId="135" w16cid:durableId="729112528">
    <w:abstractNumId w:val="119"/>
  </w:num>
  <w:num w:numId="136" w16cid:durableId="925186170">
    <w:abstractNumId w:val="83"/>
  </w:num>
  <w:num w:numId="137" w16cid:durableId="534580003">
    <w:abstractNumId w:val="44"/>
  </w:num>
  <w:num w:numId="138" w16cid:durableId="1214925432">
    <w:abstractNumId w:val="130"/>
  </w:num>
  <w:num w:numId="139" w16cid:durableId="857548809">
    <w:abstractNumId w:val="122"/>
  </w:num>
  <w:num w:numId="140" w16cid:durableId="970329163">
    <w:abstractNumId w:val="57"/>
  </w:num>
  <w:num w:numId="141" w16cid:durableId="1766338708">
    <w:abstractNumId w:val="9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669C1"/>
    <w:rsid w:val="000703C9"/>
    <w:rsid w:val="0007053E"/>
    <w:rsid w:val="000705E3"/>
    <w:rsid w:val="000706CD"/>
    <w:rsid w:val="0007190C"/>
    <w:rsid w:val="00073566"/>
    <w:rsid w:val="000743D5"/>
    <w:rsid w:val="00074E67"/>
    <w:rsid w:val="000759D7"/>
    <w:rsid w:val="00076181"/>
    <w:rsid w:val="00076569"/>
    <w:rsid w:val="00080AFF"/>
    <w:rsid w:val="00081138"/>
    <w:rsid w:val="00081EC6"/>
    <w:rsid w:val="000822AB"/>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35C2"/>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17E9"/>
    <w:rsid w:val="00161909"/>
    <w:rsid w:val="00162205"/>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D1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20AE"/>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886"/>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435A"/>
    <w:rsid w:val="007665B1"/>
    <w:rsid w:val="0076700D"/>
    <w:rsid w:val="00770728"/>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D73E5"/>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3DF3"/>
    <w:rsid w:val="00874B1D"/>
    <w:rsid w:val="008764F2"/>
    <w:rsid w:val="00877670"/>
    <w:rsid w:val="008776C8"/>
    <w:rsid w:val="00877CA8"/>
    <w:rsid w:val="00882918"/>
    <w:rsid w:val="008837F2"/>
    <w:rsid w:val="008839C4"/>
    <w:rsid w:val="0088424E"/>
    <w:rsid w:val="00884C67"/>
    <w:rsid w:val="00887466"/>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4796"/>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0C3B"/>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15AE"/>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380D"/>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516"/>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669D"/>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616</TotalTime>
  <Pages>94</Pages>
  <Words>42978</Words>
  <Characters>244977</Characters>
  <Application>Microsoft Office Word</Application>
  <DocSecurity>0</DocSecurity>
  <Lines>2041</Lines>
  <Paragraphs>574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31</cp:revision>
  <dcterms:created xsi:type="dcterms:W3CDTF">2025-11-17T23:34:00Z</dcterms:created>
  <dcterms:modified xsi:type="dcterms:W3CDTF">2025-11-18T13:40:00Z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