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52.15pt" o:ole="">
            <v:imagedata r:id="rId8" o:title=""/>
          </v:shape>
          <o:OLEObject Type="Embed" ProgID="Visio.Drawing.15" ShapeID="_x0000_i1025" DrawAspect="Content" ObjectID="_1832153020" r:id="rId9"/>
        </w:object>
      </w:r>
    </w:p>
    <w:p w14:paraId="77D3E727" w14:textId="77777777" w:rsidR="00F2259E" w:rsidRDefault="00B916E1">
      <w:pPr>
        <w:pStyle w:val="Caption"/>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parameters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IMU supports studying DL WUS coverage requirements. In addition to coverage target alignment and CE techniques, we suggest explicitly including (</w:t>
            </w:r>
            <w:proofErr w:type="spellStart"/>
            <w:r w:rsidRPr="004116D1">
              <w:rPr>
                <w:rFonts w:eastAsia="DengXian"/>
                <w:lang w:eastAsia="zh-CN"/>
              </w:rPr>
              <w:t>i</w:t>
            </w:r>
            <w:proofErr w:type="spellEnd"/>
            <w:r w:rsidRPr="004116D1">
              <w:rPr>
                <w:rFonts w:eastAsia="DengXian"/>
                <w:lang w:eastAsia="zh-CN"/>
              </w:rPr>
              <w:t xml:space="preserve">)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hint="eastAsia"/>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5267E8"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rPr>
                  </w:pPr>
                  <w:r w:rsidRPr="005267E8">
                    <w:rPr>
                      <w:rFonts w:eastAsia="SimSun" w:cstheme="minorHAnsi"/>
                      <w:sz w:val="20"/>
                    </w:rPr>
                    <w:t>Same coverage (as 5G mid-band) for initial access</w:t>
                  </w:r>
                </w:p>
                <w:p w14:paraId="15205ED0" w14:textId="77777777" w:rsidR="005333DA" w:rsidRPr="005267E8"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rPr>
                  </w:pPr>
                  <w:r w:rsidRPr="005267E8">
                    <w:rPr>
                      <w:rFonts w:eastAsia="SimSun" w:cstheme="minorHAnsi"/>
                      <w:sz w:val="20"/>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hint="eastAsia"/>
                <w:lang w:eastAsia="zh-CN"/>
              </w:rPr>
            </w:pP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lastRenderedPageBreak/>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lastRenderedPageBreak/>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Also, the ‘information encoding’ is confusing, which may not only covers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lastRenderedPageBreak/>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lastRenderedPageBreak/>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hint="eastAsia"/>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hint="eastAsia"/>
                <w:lang w:eastAsia="zh-CN"/>
              </w:rPr>
            </w:pPr>
            <w:r w:rsidRPr="00C51B25">
              <w:rPr>
                <w:rFonts w:eastAsia="Yu Mincho"/>
                <w:lang w:eastAsia="ja-JP"/>
              </w:rPr>
              <w:t>We are fine with both proposals.</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lastRenderedPageBreak/>
        <w:t xml:space="preserve">Many contributions (Nokia, LG, TCL, CATT, Sony, and Xiaomi) suggest studying m-sequences and Gold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Panasonic suggests reusing existing 6G synchronization signals (like PSS based on m-sequences or SSS based on Gold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lastRenderedPageBreak/>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s we discussed in our contribution, the time domain duration of each OFDM sequence and the number of candidate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lastRenderedPageBreak/>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number of candidate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he number of candidate OFDM sequences directly impacts the number of bits carried by each OFDM sequence, and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s the number of candidate OFDM sequences increasing, the detection performance of OFDM based sequence would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r>
              <w:rPr>
                <w:rFonts w:eastAsia="DengXian" w:hint="eastAsia"/>
                <w:lang w:eastAsia="zh-CN"/>
              </w:rPr>
              <w:t>T</w:t>
            </w:r>
            <w:r>
              <w:rPr>
                <w:rFonts w:eastAsia="DengXian"/>
                <w:lang w:eastAsia="zh-CN"/>
              </w:rPr>
              <w:t>hus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he number of candidate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lastRenderedPageBreak/>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lastRenderedPageBreak/>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bits(the </w:t>
            </w:r>
            <w:r>
              <w:rPr>
                <w:rFonts w:eastAsia="DengXian"/>
                <w:lang w:eastAsia="zh-CN"/>
              </w:rPr>
              <w:t>capacity of sequence</w:t>
            </w:r>
            <w:r>
              <w:rPr>
                <w:rFonts w:eastAsia="DengXian" w:hint="eastAsia"/>
                <w:lang w:eastAsia="zh-CN"/>
              </w:rPr>
              <w:t xml:space="preserve"> may </w:t>
            </w:r>
            <w:r>
              <w:rPr>
                <w:rFonts w:eastAsia="DengXian"/>
                <w:lang w:eastAsia="zh-CN"/>
              </w:rPr>
              <w:t xml:space="preserve">have </w:t>
            </w:r>
            <w:r>
              <w:rPr>
                <w:rFonts w:eastAsia="DengXian" w:hint="eastAsia"/>
                <w:lang w:eastAsia="zh-CN"/>
              </w:rPr>
              <w:t xml:space="preserve"> </w:t>
            </w:r>
            <w:r>
              <w:rPr>
                <w:rFonts w:eastAsia="DengXian"/>
                <w:lang w:eastAsia="zh-CN"/>
              </w:rPr>
              <w:t>been</w:t>
            </w:r>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lastRenderedPageBreak/>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hint="eastAsia"/>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hint="eastAsia"/>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lastRenderedPageBreak/>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lastRenderedPageBreak/>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lastRenderedPageBreak/>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lastRenderedPageBreak/>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lastRenderedPageBreak/>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non-cluster based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lastRenderedPageBreak/>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 xml:space="preserve">Cluster &amp; non-cluster based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lastRenderedPageBreak/>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lastRenderedPageBreak/>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lastRenderedPageBreak/>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 xml:space="preserve">Transition times from deep sleep states significantly impact latency; for instance, the Ultra-Deep Sleep state may require more than a second (1600 </w:t>
      </w:r>
      <w:proofErr w:type="spellStart"/>
      <w:r>
        <w:rPr>
          <w:lang w:eastAsia="ja-JP"/>
        </w:rPr>
        <w:t>ms</w:t>
      </w:r>
      <w:proofErr w:type="spellEnd"/>
      <w:r>
        <w:rPr>
          <w:lang w:eastAsia="ja-JP"/>
        </w:rPr>
        <w:t xml:space="preserve">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lastRenderedPageBreak/>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lastRenderedPageBreak/>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hint="eastAsia"/>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hint="eastAsia"/>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lastRenderedPageBreak/>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lastRenderedPageBreak/>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We think we should focus on the impact on NW,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lastRenderedPageBreak/>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hint="eastAsia"/>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hint="eastAsia"/>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lastRenderedPageBreak/>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10.1pt;height:112.05pt" o:ole="">
            <v:imagedata r:id="rId17" o:title=""/>
            <o:lock v:ext="edit" aspectratio="f"/>
          </v:shape>
          <o:OLEObject Type="Embed" ProgID="Visio.Drawing.15" ShapeID="_x0000_i1026" DrawAspect="Content" ObjectID="_1832153021" r:id="rId18"/>
        </w:object>
      </w:r>
    </w:p>
    <w:p w14:paraId="341FA5A5" w14:textId="77777777" w:rsidR="00F2259E" w:rsidRDefault="00B916E1">
      <w:pPr>
        <w:pStyle w:val="Caption"/>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lastRenderedPageBreak/>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lastRenderedPageBreak/>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state ?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hint="eastAsia"/>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hint="eastAsia"/>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lastRenderedPageBreak/>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 xml:space="preserve">A majority of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10−2 and a FAR between 10−1 and 10−2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lastRenderedPageBreak/>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lastRenderedPageBreak/>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We agree with FL that some of the bullets are overlapping with previous FL proposals. Moreover, it is also overlapping with previous agreement (cited below). Therefore, we don’t see the strong need of the this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lastRenderedPageBreak/>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hint="eastAsia"/>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hint="eastAsia"/>
                <w:lang w:eastAsia="zh-CN"/>
              </w:rPr>
            </w:pPr>
            <w:r>
              <w:rPr>
                <w:rFonts w:eastAsia="Yu Mincho" w:hint="eastAsia"/>
                <w:lang w:eastAsia="ja-JP"/>
              </w:rPr>
              <w:t>We are fine with this proposal.</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5333DA"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lastRenderedPageBreak/>
              <w:t>Yanpeng Yang</w:t>
            </w:r>
          </w:p>
        </w:tc>
        <w:tc>
          <w:tcPr>
            <w:tcW w:w="3210"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5333DA"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lastRenderedPageBreak/>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5333DA"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5333DA"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5333DA"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5333DA" w14:paraId="13B090F6" w14:textId="77777777">
        <w:tc>
          <w:tcPr>
            <w:tcW w:w="3209"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210"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210" w:type="dxa"/>
          </w:tcPr>
          <w:p w14:paraId="4E49C554" w14:textId="77777777" w:rsidR="0024201B" w:rsidRDefault="0024201B" w:rsidP="0024201B">
            <w:pPr>
              <w:spacing w:after="0"/>
            </w:pPr>
            <w:hyperlink r:id="rId27" w:history="1">
              <w:r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5333DA" w14:paraId="37C93716" w14:textId="77777777">
        <w:tc>
          <w:tcPr>
            <w:tcW w:w="3209"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210"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210"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Hyperlink"/>
                  <w:rFonts w:eastAsia="Yu Mincho"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Hyperlink"/>
                  <w:rFonts w:eastAsia="Yu Mincho"/>
                  <w:sz w:val="18"/>
                  <w:szCs w:val="18"/>
                  <w:lang w:val="sv-SE" w:eastAsia="ja-JP"/>
                </w:rPr>
                <w:t>Sam.Atungsiri@sony.com</w:t>
              </w:r>
            </w:hyperlink>
          </w:p>
        </w:tc>
      </w:tr>
      <w:tr w:rsidR="00B71290" w:rsidRPr="005333DA" w14:paraId="53621C51" w14:textId="77777777">
        <w:tc>
          <w:tcPr>
            <w:tcW w:w="3209" w:type="dxa"/>
          </w:tcPr>
          <w:p w14:paraId="3100C962" w14:textId="2C6C1355" w:rsidR="00B71290" w:rsidRDefault="00B71290" w:rsidP="00EC190E">
            <w:pPr>
              <w:spacing w:after="0"/>
              <w:rPr>
                <w:rFonts w:eastAsia="Yu Mincho" w:hint="eastAsia"/>
                <w:sz w:val="18"/>
                <w:szCs w:val="18"/>
                <w:lang w:val="sv-SE" w:eastAsia="ja-JP"/>
              </w:rPr>
            </w:pPr>
            <w:r>
              <w:rPr>
                <w:rFonts w:eastAsia="Yu Mincho"/>
                <w:sz w:val="18"/>
                <w:szCs w:val="18"/>
                <w:lang w:val="sv-SE" w:eastAsia="ja-JP"/>
              </w:rPr>
              <w:t>Panasonic</w:t>
            </w:r>
          </w:p>
        </w:tc>
        <w:tc>
          <w:tcPr>
            <w:tcW w:w="3210"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hint="eastAsia"/>
                <w:sz w:val="18"/>
                <w:szCs w:val="18"/>
                <w:lang w:val="sv-SE" w:eastAsia="ja-JP"/>
              </w:rPr>
            </w:pPr>
            <w:r>
              <w:rPr>
                <w:rFonts w:eastAsia="Yu Mincho"/>
                <w:sz w:val="18"/>
                <w:szCs w:val="18"/>
                <w:lang w:val="sv-SE" w:eastAsia="ja-JP"/>
              </w:rPr>
              <w:t>Hidetoshi Suzuki</w:t>
            </w:r>
          </w:p>
        </w:tc>
        <w:tc>
          <w:tcPr>
            <w:tcW w:w="3210" w:type="dxa"/>
          </w:tcPr>
          <w:p w14:paraId="2F95B551" w14:textId="3EFA4E3C" w:rsidR="00D83B59" w:rsidRPr="00D83B59" w:rsidRDefault="00D83B59" w:rsidP="00EC190E">
            <w:pPr>
              <w:spacing w:after="0"/>
              <w:rPr>
                <w:sz w:val="20"/>
                <w:szCs w:val="20"/>
              </w:rPr>
            </w:pPr>
            <w:hyperlink r:id="rId30" w:history="1">
              <w:r w:rsidRPr="00D83B59">
                <w:rPr>
                  <w:rStyle w:val="Hyperlink"/>
                  <w:sz w:val="20"/>
                  <w:szCs w:val="20"/>
                </w:rPr>
                <w:t>naoto.horiike@eu.panasonic.com</w:t>
              </w:r>
            </w:hyperlink>
          </w:p>
          <w:p w14:paraId="06563D8A" w14:textId="63150CD2" w:rsidR="00D83B59" w:rsidRPr="00D83B59" w:rsidRDefault="00D83B59" w:rsidP="00EC190E">
            <w:pPr>
              <w:spacing w:after="0"/>
              <w:rPr>
                <w:sz w:val="20"/>
                <w:szCs w:val="20"/>
              </w:rPr>
            </w:pPr>
            <w:hyperlink r:id="rId31" w:history="1">
              <w:r w:rsidRPr="00D83B59">
                <w:rPr>
                  <w:rStyle w:val="Hyperlink"/>
                  <w:sz w:val="20"/>
                  <w:szCs w:val="20"/>
                </w:rPr>
                <w:t>Hongchao.Li@eu.panasonic.com</w:t>
              </w:r>
            </w:hyperlink>
          </w:p>
          <w:p w14:paraId="0B97A358" w14:textId="3BA5BCC9" w:rsidR="00C94F02" w:rsidRPr="00D83B59" w:rsidRDefault="00C94F02" w:rsidP="00EC190E">
            <w:pPr>
              <w:spacing w:after="0"/>
              <w:rPr>
                <w:sz w:val="20"/>
                <w:szCs w:val="20"/>
              </w:rPr>
            </w:pPr>
            <w:hyperlink r:id="rId32" w:history="1">
              <w:r w:rsidRPr="00D83B59">
                <w:rPr>
                  <w:rStyle w:val="Hyperlink"/>
                  <w:sz w:val="20"/>
                  <w:szCs w:val="20"/>
                </w:rPr>
                <w:t>suzuki.hidetoshi@jp.panasonic.com</w:t>
              </w:r>
            </w:hyperlink>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33"/>
          <w:footerReference w:type="default" r:id="rId34"/>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7EB3" w14:textId="77777777" w:rsidR="00A02BA9" w:rsidRDefault="00A02BA9">
      <w:pPr>
        <w:spacing w:line="240" w:lineRule="auto"/>
      </w:pPr>
      <w:r>
        <w:separator/>
      </w:r>
    </w:p>
  </w:endnote>
  <w:endnote w:type="continuationSeparator" w:id="0">
    <w:p w14:paraId="5EA2E4BB" w14:textId="77777777" w:rsidR="00A02BA9" w:rsidRDefault="00A02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B3AF" w14:textId="77777777" w:rsidR="00A02BA9" w:rsidRDefault="00A02BA9">
      <w:pPr>
        <w:spacing w:after="0"/>
      </w:pPr>
      <w:r>
        <w:separator/>
      </w:r>
    </w:p>
  </w:footnote>
  <w:footnote w:type="continuationSeparator" w:id="0">
    <w:p w14:paraId="74784420" w14:textId="77777777" w:rsidR="00A02BA9" w:rsidRDefault="00A02B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77777777" w:rsidR="00F2259E" w:rsidRDefault="00B91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0"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0"/>
  </w:num>
  <w:num w:numId="2" w16cid:durableId="338780963">
    <w:abstractNumId w:val="22"/>
  </w:num>
  <w:num w:numId="3" w16cid:durableId="716777122">
    <w:abstractNumId w:val="6"/>
  </w:num>
  <w:num w:numId="4" w16cid:durableId="1014577556">
    <w:abstractNumId w:val="2"/>
  </w:num>
  <w:num w:numId="5" w16cid:durableId="123692301">
    <w:abstractNumId w:val="5"/>
  </w:num>
  <w:num w:numId="6" w16cid:durableId="1903757864">
    <w:abstractNumId w:val="4"/>
  </w:num>
  <w:num w:numId="7" w16cid:durableId="1534269999">
    <w:abstractNumId w:val="15"/>
  </w:num>
  <w:num w:numId="8" w16cid:durableId="1933853862">
    <w:abstractNumId w:val="0"/>
  </w:num>
  <w:num w:numId="9" w16cid:durableId="2117020717">
    <w:abstractNumId w:val="26"/>
  </w:num>
  <w:num w:numId="10" w16cid:durableId="1625188953">
    <w:abstractNumId w:val="11"/>
  </w:num>
  <w:num w:numId="11" w16cid:durableId="2007703887">
    <w:abstractNumId w:val="8"/>
  </w:num>
  <w:num w:numId="12" w16cid:durableId="81491013">
    <w:abstractNumId w:val="12"/>
  </w:num>
  <w:num w:numId="13" w16cid:durableId="1455101794">
    <w:abstractNumId w:val="13"/>
  </w:num>
  <w:num w:numId="14" w16cid:durableId="1508981877">
    <w:abstractNumId w:val="14"/>
  </w:num>
  <w:num w:numId="15" w16cid:durableId="343556004">
    <w:abstractNumId w:val="3"/>
  </w:num>
  <w:num w:numId="16" w16cid:durableId="1893350039">
    <w:abstractNumId w:val="23"/>
  </w:num>
  <w:num w:numId="17" w16cid:durableId="1678846704">
    <w:abstractNumId w:val="21"/>
  </w:num>
  <w:num w:numId="18" w16cid:durableId="84543319">
    <w:abstractNumId w:val="18"/>
  </w:num>
  <w:num w:numId="19" w16cid:durableId="647436923">
    <w:abstractNumId w:val="7"/>
  </w:num>
  <w:num w:numId="20" w16cid:durableId="1149786940">
    <w:abstractNumId w:val="25"/>
  </w:num>
  <w:num w:numId="21" w16cid:durableId="735512661">
    <w:abstractNumId w:val="19"/>
  </w:num>
  <w:num w:numId="22" w16cid:durableId="798644920">
    <w:abstractNumId w:val="10"/>
  </w:num>
  <w:num w:numId="23" w16cid:durableId="962426351">
    <w:abstractNumId w:val="1"/>
  </w:num>
  <w:num w:numId="24" w16cid:durableId="902256010">
    <w:abstractNumId w:val="7"/>
  </w:num>
  <w:num w:numId="25" w16cid:durableId="1578204996">
    <w:abstractNumId w:val="16"/>
  </w:num>
  <w:num w:numId="26" w16cid:durableId="2049184883">
    <w:abstractNumId w:val="9"/>
  </w:num>
  <w:num w:numId="27" w16cid:durableId="695690065">
    <w:abstractNumId w:val="24"/>
  </w:num>
  <w:num w:numId="28" w16cid:durableId="618336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AE2"/>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64A9"/>
    <w:rsid w:val="00A26DCF"/>
    <w:rsid w:val="00A27680"/>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TotalTime>
  <Pages>39</Pages>
  <Words>12684</Words>
  <Characters>73346</Characters>
  <Application>Microsoft Office Word</Application>
  <DocSecurity>0</DocSecurity>
  <Lines>611</Lines>
  <Paragraphs>171</Paragraphs>
  <ScaleCrop>false</ScaleCrop>
  <Company/>
  <LinksUpToDate>false</LinksUpToDate>
  <CharactersWithSpaces>85859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Horiike, Naoto</cp:lastModifiedBy>
  <cp:revision>36</cp:revision>
  <cp:lastPrinted>2008-02-01T02:09:00Z</cp:lastPrinted>
  <dcterms:created xsi:type="dcterms:W3CDTF">2026-02-09T10:09:00Z</dcterms:created>
  <dcterms:modified xsi:type="dcterms:W3CDTF">2026-02-09T13:36:00Z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ies>
</file>