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9"/>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9"/>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a9"/>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a9"/>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9"/>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a9"/>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c"/>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af"/>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ac"/>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lastRenderedPageBreak/>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af1"/>
              <w:numPr>
                <w:ilvl w:val="0"/>
                <w:numId w:val="5"/>
              </w:numPr>
              <w:rPr>
                <w:rFonts w:eastAsia="DengXian"/>
                <w:sz w:val="20"/>
                <w:szCs w:val="20"/>
                <w:lang w:eastAsia="zh-CN"/>
              </w:rPr>
            </w:pPr>
            <w:r>
              <w:rPr>
                <w:rFonts w:eastAsia="DengXian" w:hint="eastAsia"/>
                <w:sz w:val="20"/>
                <w:szCs w:val="20"/>
                <w:lang w:eastAsia="zh-CN"/>
              </w:rPr>
              <w:t xml:space="preserve">Information exchange between </w:t>
            </w:r>
            <w:proofErr w:type="spellStart"/>
            <w:r>
              <w:rPr>
                <w:rFonts w:eastAsia="DengXian" w:hint="eastAsia"/>
                <w:sz w:val="20"/>
                <w:szCs w:val="20"/>
                <w:lang w:eastAsia="zh-CN"/>
              </w:rPr>
              <w:t>gNBs</w:t>
            </w:r>
            <w:proofErr w:type="spellEnd"/>
            <w:r>
              <w:rPr>
                <w:rFonts w:eastAsia="DengXian" w:hint="eastAsia"/>
                <w:sz w:val="20"/>
                <w:szCs w:val="20"/>
                <w:lang w:eastAsia="zh-CN"/>
              </w:rPr>
              <w:t xml:space="preserve">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af1"/>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af1"/>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af1"/>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af1"/>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af1"/>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af1"/>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af1"/>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af1"/>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af1"/>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af1"/>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af1"/>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af1"/>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af1"/>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af1"/>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af1"/>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af1"/>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c"/>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af1"/>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af1"/>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af1"/>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af1"/>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ac"/>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ac"/>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af1"/>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ac"/>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A gNB serving victim UEs may request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to report SRS resources. The neighbour gNB may signal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맑은 고딕"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ac"/>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af1"/>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ac"/>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af1"/>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1"/>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af1"/>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ac"/>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af1"/>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af1"/>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af1"/>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af1"/>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af1"/>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af1"/>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af1"/>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af1"/>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af1"/>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af1"/>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af1"/>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af1"/>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af1"/>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af1"/>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af1"/>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af1"/>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af1"/>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af1"/>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af1"/>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af1"/>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 xml:space="preserve">Proposal 1.4: In our view, this is </w:t>
            </w:r>
            <w:proofErr w:type="gramStart"/>
            <w:r>
              <w:rPr>
                <w:rFonts w:eastAsia="DengXian"/>
                <w:lang w:val="en-CA" w:eastAsia="zh-CN"/>
              </w:rPr>
              <w:t>not only related</w:t>
            </w:r>
            <w:proofErr w:type="gramEnd"/>
            <w:r>
              <w:rPr>
                <w:rFonts w:eastAsia="DengXian"/>
                <w:lang w:val="en-CA" w:eastAsia="zh-CN"/>
              </w:rPr>
              <w:t xml:space="preserve"> to 5G/6G CLI. For example, the interference can also be 5G BS to 6G UE.</w:t>
            </w:r>
          </w:p>
        </w:tc>
      </w:tr>
      <w:tr w:rsidR="00830093" w14:paraId="2435F72E" w14:textId="77777777">
        <w:tc>
          <w:tcPr>
            <w:tcW w:w="1248" w:type="dxa"/>
          </w:tcPr>
          <w:p w14:paraId="6AA28804" w14:textId="06FB0F68" w:rsidR="00830093" w:rsidRDefault="00830093" w:rsidP="00A2677E">
            <w:pPr>
              <w:rPr>
                <w:rFonts w:eastAsia="DengXian"/>
                <w:lang w:eastAsia="zh-CN"/>
              </w:rPr>
            </w:pPr>
            <w:proofErr w:type="spellStart"/>
            <w:r>
              <w:rPr>
                <w:rFonts w:eastAsia="DengXian"/>
                <w:lang w:eastAsia="zh-CN"/>
              </w:rPr>
              <w:t>Ofinno</w:t>
            </w:r>
            <w:proofErr w:type="spellEnd"/>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 xml:space="preserve">However, it may contain too much detail which may limit the scope or imply supporting something in the end we do not support (such as UL-CSI-RS, sensing related). It could be better if we remove too </w:t>
            </w:r>
            <w:proofErr w:type="gramStart"/>
            <w:r w:rsidR="005D041A">
              <w:rPr>
                <w:rFonts w:eastAsia="DengXian"/>
                <w:lang w:val="en-CA" w:eastAsia="zh-CN"/>
              </w:rPr>
              <w:t>much</w:t>
            </w:r>
            <w:proofErr w:type="gramEnd"/>
            <w:r w:rsidR="005D041A">
              <w:rPr>
                <w:rFonts w:eastAsia="DengXian"/>
                <w:lang w:val="en-CA" w:eastAsia="zh-CN"/>
              </w:rPr>
              <w:t xml:space="preserve">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lastRenderedPageBreak/>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c"/>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af1"/>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w:t>
            </w:r>
            <w:proofErr w:type="spellStart"/>
            <w:r>
              <w:rPr>
                <w:rFonts w:eastAsia="DengXian"/>
              </w:rPr>
              <w:t>mTRP</w:t>
            </w:r>
            <w:proofErr w:type="spellEnd"/>
            <w:r>
              <w:rPr>
                <w:rFonts w:eastAsia="DengXian"/>
              </w:rPr>
              <w:t xml:space="preserve"> operation, and also proposed to study PDSCH-based reporting (for example delta MCS). </w:t>
            </w:r>
          </w:p>
          <w:p w14:paraId="458B32C2" w14:textId="77777777" w:rsidR="00574F4D" w:rsidRDefault="00391883">
            <w:pPr>
              <w:pStyle w:val="af1"/>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af1"/>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af1"/>
              <w:numPr>
                <w:ilvl w:val="0"/>
                <w:numId w:val="16"/>
              </w:numPr>
              <w:rPr>
                <w:rFonts w:eastAsia="DengXian"/>
                <w:sz w:val="20"/>
                <w:szCs w:val="20"/>
                <w:lang w:eastAsia="zh-CN"/>
              </w:rPr>
            </w:pPr>
            <w:r>
              <w:rPr>
                <w:rFonts w:eastAsia="DengXian"/>
                <w:sz w:val="20"/>
                <w:szCs w:val="20"/>
                <w:lang w:eastAsia="zh-CN"/>
              </w:rPr>
              <w:t xml:space="preserve">Samsung proposed that UAI framework </w:t>
            </w:r>
            <w:proofErr w:type="gramStart"/>
            <w:r>
              <w:rPr>
                <w:rFonts w:eastAsia="DengXian"/>
                <w:sz w:val="20"/>
                <w:szCs w:val="20"/>
                <w:lang w:eastAsia="zh-CN"/>
              </w:rPr>
              <w:t>shall</w:t>
            </w:r>
            <w:proofErr w:type="gramEnd"/>
            <w:r>
              <w:rPr>
                <w:rFonts w:eastAsia="DengXian"/>
                <w:sz w:val="20"/>
                <w:szCs w:val="20"/>
                <w:lang w:eastAsia="zh-CN"/>
              </w:rPr>
              <w:t xml:space="preserve">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af1"/>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lastRenderedPageBreak/>
              <w:t>UE reporting to request uplink resource scheduling (for example SR and BSR);</w:t>
            </w:r>
          </w:p>
          <w:p w14:paraId="2AF6D21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4B57AC07"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0814AF2"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ac"/>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af1"/>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af1"/>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266AEF2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af1"/>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af1"/>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af1"/>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40145A29"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lastRenderedPageBreak/>
              <w:t>The use case and benefit to the system operation;</w:t>
            </w:r>
          </w:p>
          <w:p w14:paraId="67D3BE12"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af1"/>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af1"/>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af1"/>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lastRenderedPageBreak/>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ac"/>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UE reporting L1 timing/frequency synchronization measurement for mobility, DL/UL carrier decoupling and </w:t>
                  </w:r>
                  <w:proofErr w:type="spellStart"/>
                  <w:r>
                    <w:rPr>
                      <w:rFonts w:eastAsia="DengXian"/>
                      <w:strike/>
                      <w:color w:val="EE0000"/>
                      <w:sz w:val="20"/>
                      <w:szCs w:val="20"/>
                      <w:lang w:eastAsia="zh-CN"/>
                    </w:rPr>
                    <w:t>mTRP</w:t>
                  </w:r>
                  <w:proofErr w:type="spellEnd"/>
                  <w:r>
                    <w:rPr>
                      <w:rFonts w:eastAsia="DengXian"/>
                      <w:strike/>
                      <w:color w:val="EE0000"/>
                      <w:sz w:val="20"/>
                      <w:szCs w:val="20"/>
                      <w:lang w:eastAsia="zh-CN"/>
                    </w:rPr>
                    <w:t xml:space="preserve">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lastRenderedPageBreak/>
              <w:t xml:space="preserve">There is overlap between most of the UE reporting mechanisms with other agendas. For example, NACK-only reporting is related to HAQR, UE reporting of L1 T/F sync is related to CSI reporting for </w:t>
            </w:r>
            <w:proofErr w:type="spellStart"/>
            <w:r>
              <w:rPr>
                <w:rFonts w:eastAsia="DengXian"/>
                <w:lang w:val="en-CA" w:eastAsia="zh-CN"/>
              </w:rPr>
              <w:t>mTRP</w:t>
            </w:r>
            <w:proofErr w:type="spellEnd"/>
            <w:r>
              <w:rPr>
                <w:rFonts w:eastAsia="DengXian"/>
                <w:lang w:val="en-CA" w:eastAsia="zh-CN"/>
              </w:rPr>
              <w:t>,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w:t>
            </w:r>
            <w:proofErr w:type="gramStart"/>
            <w:r>
              <w:rPr>
                <w:rFonts w:eastAsia="DengXian"/>
                <w:lang w:eastAsia="zh-CN"/>
              </w:rPr>
              <w:t>agenda;</w:t>
            </w:r>
            <w:proofErr w:type="gramEnd"/>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w:t>
            </w:r>
            <w:proofErr w:type="gramStart"/>
            <w:r>
              <w:rPr>
                <w:rFonts w:eastAsia="DengXian"/>
                <w:lang w:eastAsia="zh-CN"/>
              </w:rPr>
              <w:t>agenda;</w:t>
            </w:r>
            <w:proofErr w:type="gramEnd"/>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af1"/>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lastRenderedPageBreak/>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lang w:eastAsia="zh-CN"/>
              </w:rPr>
            </w:pPr>
            <w:r>
              <w:rPr>
                <w:rFonts w:eastAsia="DengXian"/>
                <w:lang w:eastAsia="zh-CN"/>
              </w:rPr>
              <w:lastRenderedPageBreak/>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tc>
          <w:tcPr>
            <w:tcW w:w="1248" w:type="dxa"/>
          </w:tcPr>
          <w:p w14:paraId="47691FB3" w14:textId="41CAA0B8" w:rsidR="005311C7" w:rsidRPr="00D15079" w:rsidRDefault="005311C7">
            <w:pPr>
              <w:rPr>
                <w:rFonts w:eastAsia="DengXian"/>
                <w:lang w:eastAsia="zh-CN"/>
              </w:rPr>
            </w:pPr>
            <w:proofErr w:type="spellStart"/>
            <w:r>
              <w:rPr>
                <w:rFonts w:eastAsia="DengXian"/>
                <w:lang w:eastAsia="zh-CN"/>
              </w:rPr>
              <w:t>Ofinno</w:t>
            </w:r>
            <w:proofErr w:type="spellEnd"/>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 xml:space="preserve">candidate uplink reporting, but it seems to have </w:t>
            </w:r>
            <w:proofErr w:type="gramStart"/>
            <w:r w:rsidR="002159A9">
              <w:rPr>
                <w:rFonts w:eastAsia="DengXian"/>
                <w:lang w:val="en-CA" w:eastAsia="zh-CN"/>
              </w:rPr>
              <w:t>containing</w:t>
            </w:r>
            <w:proofErr w:type="gramEnd"/>
            <w:r w:rsidR="002159A9">
              <w:rPr>
                <w:rFonts w:eastAsia="DengXian"/>
                <w:lang w:val="en-CA" w:eastAsia="zh-CN"/>
              </w:rPr>
              <w:t xml:space="preserve"> too </w:t>
            </w:r>
            <w:proofErr w:type="gramStart"/>
            <w:r w:rsidR="002159A9">
              <w:rPr>
                <w:rFonts w:eastAsia="DengXian"/>
                <w:lang w:val="en-CA" w:eastAsia="zh-CN"/>
              </w:rPr>
              <w:t>much</w:t>
            </w:r>
            <w:proofErr w:type="gramEnd"/>
            <w:r w:rsidR="002159A9">
              <w:rPr>
                <w:rFonts w:eastAsia="DengXian"/>
                <w:lang w:val="en-CA" w:eastAsia="zh-CN"/>
              </w:rPr>
              <w:t xml:space="preserve"> details considering the stage of item and considering the impact of the study to other agendas.</w:t>
            </w: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r>
        <w:rPr>
          <w:b w:val="0"/>
          <w:bCs/>
          <w:szCs w:val="24"/>
          <w:lang w:val="en-US"/>
        </w:rPr>
        <w:t>Other Procedures</w:t>
      </w:r>
    </w:p>
    <w:tbl>
      <w:tblPr>
        <w:tblStyle w:val="ac"/>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1"/>
              <w:numPr>
                <w:ilvl w:val="0"/>
                <w:numId w:val="22"/>
              </w:numPr>
              <w:rPr>
                <w:rFonts w:eastAsia="DengXian"/>
                <w:sz w:val="20"/>
                <w:szCs w:val="20"/>
                <w:lang w:eastAsia="zh-CN"/>
              </w:rPr>
            </w:pPr>
            <w:r>
              <w:rPr>
                <w:rFonts w:eastAsia="DengXian"/>
                <w:sz w:val="20"/>
                <w:szCs w:val="20"/>
                <w:lang w:eastAsia="zh-CN"/>
              </w:rPr>
              <w:t xml:space="preserve">Apple suggested to study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af1"/>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af1"/>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af1"/>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1"/>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ac"/>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af1"/>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tc>
          <w:tcPr>
            <w:tcW w:w="1248" w:type="dxa"/>
          </w:tcPr>
          <w:p w14:paraId="2921F89C" w14:textId="2A5D5C13" w:rsidR="002159A9" w:rsidRPr="00DE0D34" w:rsidRDefault="002159A9" w:rsidP="00FD42B4">
            <w:pPr>
              <w:rPr>
                <w:rFonts w:eastAsia="DengXian"/>
                <w:lang w:eastAsia="zh-CN"/>
              </w:rPr>
            </w:pPr>
            <w:proofErr w:type="spellStart"/>
            <w:r>
              <w:rPr>
                <w:rFonts w:eastAsia="DengXian"/>
                <w:lang w:eastAsia="zh-CN"/>
              </w:rPr>
              <w:t>Ofinno</w:t>
            </w:r>
            <w:proofErr w:type="spellEnd"/>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 xml:space="preserve">We also think those listed procedure </w:t>
            </w:r>
            <w:proofErr w:type="gramStart"/>
            <w:r>
              <w:rPr>
                <w:rFonts w:eastAsia="DengXian"/>
                <w:lang w:val="en-CA" w:eastAsia="zh-CN"/>
              </w:rPr>
              <w:t>do</w:t>
            </w:r>
            <w:proofErr w:type="gramEnd"/>
            <w:r>
              <w:rPr>
                <w:rFonts w:eastAsia="DengXian"/>
                <w:lang w:val="en-CA" w:eastAsia="zh-CN"/>
              </w:rPr>
              <w:t xml:space="preserve"> not belong to this agenda items. It would be good to clarify the scope of this AI.</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1"/>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af1"/>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af1"/>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af1"/>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af1"/>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af1"/>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af1"/>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1"/>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af1"/>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1"/>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af1"/>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af1"/>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af1"/>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af1"/>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af1"/>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af1"/>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af1"/>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af1"/>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af1"/>
        <w:numPr>
          <w:ilvl w:val="0"/>
          <w:numId w:val="24"/>
        </w:numPr>
        <w:tabs>
          <w:tab w:val="left" w:pos="709"/>
        </w:tabs>
        <w:ind w:hanging="578"/>
        <w:rPr>
          <w:lang w:val="en-CA" w:eastAsia="zh-CN"/>
        </w:rPr>
      </w:pPr>
      <w:r>
        <w:rPr>
          <w:lang w:val="en-CA" w:eastAsia="zh-CN"/>
        </w:rPr>
        <w:lastRenderedPageBreak/>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1"/>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1"/>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af1"/>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1"/>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5C5B" w14:textId="77777777" w:rsidR="00152D57" w:rsidRDefault="00152D57">
      <w:r>
        <w:separator/>
      </w:r>
    </w:p>
  </w:endnote>
  <w:endnote w:type="continuationSeparator" w:id="0">
    <w:p w14:paraId="3851FA28" w14:textId="77777777" w:rsidR="00152D57" w:rsidRDefault="0015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BC35" w14:textId="77777777" w:rsidR="00152D57" w:rsidRDefault="00152D57">
      <w:r>
        <w:separator/>
      </w:r>
    </w:p>
  </w:footnote>
  <w:footnote w:type="continuationSeparator" w:id="0">
    <w:p w14:paraId="6E280FF0" w14:textId="77777777" w:rsidR="00152D57" w:rsidRDefault="0015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4"/>
  </w:num>
  <w:num w:numId="2" w16cid:durableId="1461457405">
    <w:abstractNumId w:val="6"/>
  </w:num>
  <w:num w:numId="3" w16cid:durableId="78790989">
    <w:abstractNumId w:val="9"/>
  </w:num>
  <w:num w:numId="4" w16cid:durableId="562566082">
    <w:abstractNumId w:val="19"/>
  </w:num>
  <w:num w:numId="5" w16cid:durableId="93787563">
    <w:abstractNumId w:val="25"/>
  </w:num>
  <w:num w:numId="6" w16cid:durableId="841430474">
    <w:abstractNumId w:val="11"/>
  </w:num>
  <w:num w:numId="7" w16cid:durableId="633213439">
    <w:abstractNumId w:val="2"/>
  </w:num>
  <w:num w:numId="8" w16cid:durableId="996957023">
    <w:abstractNumId w:val="1"/>
  </w:num>
  <w:num w:numId="9" w16cid:durableId="1072891789">
    <w:abstractNumId w:val="24"/>
  </w:num>
  <w:num w:numId="10" w16cid:durableId="1605532703">
    <w:abstractNumId w:val="12"/>
  </w:num>
  <w:num w:numId="11" w16cid:durableId="1835796331">
    <w:abstractNumId w:val="21"/>
  </w:num>
  <w:num w:numId="12" w16cid:durableId="1587572160">
    <w:abstractNumId w:val="23"/>
  </w:num>
  <w:num w:numId="13" w16cid:durableId="2007705466">
    <w:abstractNumId w:val="20"/>
  </w:num>
  <w:num w:numId="14" w16cid:durableId="416555492">
    <w:abstractNumId w:val="26"/>
  </w:num>
  <w:num w:numId="15" w16cid:durableId="1190795490">
    <w:abstractNumId w:val="13"/>
  </w:num>
  <w:num w:numId="16" w16cid:durableId="207643666">
    <w:abstractNumId w:val="4"/>
  </w:num>
  <w:num w:numId="17" w16cid:durableId="1216770541">
    <w:abstractNumId w:val="18"/>
  </w:num>
  <w:num w:numId="18" w16cid:durableId="1345202346">
    <w:abstractNumId w:val="17"/>
  </w:num>
  <w:num w:numId="19" w16cid:durableId="837303709">
    <w:abstractNumId w:val="7"/>
  </w:num>
  <w:num w:numId="20" w16cid:durableId="763185151">
    <w:abstractNumId w:val="0"/>
  </w:num>
  <w:num w:numId="21" w16cid:durableId="1121193018">
    <w:abstractNumId w:val="5"/>
  </w:num>
  <w:num w:numId="22" w16cid:durableId="1501777220">
    <w:abstractNumId w:val="22"/>
  </w:num>
  <w:num w:numId="23" w16cid:durableId="761998067">
    <w:abstractNumId w:val="8"/>
  </w:num>
  <w:num w:numId="24" w16cid:durableId="1301574342">
    <w:abstractNumId w:val="15"/>
  </w:num>
  <w:num w:numId="25" w16cid:durableId="2000032174">
    <w:abstractNumId w:val="16"/>
  </w:num>
  <w:num w:numId="26" w16cid:durableId="1417096424">
    <w:abstractNumId w:val="3"/>
  </w:num>
  <w:num w:numId="27" w16cid:durableId="13376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Char"/>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uiPriority w:val="9"/>
    <w:qFormat/>
    <w:pPr>
      <w:numPr>
        <w:ilvl w:val="3"/>
      </w:numPr>
      <w:outlineLvl w:val="3"/>
    </w:pPr>
    <w:rPr>
      <w:sz w:val="24"/>
      <w:szCs w:val="24"/>
    </w:rPr>
  </w:style>
  <w:style w:type="paragraph" w:styleId="5">
    <w:name w:val="heading 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Char"/>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caption"/>
    <w:basedOn w:val="a"/>
    <w:next w:val="a"/>
    <w:link w:val="Char"/>
    <w:uiPriority w:val="35"/>
    <w:unhideWhenUsed/>
    <w:qFormat/>
    <w:pPr>
      <w:spacing w:after="200"/>
    </w:pPr>
    <w:rPr>
      <w:i/>
      <w:iCs/>
      <w:color w:val="44546A" w:themeColor="text2"/>
      <w:sz w:val="18"/>
      <w:szCs w:val="18"/>
    </w:rPr>
  </w:style>
  <w:style w:type="paragraph" w:styleId="a4">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a5">
    <w:name w:val="annotation text"/>
    <w:basedOn w:val="a"/>
    <w:link w:val="Char0"/>
    <w:uiPriority w:val="99"/>
    <w:unhideWhenUsed/>
    <w:qFormat/>
    <w:rPr>
      <w:sz w:val="20"/>
      <w:szCs w:val="20"/>
    </w:rPr>
  </w:style>
  <w:style w:type="paragraph" w:styleId="a6">
    <w:name w:val="Body Text"/>
    <w:basedOn w:val="a"/>
    <w:link w:val="Char1"/>
    <w:uiPriority w:val="99"/>
    <w:unhideWhenUsed/>
    <w:qFormat/>
    <w:pPr>
      <w:spacing w:after="120"/>
    </w:pPr>
  </w:style>
  <w:style w:type="paragraph" w:styleId="20">
    <w:name w:val="List 2"/>
    <w:basedOn w:val="a"/>
    <w:uiPriority w:val="99"/>
    <w:semiHidden/>
    <w:unhideWhenUsed/>
    <w:qFormat/>
    <w:pPr>
      <w:ind w:left="566" w:hanging="283"/>
      <w:contextualSpacing/>
    </w:pPr>
  </w:style>
  <w:style w:type="paragraph" w:styleId="a7">
    <w:name w:val="Balloon Text"/>
    <w:basedOn w:val="a"/>
    <w:link w:val="Char2"/>
    <w:uiPriority w:val="99"/>
    <w:semiHidden/>
    <w:unhideWhenUsed/>
    <w:qFormat/>
    <w:rPr>
      <w:rFonts w:cs="Times New Roman"/>
      <w:sz w:val="18"/>
      <w:szCs w:val="18"/>
    </w:rPr>
  </w:style>
  <w:style w:type="paragraph" w:styleId="a8">
    <w:name w:val="footer"/>
    <w:basedOn w:val="a"/>
    <w:link w:val="Char3"/>
    <w:uiPriority w:val="99"/>
    <w:unhideWhenUsed/>
    <w:qFormat/>
    <w:pPr>
      <w:tabs>
        <w:tab w:val="center" w:pos="4680"/>
        <w:tab w:val="right" w:pos="9360"/>
      </w:tabs>
    </w:pPr>
  </w:style>
  <w:style w:type="paragraph" w:styleId="a9">
    <w:name w:val="header"/>
    <w:basedOn w:val="a"/>
    <w:link w:val="Char4"/>
    <w:unhideWhenUsed/>
    <w:qFormat/>
    <w:pPr>
      <w:tabs>
        <w:tab w:val="center" w:pos="4680"/>
        <w:tab w:val="right" w:pos="9360"/>
      </w:tabs>
    </w:p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aa">
    <w:name w:val="Normal (Web)"/>
    <w:basedOn w:val="a"/>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uiPriority w:val="9"/>
    <w:qFormat/>
    <w:rPr>
      <w:rFonts w:ascii="Times New Roman" w:eastAsia="SimSun" w:hAnsi="Times New Roman" w:cs="Times New Roman"/>
      <w:sz w:val="32"/>
      <w:szCs w:val="36"/>
      <w:lang w:val="en-GB"/>
    </w:rPr>
  </w:style>
  <w:style w:type="character" w:customStyle="1" w:styleId="2Char">
    <w:name w:val="제목 2 Char"/>
    <w:basedOn w:val="a0"/>
    <w:link w:val="2"/>
    <w:qFormat/>
    <w:rPr>
      <w:rFonts w:ascii="Times New Roman Bold" w:eastAsia="SimSun" w:hAnsi="Times New Roman Bold" w:cs="Times New Roman"/>
      <w:b/>
      <w:sz w:val="24"/>
      <w:szCs w:val="32"/>
      <w:lang w:val="en-GB"/>
    </w:rPr>
  </w:style>
  <w:style w:type="character" w:customStyle="1" w:styleId="3Char">
    <w:name w:val="제목 3 Char"/>
    <w:basedOn w:val="a0"/>
    <w:link w:val="3"/>
    <w:qFormat/>
    <w:rPr>
      <w:rFonts w:ascii="Times New Roman Bold" w:eastAsia="SimSun" w:hAnsi="Times New Roman Bold" w:cs="Times New Roman"/>
      <w:b/>
      <w:sz w:val="28"/>
      <w:szCs w:val="28"/>
      <w:lang w:val="en-GB"/>
    </w:rPr>
  </w:style>
  <w:style w:type="character" w:customStyle="1" w:styleId="4Char">
    <w:name w:val="제목 4 Char"/>
    <w:basedOn w:val="a0"/>
    <w:link w:val="4"/>
    <w:uiPriority w:val="9"/>
    <w:qFormat/>
    <w:rPr>
      <w:rFonts w:ascii="Times New Roman Bold" w:eastAsia="SimSun" w:hAnsi="Times New Roman Bold" w:cs="Times New Roman"/>
      <w:b/>
      <w:sz w:val="24"/>
      <w:szCs w:val="24"/>
      <w:lang w:val="en-GB"/>
    </w:rPr>
  </w:style>
  <w:style w:type="character" w:customStyle="1" w:styleId="5Char">
    <w:name w:val="제목 5 Char"/>
    <w:basedOn w:val="a0"/>
    <w:link w:val="5"/>
    <w:uiPriority w:val="9"/>
    <w:qFormat/>
    <w:rPr>
      <w:rFonts w:ascii="Times New Roman Bold" w:eastAsia="SimSun" w:hAnsi="Times New Roman Bold" w:cs="Times New Roman"/>
      <w:b/>
      <w:sz w:val="22"/>
      <w:szCs w:val="22"/>
      <w:lang w:val="en-GB"/>
    </w:rPr>
  </w:style>
  <w:style w:type="character" w:customStyle="1" w:styleId="6Char">
    <w:name w:val="제목 6 Char"/>
    <w:basedOn w:val="a0"/>
    <w:link w:val="6"/>
    <w:uiPriority w:val="9"/>
    <w:qFormat/>
    <w:rPr>
      <w:rFonts w:ascii="Arial" w:hAnsi="Arial" w:cs="Arial"/>
      <w:sz w:val="22"/>
      <w:szCs w:val="22"/>
      <w:lang w:eastAsia="ja-JP"/>
    </w:rPr>
  </w:style>
  <w:style w:type="character" w:customStyle="1" w:styleId="7Char">
    <w:name w:val="제목 7 Char"/>
    <w:basedOn w:val="a0"/>
    <w:link w:val="7"/>
    <w:uiPriority w:val="9"/>
    <w:qFormat/>
    <w:rPr>
      <w:rFonts w:ascii="Arial" w:hAnsi="Arial" w:cs="Arial"/>
      <w:sz w:val="22"/>
      <w:szCs w:val="22"/>
      <w:lang w:eastAsia="ja-JP"/>
    </w:rPr>
  </w:style>
  <w:style w:type="character" w:customStyle="1" w:styleId="8Char">
    <w:name w:val="제목 8 Char"/>
    <w:basedOn w:val="a0"/>
    <w:link w:val="8"/>
    <w:uiPriority w:val="9"/>
    <w:qFormat/>
    <w:rPr>
      <w:rFonts w:ascii="Arial" w:hAnsi="Arial" w:cs="Arial"/>
      <w:sz w:val="22"/>
      <w:szCs w:val="22"/>
      <w:lang w:eastAsia="ja-JP"/>
    </w:rPr>
  </w:style>
  <w:style w:type="character" w:customStyle="1" w:styleId="9Char">
    <w:name w:val="제목 9 Char"/>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1">
    <w:name w:val="List Paragraph"/>
    <w:aliases w:val="列表段落"/>
    <w:basedOn w:val="a"/>
    <w:link w:val="Char6"/>
    <w:uiPriority w:val="34"/>
    <w:qFormat/>
    <w:pPr>
      <w:ind w:left="720"/>
    </w:pPr>
    <w:rPr>
      <w:rFonts w:eastAsia="Calibri"/>
      <w:szCs w:val="24"/>
    </w:rPr>
  </w:style>
  <w:style w:type="character" w:customStyle="1" w:styleId="Char6">
    <w:name w:val="목록 단락 Char"/>
    <w:aliases w:val="列表段落 Char"/>
    <w:link w:val="af1"/>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Char1">
    <w:name w:val="본문 Char"/>
    <w:basedOn w:val="a0"/>
    <w:link w:val="a6"/>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0">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har0">
    <w:name w:val="메모 텍스트 Char"/>
    <w:basedOn w:val="a0"/>
    <w:link w:val="a5"/>
    <w:uiPriority w:val="99"/>
    <w:qFormat/>
    <w:rPr>
      <w:rFonts w:ascii="Times New Roman" w:hAnsi="Times New Roman"/>
      <w:kern w:val="0"/>
      <w:sz w:val="20"/>
      <w:szCs w:val="20"/>
      <w14:ligatures w14:val="none"/>
    </w:rPr>
  </w:style>
  <w:style w:type="character" w:customStyle="1" w:styleId="Char5">
    <w:name w:val="메모 주제 Char"/>
    <w:basedOn w:val="Char0"/>
    <w:link w:val="ab"/>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Char4">
    <w:name w:val="머리글 Char"/>
    <w:basedOn w:val="a0"/>
    <w:link w:val="a9"/>
    <w:qFormat/>
    <w:rPr>
      <w:rFonts w:ascii="Times New Roman" w:hAnsi="Times New Roman"/>
      <w:kern w:val="0"/>
      <w14:ligatures w14:val="none"/>
    </w:rPr>
  </w:style>
  <w:style w:type="character" w:customStyle="1" w:styleId="Char3">
    <w:name w:val="바닥글 Char"/>
    <w:basedOn w:val="a0"/>
    <w:link w:val="a8"/>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Char2">
    <w:name w:val="풍선 도움말 텍스트 Char"/>
    <w:basedOn w:val="a0"/>
    <w:link w:val="a7"/>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Char">
    <w:name w:val="미리 서식이 지정된 HTML Char"/>
    <w:basedOn w:val="a0"/>
    <w:link w:val="HTML"/>
    <w:uiPriority w:val="99"/>
    <w:semiHidden/>
    <w:qFormat/>
    <w:rPr>
      <w:rFonts w:ascii="SimSun" w:eastAsia="SimSun" w:hAnsi="SimSun" w:cs="SimSun"/>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a0"/>
    <w:link w:val="111proposal"/>
    <w:qFormat/>
    <w:rPr>
      <w:rFonts w:ascii="Times New Roman" w:eastAsia="SimSun" w:hAnsi="Times New Roman" w:cs="Times New Roman"/>
      <w:b/>
      <w:bCs/>
      <w:i/>
      <w:iCs/>
      <w:szCs w:val="24"/>
      <w:lang w:eastAsia="zh-CN"/>
    </w:rPr>
  </w:style>
  <w:style w:type="paragraph" w:customStyle="1" w:styleId="00Text">
    <w:name w:val="00_Text"/>
    <w:basedOn w:val="a"/>
    <w:link w:val="00TextChar"/>
    <w:qFormat/>
    <w:pPr>
      <w:spacing w:before="120" w:after="120"/>
    </w:pPr>
    <w:rPr>
      <w:rFonts w:eastAsia="SimSun" w:cs="Times New Roman"/>
      <w:sz w:val="20"/>
      <w:szCs w:val="24"/>
      <w:lang w:eastAsia="zh-CN"/>
    </w:rPr>
  </w:style>
  <w:style w:type="character" w:customStyle="1" w:styleId="00TextChar">
    <w:name w:val="00_Text Char"/>
    <w:basedOn w:val="a0"/>
    <w:link w:val="00Text"/>
    <w:qFormat/>
    <w:rPr>
      <w:rFonts w:ascii="Times New Roman" w:eastAsia="SimSun" w:hAnsi="Times New Roman" w:cs="Times New Roman"/>
      <w:szCs w:val="24"/>
      <w:lang w:eastAsia="zh-CN"/>
    </w:rPr>
  </w:style>
  <w:style w:type="paragraph" w:customStyle="1" w:styleId="11">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바탕" w:cs="Times New Roman"/>
      <w:kern w:val="2"/>
      <w:szCs w:val="24"/>
      <w:lang w:val="en-GB" w:eastAsia="ko-KR"/>
    </w:rPr>
  </w:style>
  <w:style w:type="character" w:customStyle="1" w:styleId="LGTdocChar">
    <w:name w:val="LGTdoc_본문 Char"/>
    <w:link w:val="LGTdoc"/>
    <w:qFormat/>
    <w:rPr>
      <w:rFonts w:ascii="Times New Roman" w:eastAsia="바탕"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굴림" w:hAnsi="Arial" w:cs="Arial"/>
      <w:sz w:val="18"/>
      <w:szCs w:val="18"/>
      <w:lang w:eastAsia="ko-KR"/>
    </w:rPr>
  </w:style>
  <w:style w:type="character" w:customStyle="1" w:styleId="Char">
    <w:name w:val="캡션 Char"/>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oldbullet1">
    <w:name w:val="boldbullet1"/>
    <w:basedOn w:val="a"/>
    <w:link w:val="boldbullet10"/>
    <w:qFormat/>
    <w:pPr>
      <w:spacing w:after="120"/>
    </w:pPr>
    <w:rPr>
      <w:rFonts w:eastAsia="SimSun" w:cs="Times New Roman"/>
      <w:b/>
      <w:sz w:val="20"/>
      <w:szCs w:val="24"/>
      <w:lang w:eastAsia="zh-CN"/>
    </w:rPr>
  </w:style>
  <w:style w:type="character" w:customStyle="1" w:styleId="boldbullet10">
    <w:name w:val="boldbullet1 字符"/>
    <w:basedOn w:val="a0"/>
    <w:link w:val="boldbullet1"/>
    <w:qFormat/>
    <w:rPr>
      <w:rFonts w:ascii="Times New Roman" w:eastAsia="SimSun"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6"/>
    <w:next w:val="a"/>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1">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2">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0"/>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6"/>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1">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맑은 고딕" w:hAnsi="Arial"/>
      <w:i/>
      <w:iCs/>
      <w:sz w:val="20"/>
      <w:szCs w:val="26"/>
    </w:rPr>
  </w:style>
  <w:style w:type="character" w:styleId="af2">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0"/>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a"/>
    <w:link w:val="tabletext0"/>
    <w:qFormat/>
    <w:pPr>
      <w:jc w:val="center"/>
    </w:pPr>
    <w:rPr>
      <w:rFonts w:eastAsia="SimSun" w:cs="Times New Roman"/>
      <w:sz w:val="20"/>
      <w:szCs w:val="24"/>
      <w:lang w:eastAsia="zh-CN"/>
    </w:rPr>
  </w:style>
  <w:style w:type="character" w:customStyle="1" w:styleId="tabletext0">
    <w:name w:val="tabletext 字符"/>
    <w:basedOn w:val="a0"/>
    <w:link w:val="tabletext"/>
    <w:qFormat/>
    <w:rPr>
      <w:rFonts w:ascii="Times New Roman" w:eastAsia="SimSun" w:hAnsi="Times New Roman" w:cs="Times New Roman"/>
      <w:szCs w:val="24"/>
    </w:rPr>
  </w:style>
  <w:style w:type="character" w:customStyle="1" w:styleId="af3">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3"/>
    <w:uiPriority w:val="34"/>
    <w:qFormat/>
    <w:rPr>
      <w:rFonts w:ascii="Times New Roman" w:eastAsia="Calibri" w:hAnsi="Times New Roman" w:cs="Times New Roman" w:hint="default"/>
      <w:sz w:val="22"/>
      <w:szCs w:val="24"/>
    </w:rPr>
  </w:style>
  <w:style w:type="paragraph" w:customStyle="1" w:styleId="13">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a"/>
    <w:link w:val="af3"/>
    <w:pPr>
      <w:ind w:left="720"/>
    </w:pPr>
    <w:rPr>
      <w:rFonts w:eastAsia="Calibri" w:cs="Times New Roman"/>
      <w:szCs w:val="24"/>
      <w:lang w:eastAsia="zh-CN"/>
    </w:rPr>
  </w:style>
  <w:style w:type="character" w:styleId="af4">
    <w:name w:val="Unresolved Mention"/>
    <w:basedOn w:val="a0"/>
    <w:uiPriority w:val="99"/>
    <w:semiHidden/>
    <w:unhideWhenUsed/>
    <w:rsid w:val="0006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4.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7720</Words>
  <Characters>45009</Characters>
  <Application>Microsoft Office Word</Application>
  <DocSecurity>0</DocSecurity>
  <Lines>1000</Lines>
  <Paragraphs>606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Jae-Nam Shim</cp:lastModifiedBy>
  <cp:revision>2</cp:revision>
  <dcterms:created xsi:type="dcterms:W3CDTF">2026-02-10T08:37:00Z</dcterms:created>
  <dcterms:modified xsi:type="dcterms:W3CDTF">2026-02-10T08:37:00Z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