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aff5"/>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aff5"/>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aff5"/>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aff5"/>
        <w:numPr>
          <w:ilvl w:val="1"/>
          <w:numId w:val="18"/>
        </w:numPr>
      </w:pPr>
      <w:r>
        <w:t>Evaluation methodology</w:t>
      </w:r>
    </w:p>
    <w:p w14:paraId="1219ABF3" w14:textId="77777777" w:rsidR="002510B9" w:rsidRDefault="00DD04BF">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aff5"/>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aff5"/>
        <w:numPr>
          <w:ilvl w:val="1"/>
          <w:numId w:val="18"/>
        </w:numPr>
      </w:pPr>
      <w:r>
        <w:rPr>
          <w:lang w:eastAsia="zh-CN"/>
        </w:rPr>
        <w:t>P</w:t>
      </w:r>
      <w:r>
        <w:rPr>
          <w:rFonts w:hint="eastAsia"/>
          <w:lang w:eastAsia="zh-CN"/>
        </w:rPr>
        <w:t>otential schemes to be evaluated</w:t>
      </w:r>
    </w:p>
    <w:p w14:paraId="043883D2" w14:textId="77777777" w:rsidR="002510B9" w:rsidRDefault="00DD04BF">
      <w:pPr>
        <w:pStyle w:val="aff5"/>
        <w:numPr>
          <w:ilvl w:val="1"/>
          <w:numId w:val="18"/>
        </w:numPr>
      </w:pPr>
      <w:r>
        <w:t>Evaluation methodology</w:t>
      </w:r>
    </w:p>
    <w:p w14:paraId="0725D2BA" w14:textId="77777777" w:rsidR="002510B9" w:rsidRDefault="00DD04BF">
      <w:r>
        <w:lastRenderedPageBreak/>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0119478A" w14:textId="77777777" w:rsidR="002510B9" w:rsidRDefault="00876494">
            <w:pPr>
              <w:spacing w:before="0" w:after="0" w:line="240" w:lineRule="auto"/>
              <w:jc w:val="center"/>
              <w:rPr>
                <w:rFonts w:cs="Times New Roman"/>
                <w:sz w:val="18"/>
                <w:szCs w:val="18"/>
                <w:u w:val="single"/>
              </w:rPr>
            </w:pPr>
            <w:hyperlink r:id="rId11" w:history="1">
              <w:r w:rsidR="002510B9">
                <w:rPr>
                  <w:rStyle w:val="aff2"/>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aff2"/>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876494">
            <w:pPr>
              <w:spacing w:before="0" w:after="0" w:line="240" w:lineRule="auto"/>
              <w:jc w:val="center"/>
              <w:rPr>
                <w:rFonts w:cs="Times New Roman"/>
                <w:sz w:val="18"/>
                <w:szCs w:val="18"/>
              </w:rPr>
            </w:pPr>
            <w:hyperlink r:id="rId12" w:history="1">
              <w:r w:rsidR="002510B9">
                <w:rPr>
                  <w:rStyle w:val="aff2"/>
                  <w:rFonts w:cs="Times New Roman"/>
                  <w:sz w:val="18"/>
                  <w:szCs w:val="18"/>
                  <w:lang w:val="en-US"/>
                </w:rPr>
                <w:t>darcy.tsai@mediatek.com</w:t>
              </w:r>
            </w:hyperlink>
            <w:r w:rsidR="002510B9">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876494">
            <w:pPr>
              <w:spacing w:after="0" w:line="240" w:lineRule="auto"/>
              <w:jc w:val="center"/>
              <w:rPr>
                <w:rFonts w:ascii="Arial" w:hAnsi="Arial" w:cs="Arial"/>
                <w:sz w:val="18"/>
                <w:szCs w:val="18"/>
              </w:rPr>
            </w:pPr>
            <w:hyperlink r:id="rId13" w:history="1">
              <w:r w:rsidR="002510B9">
                <w:rPr>
                  <w:rStyle w:val="aff2"/>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876494" w:rsidP="00FB1E8A">
            <w:pPr>
              <w:spacing w:line="240" w:lineRule="auto"/>
              <w:jc w:val="center"/>
              <w:rPr>
                <w:rFonts w:ascii="Arial" w:hAnsi="Arial" w:cs="Arial"/>
                <w:sz w:val="18"/>
                <w:szCs w:val="18"/>
              </w:rPr>
            </w:pPr>
            <w:hyperlink r:id="rId14" w:history="1">
              <w:r w:rsidR="00FB1E8A" w:rsidRPr="00A617E0">
                <w:rPr>
                  <w:rStyle w:val="aff2"/>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hint="eastAsia"/>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1D04CA">
            <w:pPr>
              <w:spacing w:after="0" w:line="240" w:lineRule="auto"/>
              <w:jc w:val="center"/>
              <w:rPr>
                <w:rFonts w:ascii="Arial" w:hAnsi="Arial" w:cs="Arial"/>
                <w:sz w:val="18"/>
                <w:szCs w:val="18"/>
              </w:rPr>
            </w:pPr>
            <w:hyperlink r:id="rId15" w:history="1">
              <w:r w:rsidRPr="001847E0">
                <w:rPr>
                  <w:rStyle w:val="aff2"/>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2510B9" w14:paraId="18D1FDA9" w14:textId="77777777">
        <w:trPr>
          <w:trHeight w:val="271"/>
          <w:jc w:val="center"/>
        </w:trPr>
        <w:tc>
          <w:tcPr>
            <w:tcW w:w="1468" w:type="dxa"/>
            <w:vAlign w:val="center"/>
          </w:tcPr>
          <w:p w14:paraId="1D6716EE"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16E77D48"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49BDFE4F" w14:textId="77777777" w:rsidR="002510B9" w:rsidRDefault="002510B9">
            <w:pPr>
              <w:spacing w:after="0" w:line="240" w:lineRule="auto"/>
              <w:jc w:val="center"/>
              <w:rPr>
                <w:rFonts w:ascii="Arial" w:hAnsi="Arial" w:cs="Arial"/>
                <w:sz w:val="18"/>
                <w:szCs w:val="18"/>
              </w:rPr>
            </w:pPr>
          </w:p>
        </w:tc>
      </w:tr>
      <w:tr w:rsidR="002510B9" w14:paraId="59E0076A" w14:textId="77777777">
        <w:trPr>
          <w:trHeight w:val="288"/>
          <w:jc w:val="center"/>
        </w:trPr>
        <w:tc>
          <w:tcPr>
            <w:tcW w:w="1468" w:type="dxa"/>
            <w:vAlign w:val="center"/>
          </w:tcPr>
          <w:p w14:paraId="4AFCF185" w14:textId="77777777" w:rsidR="002510B9" w:rsidRDefault="002510B9">
            <w:pPr>
              <w:spacing w:after="0" w:line="240" w:lineRule="auto"/>
              <w:jc w:val="center"/>
              <w:rPr>
                <w:rFonts w:ascii="Arial" w:hAnsi="Arial" w:cs="Arial"/>
                <w:sz w:val="18"/>
                <w:szCs w:val="18"/>
              </w:rPr>
            </w:pPr>
          </w:p>
        </w:tc>
        <w:tc>
          <w:tcPr>
            <w:tcW w:w="3068" w:type="dxa"/>
            <w:vAlign w:val="center"/>
          </w:tcPr>
          <w:p w14:paraId="64CA4CD6" w14:textId="77777777" w:rsidR="002510B9" w:rsidRDefault="002510B9">
            <w:pPr>
              <w:spacing w:after="0" w:line="240" w:lineRule="auto"/>
              <w:jc w:val="center"/>
              <w:rPr>
                <w:rFonts w:ascii="Arial" w:hAnsi="Arial" w:cs="Arial"/>
                <w:sz w:val="18"/>
                <w:szCs w:val="18"/>
              </w:rPr>
            </w:pPr>
          </w:p>
        </w:tc>
        <w:tc>
          <w:tcPr>
            <w:tcW w:w="5115" w:type="dxa"/>
            <w:vAlign w:val="center"/>
          </w:tcPr>
          <w:p w14:paraId="3FF29F8F" w14:textId="77777777" w:rsidR="002510B9" w:rsidRDefault="002510B9">
            <w:pPr>
              <w:spacing w:after="0" w:line="240" w:lineRule="auto"/>
              <w:jc w:val="center"/>
              <w:rPr>
                <w:rFonts w:ascii="Arial" w:hAnsi="Arial" w:cs="Arial"/>
                <w:sz w:val="18"/>
                <w:szCs w:val="18"/>
              </w:rPr>
            </w:pPr>
          </w:p>
        </w:tc>
      </w:tr>
      <w:tr w:rsidR="002510B9" w14:paraId="288E9F03" w14:textId="77777777">
        <w:trPr>
          <w:trHeight w:val="288"/>
          <w:jc w:val="center"/>
        </w:trPr>
        <w:tc>
          <w:tcPr>
            <w:tcW w:w="1468" w:type="dxa"/>
            <w:vAlign w:val="center"/>
          </w:tcPr>
          <w:p w14:paraId="02895EE1" w14:textId="77777777" w:rsidR="002510B9" w:rsidRDefault="002510B9">
            <w:pPr>
              <w:spacing w:after="0" w:line="240" w:lineRule="auto"/>
              <w:jc w:val="center"/>
              <w:rPr>
                <w:rFonts w:ascii="Arial" w:hAnsi="Arial" w:cs="Arial"/>
                <w:sz w:val="18"/>
                <w:szCs w:val="18"/>
              </w:rPr>
            </w:pPr>
          </w:p>
        </w:tc>
        <w:tc>
          <w:tcPr>
            <w:tcW w:w="3068" w:type="dxa"/>
            <w:vAlign w:val="center"/>
          </w:tcPr>
          <w:p w14:paraId="6B098A65" w14:textId="77777777" w:rsidR="002510B9" w:rsidRDefault="002510B9">
            <w:pPr>
              <w:spacing w:after="0" w:line="240" w:lineRule="auto"/>
              <w:jc w:val="center"/>
              <w:rPr>
                <w:rFonts w:ascii="Arial" w:hAnsi="Arial" w:cs="Arial"/>
                <w:sz w:val="18"/>
                <w:szCs w:val="18"/>
              </w:rPr>
            </w:pPr>
          </w:p>
        </w:tc>
        <w:tc>
          <w:tcPr>
            <w:tcW w:w="5115" w:type="dxa"/>
            <w:vAlign w:val="center"/>
          </w:tcPr>
          <w:p w14:paraId="680F286C" w14:textId="77777777" w:rsidR="002510B9" w:rsidRDefault="002510B9">
            <w:pPr>
              <w:spacing w:after="0" w:line="240" w:lineRule="auto"/>
              <w:jc w:val="center"/>
              <w:rPr>
                <w:rFonts w:ascii="Arial" w:hAnsi="Arial" w:cs="Arial"/>
                <w:sz w:val="18"/>
                <w:szCs w:val="18"/>
              </w:rPr>
            </w:pPr>
          </w:p>
        </w:tc>
      </w:tr>
      <w:tr w:rsidR="002510B9" w14:paraId="5DD3F5D8" w14:textId="77777777">
        <w:trPr>
          <w:trHeight w:val="288"/>
          <w:jc w:val="center"/>
        </w:trPr>
        <w:tc>
          <w:tcPr>
            <w:tcW w:w="1468" w:type="dxa"/>
            <w:vAlign w:val="center"/>
          </w:tcPr>
          <w:p w14:paraId="0276FF86" w14:textId="77777777" w:rsidR="002510B9" w:rsidRDefault="002510B9">
            <w:pPr>
              <w:spacing w:after="0" w:line="240" w:lineRule="auto"/>
              <w:jc w:val="center"/>
              <w:rPr>
                <w:rFonts w:ascii="Arial" w:hAnsi="Arial" w:cs="Arial"/>
                <w:sz w:val="18"/>
                <w:szCs w:val="18"/>
              </w:rPr>
            </w:pPr>
          </w:p>
        </w:tc>
        <w:tc>
          <w:tcPr>
            <w:tcW w:w="3068" w:type="dxa"/>
            <w:vAlign w:val="center"/>
          </w:tcPr>
          <w:p w14:paraId="2A356B75" w14:textId="77777777" w:rsidR="002510B9" w:rsidRDefault="002510B9">
            <w:pPr>
              <w:spacing w:after="0" w:line="240" w:lineRule="auto"/>
              <w:jc w:val="center"/>
              <w:rPr>
                <w:rFonts w:ascii="Arial" w:hAnsi="Arial" w:cs="Arial"/>
                <w:sz w:val="18"/>
                <w:szCs w:val="18"/>
              </w:rPr>
            </w:pPr>
          </w:p>
        </w:tc>
        <w:tc>
          <w:tcPr>
            <w:tcW w:w="5115" w:type="dxa"/>
            <w:vAlign w:val="center"/>
          </w:tcPr>
          <w:p w14:paraId="5E682EB0" w14:textId="77777777" w:rsidR="002510B9" w:rsidRDefault="002510B9">
            <w:pPr>
              <w:spacing w:after="0" w:line="240" w:lineRule="auto"/>
              <w:jc w:val="center"/>
              <w:rPr>
                <w:rFonts w:ascii="Arial" w:hAnsi="Arial" w:cs="Arial"/>
                <w:sz w:val="18"/>
                <w:szCs w:val="18"/>
              </w:rPr>
            </w:pPr>
          </w:p>
        </w:tc>
      </w:tr>
      <w:tr w:rsidR="002510B9" w14:paraId="1D18460E" w14:textId="77777777">
        <w:trPr>
          <w:trHeight w:val="288"/>
          <w:jc w:val="center"/>
        </w:trPr>
        <w:tc>
          <w:tcPr>
            <w:tcW w:w="1468" w:type="dxa"/>
            <w:vAlign w:val="center"/>
          </w:tcPr>
          <w:p w14:paraId="278B4C7E" w14:textId="77777777" w:rsidR="002510B9" w:rsidRDefault="002510B9">
            <w:pPr>
              <w:spacing w:after="0" w:line="240" w:lineRule="auto"/>
              <w:jc w:val="center"/>
              <w:rPr>
                <w:rFonts w:ascii="Arial" w:hAnsi="Arial" w:cs="Arial"/>
                <w:sz w:val="18"/>
                <w:szCs w:val="18"/>
              </w:rPr>
            </w:pPr>
          </w:p>
        </w:tc>
        <w:tc>
          <w:tcPr>
            <w:tcW w:w="3068" w:type="dxa"/>
            <w:vAlign w:val="center"/>
          </w:tcPr>
          <w:p w14:paraId="26023C44" w14:textId="77777777" w:rsidR="002510B9" w:rsidRDefault="002510B9">
            <w:pPr>
              <w:spacing w:after="0" w:line="240" w:lineRule="auto"/>
              <w:jc w:val="center"/>
              <w:rPr>
                <w:rFonts w:ascii="Arial" w:hAnsi="Arial" w:cs="Arial"/>
                <w:sz w:val="18"/>
                <w:szCs w:val="18"/>
              </w:rPr>
            </w:pPr>
          </w:p>
        </w:tc>
        <w:tc>
          <w:tcPr>
            <w:tcW w:w="5115" w:type="dxa"/>
            <w:vAlign w:val="center"/>
          </w:tcPr>
          <w:p w14:paraId="3ECEC2E9" w14:textId="77777777" w:rsidR="002510B9" w:rsidRDefault="002510B9">
            <w:pPr>
              <w:spacing w:after="0" w:line="240" w:lineRule="auto"/>
              <w:jc w:val="center"/>
              <w:rPr>
                <w:rFonts w:ascii="Arial" w:hAnsi="Arial" w:cs="Arial"/>
                <w:sz w:val="18"/>
                <w:szCs w:val="18"/>
              </w:rPr>
            </w:pPr>
          </w:p>
        </w:tc>
      </w:tr>
      <w:tr w:rsidR="002510B9" w14:paraId="6D382E33" w14:textId="77777777">
        <w:trPr>
          <w:trHeight w:val="288"/>
          <w:jc w:val="center"/>
        </w:trPr>
        <w:tc>
          <w:tcPr>
            <w:tcW w:w="1468" w:type="dxa"/>
            <w:vAlign w:val="center"/>
          </w:tcPr>
          <w:p w14:paraId="47443FA8" w14:textId="77777777" w:rsidR="002510B9" w:rsidRDefault="002510B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2510B9" w:rsidRDefault="002510B9">
            <w:pPr>
              <w:spacing w:after="0" w:line="240" w:lineRule="auto"/>
              <w:jc w:val="center"/>
              <w:rPr>
                <w:rFonts w:ascii="Arial" w:hAnsi="Arial" w:cs="Arial"/>
                <w:sz w:val="18"/>
                <w:szCs w:val="18"/>
              </w:rPr>
            </w:pPr>
          </w:p>
        </w:tc>
      </w:tr>
      <w:tr w:rsidR="002510B9" w14:paraId="770BC3E1" w14:textId="77777777">
        <w:trPr>
          <w:trHeight w:val="288"/>
          <w:jc w:val="center"/>
        </w:trPr>
        <w:tc>
          <w:tcPr>
            <w:tcW w:w="1468" w:type="dxa"/>
            <w:vAlign w:val="center"/>
          </w:tcPr>
          <w:p w14:paraId="1F51435B" w14:textId="77777777" w:rsidR="002510B9" w:rsidRDefault="002510B9">
            <w:pPr>
              <w:spacing w:after="0" w:line="240" w:lineRule="auto"/>
              <w:jc w:val="center"/>
              <w:rPr>
                <w:rFonts w:ascii="Arial" w:hAnsi="Arial" w:cs="Arial"/>
                <w:sz w:val="18"/>
                <w:szCs w:val="18"/>
              </w:rPr>
            </w:pPr>
          </w:p>
        </w:tc>
        <w:tc>
          <w:tcPr>
            <w:tcW w:w="3068" w:type="dxa"/>
            <w:vAlign w:val="center"/>
          </w:tcPr>
          <w:p w14:paraId="0B91B209" w14:textId="77777777" w:rsidR="002510B9" w:rsidRDefault="002510B9">
            <w:pPr>
              <w:spacing w:after="0" w:line="240" w:lineRule="auto"/>
              <w:jc w:val="center"/>
              <w:rPr>
                <w:rFonts w:ascii="Arial" w:hAnsi="Arial" w:cs="Arial"/>
                <w:sz w:val="18"/>
                <w:szCs w:val="18"/>
              </w:rPr>
            </w:pPr>
          </w:p>
        </w:tc>
        <w:tc>
          <w:tcPr>
            <w:tcW w:w="5115" w:type="dxa"/>
            <w:vAlign w:val="center"/>
          </w:tcPr>
          <w:p w14:paraId="6F67AAAE" w14:textId="77777777" w:rsidR="002510B9" w:rsidRDefault="002510B9">
            <w:pPr>
              <w:spacing w:after="0" w:line="240" w:lineRule="auto"/>
              <w:jc w:val="center"/>
              <w:rPr>
                <w:rFonts w:ascii="Arial" w:hAnsi="Arial" w:cs="Arial"/>
                <w:sz w:val="18"/>
                <w:szCs w:val="18"/>
              </w:rPr>
            </w:pPr>
          </w:p>
        </w:tc>
      </w:tr>
      <w:tr w:rsidR="002510B9" w14:paraId="48A90DFC" w14:textId="77777777">
        <w:trPr>
          <w:trHeight w:val="288"/>
          <w:jc w:val="center"/>
        </w:trPr>
        <w:tc>
          <w:tcPr>
            <w:tcW w:w="1468" w:type="dxa"/>
            <w:vAlign w:val="center"/>
          </w:tcPr>
          <w:p w14:paraId="19667385" w14:textId="77777777" w:rsidR="002510B9" w:rsidRDefault="002510B9">
            <w:pPr>
              <w:spacing w:after="0" w:line="240" w:lineRule="auto"/>
              <w:jc w:val="center"/>
              <w:rPr>
                <w:rFonts w:ascii="Arial" w:hAnsi="Arial" w:cs="Arial"/>
                <w:sz w:val="18"/>
                <w:szCs w:val="18"/>
              </w:rPr>
            </w:pPr>
          </w:p>
        </w:tc>
        <w:tc>
          <w:tcPr>
            <w:tcW w:w="3068" w:type="dxa"/>
            <w:vAlign w:val="center"/>
          </w:tcPr>
          <w:p w14:paraId="0A6A74A2" w14:textId="77777777" w:rsidR="002510B9" w:rsidRDefault="002510B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2510B9" w:rsidRDefault="002510B9">
            <w:pPr>
              <w:spacing w:after="0" w:line="240" w:lineRule="auto"/>
              <w:jc w:val="center"/>
              <w:rPr>
                <w:rFonts w:ascii="Arial" w:hAnsi="Arial" w:cs="Arial"/>
                <w:sz w:val="18"/>
                <w:szCs w:val="18"/>
              </w:rPr>
            </w:pPr>
          </w:p>
        </w:tc>
      </w:tr>
      <w:tr w:rsidR="002510B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2510B9" w:rsidRDefault="002510B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2510B9" w:rsidRDefault="002510B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2510B9" w:rsidRDefault="002510B9">
            <w:pPr>
              <w:spacing w:after="0" w:line="240" w:lineRule="auto"/>
              <w:jc w:val="center"/>
              <w:rPr>
                <w:rFonts w:ascii="Arial" w:hAnsi="Arial" w:cs="Arial"/>
                <w:sz w:val="18"/>
                <w:szCs w:val="18"/>
              </w:rPr>
            </w:pPr>
          </w:p>
        </w:tc>
      </w:tr>
      <w:tr w:rsidR="002510B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2510B9" w:rsidRDefault="002510B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2510B9" w:rsidRDefault="002510B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2510B9" w:rsidRDefault="002510B9">
            <w:pPr>
              <w:spacing w:after="0" w:line="240" w:lineRule="auto"/>
              <w:jc w:val="center"/>
              <w:rPr>
                <w:rFonts w:ascii="Arial" w:eastAsia="Yu Mincho" w:hAnsi="Arial" w:cs="Arial"/>
                <w:sz w:val="18"/>
                <w:szCs w:val="18"/>
                <w:lang w:eastAsia="ja-JP"/>
              </w:rPr>
            </w:pPr>
          </w:p>
        </w:tc>
      </w:tr>
      <w:tr w:rsidR="002510B9" w14:paraId="4BC74AAF" w14:textId="77777777">
        <w:trPr>
          <w:trHeight w:val="288"/>
          <w:jc w:val="center"/>
        </w:trPr>
        <w:tc>
          <w:tcPr>
            <w:tcW w:w="1468" w:type="dxa"/>
            <w:vAlign w:val="center"/>
          </w:tcPr>
          <w:p w14:paraId="4FFC09D1" w14:textId="77777777" w:rsidR="002510B9" w:rsidRDefault="002510B9">
            <w:pPr>
              <w:spacing w:after="0" w:line="240" w:lineRule="auto"/>
              <w:jc w:val="center"/>
              <w:rPr>
                <w:rFonts w:ascii="Arial" w:hAnsi="Arial" w:cs="Arial"/>
                <w:sz w:val="18"/>
                <w:szCs w:val="18"/>
              </w:rPr>
            </w:pPr>
          </w:p>
        </w:tc>
        <w:tc>
          <w:tcPr>
            <w:tcW w:w="3068" w:type="dxa"/>
            <w:vAlign w:val="center"/>
          </w:tcPr>
          <w:p w14:paraId="1311897F" w14:textId="77777777" w:rsidR="002510B9" w:rsidRDefault="002510B9">
            <w:pPr>
              <w:spacing w:after="0" w:line="240" w:lineRule="auto"/>
              <w:jc w:val="center"/>
              <w:rPr>
                <w:rFonts w:ascii="Arial" w:hAnsi="Arial" w:cs="Arial"/>
                <w:sz w:val="18"/>
                <w:szCs w:val="18"/>
              </w:rPr>
            </w:pPr>
          </w:p>
        </w:tc>
        <w:tc>
          <w:tcPr>
            <w:tcW w:w="5115" w:type="dxa"/>
            <w:vAlign w:val="center"/>
          </w:tcPr>
          <w:p w14:paraId="22D47633" w14:textId="77777777" w:rsidR="002510B9" w:rsidRDefault="002510B9">
            <w:pPr>
              <w:spacing w:after="0" w:line="240" w:lineRule="auto"/>
              <w:jc w:val="center"/>
              <w:rPr>
                <w:rFonts w:ascii="Arial" w:hAnsi="Arial" w:cs="Arial"/>
                <w:sz w:val="18"/>
                <w:szCs w:val="18"/>
              </w:rPr>
            </w:pPr>
          </w:p>
        </w:tc>
      </w:tr>
      <w:tr w:rsidR="002510B9" w14:paraId="22B9FE5C" w14:textId="77777777">
        <w:trPr>
          <w:trHeight w:val="288"/>
          <w:jc w:val="center"/>
        </w:trPr>
        <w:tc>
          <w:tcPr>
            <w:tcW w:w="1468" w:type="dxa"/>
            <w:vAlign w:val="center"/>
          </w:tcPr>
          <w:p w14:paraId="3788F258" w14:textId="77777777" w:rsidR="002510B9" w:rsidRDefault="002510B9">
            <w:pPr>
              <w:spacing w:after="0" w:line="240" w:lineRule="auto"/>
              <w:jc w:val="center"/>
              <w:rPr>
                <w:rFonts w:ascii="Arial" w:hAnsi="Arial" w:cs="Arial"/>
                <w:sz w:val="18"/>
                <w:szCs w:val="18"/>
              </w:rPr>
            </w:pPr>
          </w:p>
        </w:tc>
        <w:tc>
          <w:tcPr>
            <w:tcW w:w="3068" w:type="dxa"/>
            <w:vAlign w:val="center"/>
          </w:tcPr>
          <w:p w14:paraId="1BC5DA7C" w14:textId="77777777" w:rsidR="002510B9" w:rsidRDefault="002510B9">
            <w:pPr>
              <w:spacing w:after="0" w:line="240" w:lineRule="auto"/>
              <w:jc w:val="center"/>
              <w:rPr>
                <w:rFonts w:ascii="Arial" w:hAnsi="Arial" w:cs="Arial"/>
                <w:sz w:val="18"/>
                <w:szCs w:val="18"/>
              </w:rPr>
            </w:pPr>
          </w:p>
        </w:tc>
        <w:tc>
          <w:tcPr>
            <w:tcW w:w="5115" w:type="dxa"/>
            <w:vAlign w:val="center"/>
          </w:tcPr>
          <w:p w14:paraId="105B8996" w14:textId="77777777" w:rsidR="002510B9" w:rsidRDefault="002510B9">
            <w:pPr>
              <w:spacing w:after="0" w:line="240" w:lineRule="auto"/>
              <w:jc w:val="center"/>
              <w:rPr>
                <w:rFonts w:ascii="Arial" w:hAnsi="Arial" w:cs="Arial"/>
                <w:sz w:val="18"/>
                <w:szCs w:val="18"/>
              </w:rPr>
            </w:pPr>
          </w:p>
        </w:tc>
      </w:tr>
      <w:tr w:rsidR="002510B9" w14:paraId="55655341" w14:textId="77777777">
        <w:trPr>
          <w:trHeight w:val="288"/>
          <w:jc w:val="center"/>
        </w:trPr>
        <w:tc>
          <w:tcPr>
            <w:tcW w:w="1468" w:type="dxa"/>
            <w:vAlign w:val="center"/>
          </w:tcPr>
          <w:p w14:paraId="545FD21B" w14:textId="77777777" w:rsidR="002510B9" w:rsidRDefault="002510B9">
            <w:pPr>
              <w:spacing w:after="0" w:line="240" w:lineRule="auto"/>
              <w:jc w:val="center"/>
              <w:rPr>
                <w:rFonts w:ascii="Arial" w:hAnsi="Arial" w:cs="Arial"/>
                <w:sz w:val="18"/>
                <w:szCs w:val="18"/>
              </w:rPr>
            </w:pPr>
          </w:p>
        </w:tc>
        <w:tc>
          <w:tcPr>
            <w:tcW w:w="3068" w:type="dxa"/>
            <w:vAlign w:val="center"/>
          </w:tcPr>
          <w:p w14:paraId="7B0C48F8" w14:textId="77777777" w:rsidR="002510B9" w:rsidRDefault="002510B9">
            <w:pPr>
              <w:spacing w:after="0" w:line="240" w:lineRule="auto"/>
              <w:jc w:val="center"/>
              <w:rPr>
                <w:rFonts w:ascii="Arial" w:hAnsi="Arial" w:cs="Arial"/>
                <w:sz w:val="18"/>
                <w:szCs w:val="18"/>
              </w:rPr>
            </w:pPr>
          </w:p>
        </w:tc>
        <w:tc>
          <w:tcPr>
            <w:tcW w:w="5115" w:type="dxa"/>
            <w:vAlign w:val="center"/>
          </w:tcPr>
          <w:p w14:paraId="21585944" w14:textId="77777777" w:rsidR="002510B9" w:rsidRDefault="002510B9">
            <w:pPr>
              <w:spacing w:after="0" w:line="240" w:lineRule="auto"/>
              <w:jc w:val="center"/>
              <w:rPr>
                <w:rFonts w:ascii="Arial" w:hAnsi="Arial" w:cs="Arial"/>
                <w:sz w:val="18"/>
                <w:szCs w:val="18"/>
              </w:rPr>
            </w:pPr>
          </w:p>
        </w:tc>
      </w:tr>
    </w:tbl>
    <w:p w14:paraId="2B37BE61" w14:textId="77777777" w:rsidR="002510B9" w:rsidRDefault="00DD04BF">
      <w:pPr>
        <w:pStyle w:val="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a5"/>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a5"/>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a5"/>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a5"/>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a5"/>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a5"/>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a5"/>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3C9DDC14"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0F10CB1B"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24C7B24"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a5"/>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30"/>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pointed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30"/>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aff5"/>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aff5"/>
        <w:numPr>
          <w:ilvl w:val="0"/>
          <w:numId w:val="24"/>
        </w:numPr>
        <w:rPr>
          <w:b/>
          <w:bCs/>
          <w:i/>
        </w:rPr>
      </w:pPr>
      <w:r>
        <w:rPr>
          <w:rFonts w:hint="eastAsia"/>
          <w:b/>
          <w:bCs/>
          <w:i/>
        </w:rPr>
        <w:t>UE in connected mode</w:t>
      </w:r>
    </w:p>
    <w:p w14:paraId="1CDD364B" w14:textId="77777777" w:rsidR="002510B9" w:rsidRDefault="00DD04BF">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w:t>
            </w:r>
            <w:proofErr w:type="gramStart"/>
            <w:r>
              <w:t>,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proofErr w:type="spellStart"/>
            <w:r>
              <w:t>InterDigital</w:t>
            </w:r>
            <w:proofErr w:type="spellEnd"/>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Malgun Gothic" w:hint="eastAsia"/>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bl>
    <w:p w14:paraId="743CD8CA" w14:textId="77777777" w:rsidR="002510B9" w:rsidRPr="003771EA" w:rsidRDefault="002510B9"/>
    <w:p w14:paraId="5D55AEAC" w14:textId="77777777" w:rsidR="002510B9" w:rsidRDefault="00DD04BF">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a5"/>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lastRenderedPageBreak/>
              <w:t>LGE</w:t>
            </w:r>
          </w:p>
        </w:tc>
        <w:tc>
          <w:tcPr>
            <w:tcW w:w="7795" w:type="dxa"/>
            <w:vAlign w:val="center"/>
          </w:tcPr>
          <w:p w14:paraId="38239230" w14:textId="77777777" w:rsidR="002510B9" w:rsidRDefault="00DD04BF">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lang w:val="sv-SE"/>
              </w:rPr>
              <w:t xml:space="preserve">Support periodic TRS in 6G day 1. </w:t>
            </w:r>
          </w:p>
          <w:p w14:paraId="2BF333BA"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2C14298F"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1C8B1543" w14:textId="77777777" w:rsidR="002510B9" w:rsidRDefault="00DD04BF">
            <w:pPr>
              <w:pStyle w:val="ac"/>
              <w:numPr>
                <w:ilvl w:val="0"/>
                <w:numId w:val="21"/>
              </w:numPr>
              <w:spacing w:before="0" w:after="120" w:line="240" w:lineRule="auto"/>
              <w:ind w:left="0" w:firstLine="0"/>
              <w:rPr>
                <w:rFonts w:eastAsiaTheme="minorEastAsia"/>
                <w:i/>
                <w:iCs w:val="0"/>
                <w:lang w:val="sv-SE" w:eastAsia="zh-CN"/>
              </w:rPr>
            </w:pPr>
            <w:r>
              <w:rPr>
                <w:rFonts w:eastAsiaTheme="minorEastAsia" w:hint="eastAsia"/>
                <w:i/>
                <w:iCs w:val="0"/>
                <w:lang w:val="sv-SE" w:eastAsia="zh-CN"/>
              </w:rPr>
              <w:t>C</w:t>
            </w:r>
            <w:r>
              <w:rPr>
                <w:rFonts w:eastAsiaTheme="minorEastAsia"/>
                <w:i/>
                <w:iCs w:val="0"/>
                <w:lang w:val="sv-SE"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t>Google</w:t>
            </w:r>
          </w:p>
        </w:tc>
        <w:tc>
          <w:tcPr>
            <w:tcW w:w="7795" w:type="dxa"/>
            <w:vAlign w:val="center"/>
          </w:tcPr>
          <w:p w14:paraId="5F0076DA" w14:textId="77777777" w:rsidR="002510B9" w:rsidRDefault="00DD04BF">
            <w:pPr>
              <w:pStyle w:val="a5"/>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a5"/>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a5"/>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a5"/>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proofErr w:type="spellStart"/>
            <w:r>
              <w:rPr>
                <w:rFonts w:hint="eastAsia"/>
              </w:rPr>
              <w:lastRenderedPageBreak/>
              <w:t>Ofinna</w:t>
            </w:r>
            <w:proofErr w:type="spellEnd"/>
          </w:p>
        </w:tc>
        <w:tc>
          <w:tcPr>
            <w:tcW w:w="7795" w:type="dxa"/>
            <w:vAlign w:val="center"/>
          </w:tcPr>
          <w:p w14:paraId="7C825AAA" w14:textId="77777777" w:rsidR="002510B9" w:rsidRDefault="00DD04BF">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727D791" w14:textId="77777777" w:rsidR="002510B9" w:rsidRDefault="002510B9"/>
    <w:p w14:paraId="3E859E95" w14:textId="77777777" w:rsidR="002510B9" w:rsidRDefault="00DD04BF">
      <w:pPr>
        <w:pStyle w:val="30"/>
      </w:pPr>
      <w:r>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proofErr w:type="gramStart"/>
      <w:r>
        <w:rPr>
          <w:rFonts w:hint="eastAsia"/>
        </w:rPr>
        <w:t>Qualcomm[</w:t>
      </w:r>
      <w:proofErr w:type="gramEnd"/>
      <w:r>
        <w:rPr>
          <w:rFonts w:hint="eastAsia"/>
        </w:rPr>
        <w:t>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lastRenderedPageBreak/>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30"/>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aff5"/>
        <w:numPr>
          <w:ilvl w:val="0"/>
          <w:numId w:val="30"/>
        </w:numPr>
        <w:rPr>
          <w:b/>
          <w:bCs/>
          <w:i/>
          <w:lang w:val="en-GB"/>
        </w:rPr>
      </w:pPr>
      <w:r>
        <w:rPr>
          <w:rFonts w:hint="eastAsia"/>
          <w:b/>
          <w:bCs/>
          <w:i/>
          <w:lang w:val="en-GB"/>
        </w:rPr>
        <w:t>Lower overhead</w:t>
      </w:r>
    </w:p>
    <w:p w14:paraId="2070AE29" w14:textId="77777777" w:rsidR="002510B9" w:rsidRDefault="00DD04BF">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aff5"/>
        <w:numPr>
          <w:ilvl w:val="0"/>
          <w:numId w:val="31"/>
        </w:numPr>
        <w:rPr>
          <w:b/>
          <w:bCs/>
          <w:i/>
        </w:rPr>
      </w:pPr>
      <w:r>
        <w:rPr>
          <w:rFonts w:hint="eastAsia"/>
          <w:b/>
          <w:bCs/>
          <w:i/>
          <w:lang w:eastAsia="zh-CN"/>
        </w:rPr>
        <w:t>QCL parameters acquisition</w:t>
      </w:r>
    </w:p>
    <w:p w14:paraId="76C2654F" w14:textId="77777777" w:rsidR="002510B9" w:rsidRDefault="00DD04BF">
      <w:pPr>
        <w:pStyle w:val="aff5"/>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aff5"/>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aff5"/>
              <w:numPr>
                <w:ilvl w:val="0"/>
                <w:numId w:val="33"/>
              </w:numPr>
              <w:spacing w:before="0" w:after="0" w:line="276" w:lineRule="auto"/>
            </w:pPr>
            <w:r>
              <w:t xml:space="preserve">we need to add in the list: </w:t>
            </w:r>
          </w:p>
          <w:p w14:paraId="3EAB4B75" w14:textId="77777777" w:rsidR="002510B9" w:rsidRDefault="00DD04BF">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aff5"/>
              <w:numPr>
                <w:ilvl w:val="1"/>
                <w:numId w:val="33"/>
              </w:numPr>
              <w:spacing w:before="0" w:after="0" w:line="276" w:lineRule="auto"/>
            </w:pPr>
            <w:r>
              <w:t>UE-side complexity</w:t>
            </w:r>
          </w:p>
          <w:p w14:paraId="149880A8" w14:textId="77777777" w:rsidR="002510B9" w:rsidRDefault="00DD04BF">
            <w:pPr>
              <w:pStyle w:val="aff5"/>
              <w:numPr>
                <w:ilvl w:val="1"/>
                <w:numId w:val="33"/>
              </w:numPr>
              <w:spacing w:before="0" w:after="0" w:line="276" w:lineRule="auto"/>
            </w:pPr>
            <w:r>
              <w:t>Support of multiple use-cases</w:t>
            </w:r>
          </w:p>
          <w:p w14:paraId="398C69B9" w14:textId="77777777" w:rsidR="002510B9" w:rsidRDefault="00DD04BF">
            <w:pPr>
              <w:pStyle w:val="aff5"/>
              <w:numPr>
                <w:ilvl w:val="2"/>
                <w:numId w:val="33"/>
              </w:numPr>
              <w:spacing w:before="0" w:after="0" w:line="276" w:lineRule="auto"/>
            </w:pPr>
            <w:r>
              <w:lastRenderedPageBreak/>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aff5"/>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aff5"/>
              <w:numPr>
                <w:ilvl w:val="0"/>
                <w:numId w:val="30"/>
              </w:numPr>
              <w:rPr>
                <w:b/>
                <w:bCs/>
                <w:i/>
                <w:lang w:val="en-GB"/>
              </w:rPr>
            </w:pPr>
            <w:r>
              <w:rPr>
                <w:rFonts w:hint="eastAsia"/>
                <w:b/>
                <w:bCs/>
                <w:i/>
                <w:lang w:val="en-GB"/>
              </w:rPr>
              <w:t>Lower overhead</w:t>
            </w:r>
          </w:p>
          <w:p w14:paraId="47AE09EA" w14:textId="77777777" w:rsidR="002510B9" w:rsidRDefault="00DD04BF">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proofErr w:type="spellStart"/>
            <w:r>
              <w:t>InterDigital</w:t>
            </w:r>
            <w:proofErr w:type="spellEnd"/>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2ABDC503" w14:textId="77777777" w:rsidR="003771EA" w:rsidRPr="00327F7C" w:rsidRDefault="003771EA" w:rsidP="00E310AA">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Malgun Gothic" w:hint="eastAsia"/>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Malgun Gothic" w:hint="eastAsia"/>
                <w:lang w:eastAsia="ko-KR"/>
              </w:rPr>
            </w:pPr>
            <w:r>
              <w:t>S</w:t>
            </w:r>
            <w:r>
              <w:rPr>
                <w:rFonts w:hint="eastAsia"/>
              </w:rPr>
              <w:t>u</w:t>
            </w:r>
            <w:r>
              <w:t>pport.</w:t>
            </w:r>
          </w:p>
        </w:tc>
      </w:tr>
    </w:tbl>
    <w:p w14:paraId="1DBBB3E1" w14:textId="77777777" w:rsidR="002510B9" w:rsidRDefault="002510B9"/>
    <w:p w14:paraId="44F0847F" w14:textId="77777777" w:rsidR="002510B9" w:rsidRDefault="00DD04BF">
      <w:pPr>
        <w:pStyle w:val="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w:t>
      </w:r>
      <w:r>
        <w:rPr>
          <w:rFonts w:hint="eastAsia"/>
        </w:rPr>
        <w:lastRenderedPageBreak/>
        <w:t xml:space="preserve">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a6"/>
        <w:keepNext/>
        <w:rPr>
          <w:rFonts w:eastAsiaTheme="minorEastAsia"/>
          <w:lang w:eastAsia="zh-CN"/>
        </w:rPr>
      </w:pPr>
      <w:bookmarkStart w:id="8" w:name="_Ref218589675"/>
    </w:p>
    <w:p w14:paraId="642BE026" w14:textId="77777777" w:rsidR="002510B9" w:rsidRDefault="00DD04BF">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1D04CA"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r>
              <w:rPr>
                <w:szCs w:val="20"/>
              </w:rPr>
              <w:t>dH,dV</w:t>
            </w:r>
            <w:proofErr w:type="spellEnd"/>
            <w:r>
              <w:rPr>
                <w:szCs w:val="20"/>
              </w:rPr>
              <w:t xml:space="preserve">)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afc"/>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aff5"/>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aff5"/>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aff5"/>
              <w:numPr>
                <w:ilvl w:val="0"/>
                <w:numId w:val="35"/>
              </w:numPr>
              <w:spacing w:before="0" w:after="0" w:line="276" w:lineRule="auto"/>
            </w:pPr>
            <w:r>
              <w:rPr>
                <w:lang w:eastAsia="zh-CN"/>
              </w:rPr>
              <w:lastRenderedPageBreak/>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04AEABD" w14:textId="77777777" w:rsidR="002510B9" w:rsidRDefault="00DD04BF">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aff5"/>
              <w:numPr>
                <w:ilvl w:val="0"/>
                <w:numId w:val="37"/>
              </w:numPr>
              <w:spacing w:before="0" w:after="0" w:line="276" w:lineRule="auto"/>
            </w:pPr>
            <w:r>
              <w:t>OK to focus on 30 KHz SCS</w:t>
            </w:r>
          </w:p>
          <w:p w14:paraId="77AE9901" w14:textId="77777777" w:rsidR="002510B9" w:rsidRDefault="00DD04BF">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0030A7CA" w14:textId="77777777" w:rsidR="002510B9" w:rsidRDefault="00DD04BF">
            <w:pPr>
              <w:pStyle w:val="aff5"/>
              <w:numPr>
                <w:ilvl w:val="0"/>
                <w:numId w:val="37"/>
              </w:numPr>
              <w:spacing w:before="0" w:after="0" w:line="276" w:lineRule="auto"/>
            </w:pPr>
            <w:r>
              <w:t>Larger  BW should be evaluated, e.g., as large as 100 MHz</w:t>
            </w:r>
          </w:p>
          <w:p w14:paraId="65A19D90" w14:textId="77777777" w:rsidR="002510B9" w:rsidRDefault="00DD04BF">
            <w:pPr>
              <w:pStyle w:val="aff5"/>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aff5"/>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2510B9" w14:paraId="71EC78BC" w14:textId="77777777">
        <w:tc>
          <w:tcPr>
            <w:tcW w:w="907" w:type="pct"/>
            <w:vAlign w:val="center"/>
          </w:tcPr>
          <w:p w14:paraId="2785286C" w14:textId="77777777" w:rsidR="002510B9" w:rsidRDefault="002510B9">
            <w:pPr>
              <w:spacing w:before="0" w:after="0" w:line="276" w:lineRule="auto"/>
              <w:jc w:val="center"/>
            </w:pPr>
          </w:p>
        </w:tc>
        <w:tc>
          <w:tcPr>
            <w:tcW w:w="4093" w:type="pct"/>
            <w:vAlign w:val="center"/>
          </w:tcPr>
          <w:p w14:paraId="3A6C9066" w14:textId="77777777" w:rsidR="002510B9" w:rsidRDefault="002510B9">
            <w:pPr>
              <w:spacing w:before="0" w:after="0" w:line="276" w:lineRule="auto"/>
            </w:pPr>
          </w:p>
        </w:tc>
      </w:tr>
      <w:tr w:rsidR="002510B9" w14:paraId="398DD1E4" w14:textId="77777777">
        <w:tc>
          <w:tcPr>
            <w:tcW w:w="907" w:type="pct"/>
            <w:vAlign w:val="center"/>
          </w:tcPr>
          <w:p w14:paraId="17E0C2C7" w14:textId="77777777" w:rsidR="002510B9" w:rsidRDefault="002510B9">
            <w:pPr>
              <w:spacing w:before="0" w:after="0" w:line="276" w:lineRule="auto"/>
              <w:jc w:val="center"/>
            </w:pPr>
          </w:p>
        </w:tc>
        <w:tc>
          <w:tcPr>
            <w:tcW w:w="4093" w:type="pct"/>
            <w:vAlign w:val="center"/>
          </w:tcPr>
          <w:p w14:paraId="249D1726" w14:textId="77777777" w:rsidR="002510B9" w:rsidRDefault="002510B9">
            <w:pPr>
              <w:spacing w:before="0" w:after="0" w:line="276" w:lineRule="auto"/>
            </w:pPr>
          </w:p>
        </w:tc>
      </w:tr>
      <w:tr w:rsidR="002510B9" w14:paraId="168FDCA9" w14:textId="77777777">
        <w:tc>
          <w:tcPr>
            <w:tcW w:w="907" w:type="pct"/>
            <w:vAlign w:val="center"/>
          </w:tcPr>
          <w:p w14:paraId="10B9DD71" w14:textId="77777777" w:rsidR="002510B9" w:rsidRDefault="002510B9">
            <w:pPr>
              <w:spacing w:before="0" w:after="0" w:line="276" w:lineRule="auto"/>
              <w:jc w:val="center"/>
            </w:pPr>
          </w:p>
        </w:tc>
        <w:tc>
          <w:tcPr>
            <w:tcW w:w="4093" w:type="pct"/>
            <w:vAlign w:val="center"/>
          </w:tcPr>
          <w:p w14:paraId="4570E1B6" w14:textId="77777777" w:rsidR="002510B9" w:rsidRDefault="002510B9">
            <w:pPr>
              <w:spacing w:before="0" w:after="0" w:line="276" w:lineRule="auto"/>
            </w:pPr>
          </w:p>
        </w:tc>
      </w:tr>
    </w:tbl>
    <w:p w14:paraId="2810F532" w14:textId="77777777" w:rsidR="002510B9" w:rsidRDefault="002510B9"/>
    <w:p w14:paraId="2D9B42AD" w14:textId="77777777" w:rsidR="002510B9" w:rsidRDefault="00DD04BF">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proofErr w:type="spellStart"/>
            <w:r>
              <w:rPr>
                <w:rFonts w:eastAsiaTheme="minorEastAsia" w:hint="eastAsia"/>
              </w:rPr>
              <w:t>Ofinno</w:t>
            </w:r>
            <w:proofErr w:type="spellEnd"/>
          </w:p>
        </w:tc>
        <w:tc>
          <w:tcPr>
            <w:tcW w:w="7795" w:type="dxa"/>
          </w:tcPr>
          <w:p w14:paraId="242E34D0" w14:textId="77777777" w:rsidR="002510B9" w:rsidRDefault="00DD04BF">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afc"/>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1"/>
        <w:rPr>
          <w:rFonts w:eastAsiaTheme="minorEastAsia"/>
        </w:rPr>
      </w:pPr>
      <w:bookmarkStart w:id="9" w:name="OLE_LINK4"/>
      <w:r>
        <w:rPr>
          <w:rFonts w:eastAsiaTheme="minorEastAsia" w:hint="eastAsia"/>
          <w:lang w:val="en-US"/>
        </w:rPr>
        <w:lastRenderedPageBreak/>
        <w:t>CSI acquisition by jointly DL and UL</w:t>
      </w:r>
    </w:p>
    <w:p w14:paraId="6C900B2A" w14:textId="77777777" w:rsidR="002510B9" w:rsidRDefault="00DD04BF">
      <w:pPr>
        <w:pStyle w:val="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xml:space="preserve">, </w:t>
      </w:r>
      <w:proofErr w:type="spellStart"/>
      <w:r>
        <w:rPr>
          <w:rFonts w:eastAsia="宋体"/>
          <w:szCs w:val="20"/>
        </w:rPr>
        <w:t>Umi</w:t>
      </w:r>
      <w:proofErr w:type="spellEnd"/>
      <w:r>
        <w:rPr>
          <w:rFonts w:eastAsia="宋体" w:hint="eastAsia"/>
          <w:szCs w:val="20"/>
        </w:rPr>
        <w:t xml:space="preserve">, </w:t>
      </w:r>
      <w:r>
        <w:rPr>
          <w:rFonts w:eastAsia="宋体"/>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1D540FAA" w14:textId="77777777" w:rsidR="002510B9" w:rsidRDefault="002510B9">
      <w:pPr>
        <w:rPr>
          <w:lang w:val="en-GB"/>
        </w:rPr>
      </w:pPr>
    </w:p>
    <w:p w14:paraId="3CE9B477" w14:textId="77777777" w:rsidR="002510B9" w:rsidRDefault="00DD04BF">
      <w:pPr>
        <w:pStyle w:val="30"/>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aff5"/>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aff5"/>
        <w:numPr>
          <w:ilvl w:val="0"/>
          <w:numId w:val="39"/>
        </w:numPr>
        <w:rPr>
          <w:b/>
          <w:bCs/>
          <w:i/>
          <w:lang w:val="en-GB"/>
        </w:rPr>
      </w:pPr>
      <w:r>
        <w:rPr>
          <w:rFonts w:hint="eastAsia"/>
          <w:b/>
          <w:bCs/>
          <w:i/>
          <w:lang w:val="en-GB" w:eastAsia="zh-CN"/>
        </w:rPr>
        <w:lastRenderedPageBreak/>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afc"/>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aff5"/>
              <w:numPr>
                <w:ilvl w:val="0"/>
                <w:numId w:val="39"/>
              </w:numPr>
              <w:spacing w:before="0" w:after="0" w:line="276" w:lineRule="auto"/>
            </w:pPr>
            <w:r>
              <w:t>OK to use EVM for DL CSI reporting as a starting point</w:t>
            </w:r>
          </w:p>
          <w:p w14:paraId="07169F83" w14:textId="77777777" w:rsidR="002510B9" w:rsidRDefault="00DD04BF">
            <w:pPr>
              <w:pStyle w:val="aff5"/>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aff5"/>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aff5"/>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aff5"/>
              <w:numPr>
                <w:ilvl w:val="0"/>
                <w:numId w:val="39"/>
              </w:numPr>
              <w:spacing w:before="0" w:after="0" w:line="276" w:lineRule="auto"/>
            </w:pPr>
            <w:r>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aff5"/>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proofErr w:type="spellStart"/>
            <w:r>
              <w:t>InterDigital</w:t>
            </w:r>
            <w:proofErr w:type="spellEnd"/>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bl>
    <w:p w14:paraId="3DB6D5BF" w14:textId="77777777" w:rsidR="002510B9" w:rsidRDefault="002510B9"/>
    <w:p w14:paraId="2A32E4DE" w14:textId="77777777" w:rsidR="002510B9" w:rsidRDefault="00DD04BF">
      <w:pPr>
        <w:pStyle w:val="2"/>
        <w:rPr>
          <w:rFonts w:eastAsiaTheme="minorEastAsia"/>
        </w:rPr>
      </w:pPr>
      <w:r>
        <w:rPr>
          <w:rFonts w:eastAsiaTheme="minorEastAsia" w:hint="eastAsia"/>
        </w:rPr>
        <w:t>Cat.1: CSI acquisition for TDD</w:t>
      </w:r>
    </w:p>
    <w:p w14:paraId="7D82E260" w14:textId="77777777" w:rsidR="002510B9" w:rsidRDefault="00DD04BF">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Default="00DD04BF">
            <w:pPr>
              <w:pStyle w:val="000proposal"/>
              <w:tabs>
                <w:tab w:val="left" w:pos="1134"/>
              </w:tabs>
              <w:adjustRightInd w:val="0"/>
              <w:snapToGrid w:val="0"/>
              <w:spacing w:before="120" w:after="0" w:line="264" w:lineRule="auto"/>
              <w:rPr>
                <w:rFonts w:eastAsiaTheme="minorEastAsia"/>
                <w:b w:val="0"/>
                <w:bCs w:val="0"/>
                <w:lang w:val="sv-SE"/>
              </w:rPr>
            </w:pPr>
            <w:r>
              <w:rPr>
                <w:rFonts w:eastAsiaTheme="minorEastAsia" w:hint="eastAsia"/>
                <w:b w:val="0"/>
                <w:bCs w:val="0"/>
                <w:lang w:val="sv-SE"/>
              </w:rPr>
              <w:t xml:space="preserve">Proposal 1: </w:t>
            </w:r>
            <w:r>
              <w:rPr>
                <w:rFonts w:eastAsiaTheme="minorEastAsia"/>
                <w:b w:val="0"/>
                <w:bCs w:val="0"/>
                <w:lang w:val="sv-SE"/>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lastRenderedPageBreak/>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a5"/>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a5"/>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a5"/>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a5"/>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t>A</w:t>
            </w:r>
            <w:r>
              <w:rPr>
                <w:rFonts w:hint="eastAsia"/>
              </w:rPr>
              <w:t>pple</w:t>
            </w:r>
          </w:p>
        </w:tc>
        <w:tc>
          <w:tcPr>
            <w:tcW w:w="7795" w:type="dxa"/>
            <w:vAlign w:val="center"/>
          </w:tcPr>
          <w:p w14:paraId="00D67D73" w14:textId="77777777" w:rsidR="002510B9" w:rsidRDefault="00DD04BF">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a5"/>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a5"/>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a5"/>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a5"/>
              <w:numPr>
                <w:ilvl w:val="0"/>
                <w:numId w:val="41"/>
              </w:numPr>
              <w:spacing w:before="60" w:after="60" w:line="257" w:lineRule="auto"/>
              <w:rPr>
                <w:i/>
              </w:rPr>
            </w:pPr>
            <w:r>
              <w:rPr>
                <w:i/>
              </w:rPr>
              <w:t>CSI feedback is the precoding matrix.</w:t>
            </w:r>
          </w:p>
          <w:p w14:paraId="289AEBF3" w14:textId="77777777" w:rsidR="002510B9" w:rsidRDefault="00DD04BF">
            <w:pPr>
              <w:pStyle w:val="a5"/>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a5"/>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proofErr w:type="spellStart"/>
            <w:r>
              <w:rPr>
                <w:rFonts w:hint="eastAsia"/>
              </w:rPr>
              <w:t>Ofinno</w:t>
            </w:r>
            <w:proofErr w:type="spellEnd"/>
          </w:p>
        </w:tc>
        <w:tc>
          <w:tcPr>
            <w:tcW w:w="7795" w:type="dxa"/>
            <w:vAlign w:val="center"/>
          </w:tcPr>
          <w:p w14:paraId="1DD2F564" w14:textId="77777777" w:rsidR="002510B9" w:rsidRDefault="00DD04BF">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a5"/>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4FD393C8" w14:textId="77777777" w:rsidR="002510B9" w:rsidRDefault="00DD04BF">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30"/>
      </w:pPr>
      <w:r>
        <w:rPr>
          <w:rFonts w:hint="eastAsia"/>
        </w:rPr>
        <w:lastRenderedPageBreak/>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afc"/>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proofErr w:type="spellStart"/>
            <w:r>
              <w:t>InterDigital</w:t>
            </w:r>
            <w:proofErr w:type="spellEnd"/>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bl>
    <w:p w14:paraId="321EEC04" w14:textId="77777777" w:rsidR="002510B9" w:rsidRDefault="002510B9"/>
    <w:p w14:paraId="675133C9" w14:textId="77777777" w:rsidR="002510B9" w:rsidRDefault="00DD04BF">
      <w:pPr>
        <w:pStyle w:val="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2E64BDF8" w14:textId="77777777"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30"/>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30"/>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proofErr w:type="spellStart"/>
            <w:r>
              <w:t>InterDigital</w:t>
            </w:r>
            <w:proofErr w:type="spellEnd"/>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bookmarkStart w:id="12" w:name="_GoBack" w:colFirst="0" w:colLast="0"/>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bookmarkEnd w:id="12"/>
      <w:tr w:rsidR="001D04CA" w14:paraId="5A555929" w14:textId="77777777">
        <w:tc>
          <w:tcPr>
            <w:tcW w:w="755" w:type="pct"/>
            <w:vAlign w:val="center"/>
          </w:tcPr>
          <w:p w14:paraId="57644380" w14:textId="77777777" w:rsidR="001D04CA" w:rsidRDefault="001D04CA" w:rsidP="001D04CA">
            <w:pPr>
              <w:spacing w:before="0" w:after="0" w:line="240" w:lineRule="auto"/>
              <w:jc w:val="center"/>
            </w:pPr>
          </w:p>
        </w:tc>
        <w:tc>
          <w:tcPr>
            <w:tcW w:w="4245" w:type="pct"/>
            <w:vAlign w:val="center"/>
          </w:tcPr>
          <w:p w14:paraId="3C7E74D8" w14:textId="77777777" w:rsidR="001D04CA" w:rsidRDefault="001D04CA" w:rsidP="001D04CA">
            <w:pPr>
              <w:spacing w:before="0" w:after="0" w:line="240" w:lineRule="auto"/>
            </w:pPr>
          </w:p>
        </w:tc>
      </w:tr>
      <w:tr w:rsidR="001D04CA" w14:paraId="088D98A1" w14:textId="77777777">
        <w:tc>
          <w:tcPr>
            <w:tcW w:w="755" w:type="pct"/>
            <w:vAlign w:val="center"/>
          </w:tcPr>
          <w:p w14:paraId="174A59CE" w14:textId="77777777" w:rsidR="001D04CA" w:rsidRDefault="001D04CA" w:rsidP="001D04CA">
            <w:pPr>
              <w:spacing w:before="0" w:after="0" w:line="240" w:lineRule="auto"/>
              <w:jc w:val="center"/>
            </w:pPr>
          </w:p>
        </w:tc>
        <w:tc>
          <w:tcPr>
            <w:tcW w:w="4245" w:type="pct"/>
            <w:vAlign w:val="center"/>
          </w:tcPr>
          <w:p w14:paraId="1A63FA7F" w14:textId="77777777" w:rsidR="001D04CA" w:rsidRDefault="001D04CA" w:rsidP="001D04CA">
            <w:pPr>
              <w:spacing w:before="0" w:after="0" w:line="240" w:lineRule="auto"/>
            </w:pPr>
          </w:p>
        </w:tc>
      </w:tr>
      <w:tr w:rsidR="001D04CA" w14:paraId="10CCB57A" w14:textId="77777777">
        <w:tc>
          <w:tcPr>
            <w:tcW w:w="755" w:type="pct"/>
            <w:vAlign w:val="center"/>
          </w:tcPr>
          <w:p w14:paraId="3B251EB2" w14:textId="77777777" w:rsidR="001D04CA" w:rsidRDefault="001D04CA" w:rsidP="001D04CA">
            <w:pPr>
              <w:spacing w:before="0" w:after="0" w:line="240" w:lineRule="auto"/>
              <w:jc w:val="center"/>
            </w:pPr>
          </w:p>
        </w:tc>
        <w:tc>
          <w:tcPr>
            <w:tcW w:w="4245" w:type="pct"/>
            <w:vAlign w:val="center"/>
          </w:tcPr>
          <w:p w14:paraId="1A177413" w14:textId="77777777" w:rsidR="001D04CA" w:rsidRDefault="001D04CA" w:rsidP="001D04CA">
            <w:pPr>
              <w:spacing w:before="0" w:after="0" w:line="240" w:lineRule="auto"/>
            </w:pPr>
          </w:p>
        </w:tc>
      </w:tr>
    </w:tbl>
    <w:p w14:paraId="185AC21E" w14:textId="77777777" w:rsidR="002510B9" w:rsidRDefault="00DD04BF">
      <w:pPr>
        <w:pStyle w:val="2"/>
        <w:rPr>
          <w:rFonts w:eastAsiaTheme="minorEastAsia"/>
        </w:rPr>
      </w:pPr>
      <w:r>
        <w:rPr>
          <w:rFonts w:eastAsiaTheme="minorEastAsia" w:hint="eastAsia"/>
        </w:rPr>
        <w:t>Cat. 3: AI based joint DL and UL CSI</w:t>
      </w:r>
    </w:p>
    <w:p w14:paraId="6CD5C699"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a5"/>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proofErr w:type="spellStart"/>
            <w:r>
              <w:rPr>
                <w:rFonts w:hint="eastAsia"/>
              </w:rPr>
              <w:t>Ofinno</w:t>
            </w:r>
            <w:proofErr w:type="spellEnd"/>
          </w:p>
        </w:tc>
        <w:tc>
          <w:tcPr>
            <w:tcW w:w="7795" w:type="dxa"/>
            <w:vAlign w:val="center"/>
          </w:tcPr>
          <w:p w14:paraId="7F6003AC" w14:textId="77777777" w:rsidR="002510B9" w:rsidRDefault="00DD04BF">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gramStart"/>
            <w:r>
              <w:rPr>
                <w:rFonts w:eastAsiaTheme="minorEastAsia" w:hint="eastAsia"/>
                <w:i/>
                <w:lang w:eastAsia="zh-CN"/>
              </w:rPr>
              <w:t>a</w:t>
            </w:r>
            <w:proofErr w:type="gramEnd"/>
            <w:r>
              <w:rPr>
                <w:rFonts w:eastAsiaTheme="minorEastAsia" w:hint="eastAsia"/>
                <w:i/>
                <w:lang w:eastAsia="zh-CN"/>
              </w:rPr>
              <w:t xml:space="preserve"> example.</w:t>
            </w:r>
          </w:p>
        </w:tc>
      </w:tr>
    </w:tbl>
    <w:p w14:paraId="51C60D34" w14:textId="77777777" w:rsidR="002510B9" w:rsidRDefault="00DD04BF">
      <w:pPr>
        <w:pStyle w:val="30"/>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7"/>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afc"/>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lastRenderedPageBreak/>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ac"/>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a6"/>
              <w:rPr>
                <w:lang w:eastAsia="zh-CN"/>
              </w:rPr>
            </w:pPr>
            <w:r>
              <w:t>Figure 2. SGCS gain of SRS-assisted explicit CSI reconstruction</w:t>
            </w:r>
          </w:p>
          <w:p w14:paraId="5200E58E" w14:textId="77777777" w:rsidR="002510B9" w:rsidRDefault="00DD04BF">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a6"/>
              <w:keepNext/>
              <w:spacing w:before="0" w:after="0" w:line="240" w:lineRule="auto"/>
            </w:pPr>
            <w:bookmarkStart w:id="13" w:name="_Ref220488299"/>
            <w:r>
              <w:t xml:space="preserve">Table </w:t>
            </w:r>
            <w:r>
              <w:fldChar w:fldCharType="begin"/>
            </w:r>
            <w:r>
              <w:instrText xml:space="preserve"> SEQ Table \* ARABIC </w:instrText>
            </w:r>
            <w:r>
              <w:fldChar w:fldCharType="separate"/>
            </w:r>
            <w:r>
              <w:t>2</w:t>
            </w:r>
            <w:r>
              <w:fldChar w:fldCharType="end"/>
            </w:r>
            <w:bookmarkEnd w:id="13"/>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a6"/>
              <w:keepNext/>
              <w:spacing w:before="0" w:after="0" w:line="240" w:lineRule="auto"/>
            </w:pPr>
            <w:bookmarkStart w:id="14" w:name="_Ref220488344"/>
            <w:r>
              <w:t xml:space="preserve">Table </w:t>
            </w:r>
            <w:r>
              <w:fldChar w:fldCharType="begin"/>
            </w:r>
            <w:r>
              <w:instrText xml:space="preserve"> SEQ Table \* ARABIC </w:instrText>
            </w:r>
            <w:r>
              <w:fldChar w:fldCharType="separate"/>
            </w:r>
            <w:r>
              <w:t>3</w:t>
            </w:r>
            <w:r>
              <w:fldChar w:fldCharType="end"/>
            </w:r>
            <w:bookmarkEnd w:id="14"/>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lastRenderedPageBreak/>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9"/>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afc"/>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15" w:name="_Ref219882651"/>
            <w:r>
              <w:rPr>
                <w:b/>
                <w:bCs/>
              </w:rPr>
              <w:t>SGCS comparisons</w:t>
            </w:r>
            <w:bookmarkEnd w:id="15"/>
          </w:p>
          <w:tbl>
            <w:tblPr>
              <w:tblStyle w:val="afc"/>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5B495E23"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ac"/>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lastRenderedPageBreak/>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lastRenderedPageBreak/>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36FB9EEE"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E0CDB29"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E40B7C4" w14:textId="77777777" w:rsidR="002510B9" w:rsidRDefault="00DD04BF">
            <w:pPr>
              <w:pStyle w:val="aff5"/>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30"/>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aff5"/>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aff5"/>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aff5"/>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AE2EEFB" w14:textId="77777777" w:rsidR="002510B9" w:rsidRDefault="00DD04BF">
      <w:pPr>
        <w:pStyle w:val="aff5"/>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aff5"/>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aff5"/>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aff5"/>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0D04CCD2" w14:textId="77777777" w:rsidR="002510B9" w:rsidRDefault="00DD04BF">
      <w:pPr>
        <w:pStyle w:val="aff5"/>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afc"/>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lastRenderedPageBreak/>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proofErr w:type="spellStart"/>
            <w:r>
              <w:t>InterDigital</w:t>
            </w:r>
            <w:proofErr w:type="spellEnd"/>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3771EA" w14:paraId="0AA30809" w14:textId="77777777">
        <w:tc>
          <w:tcPr>
            <w:tcW w:w="755" w:type="pct"/>
            <w:vAlign w:val="center"/>
          </w:tcPr>
          <w:p w14:paraId="5A5A75D0" w14:textId="77777777" w:rsidR="003771EA" w:rsidRDefault="003771EA" w:rsidP="003771EA">
            <w:pPr>
              <w:spacing w:before="0" w:after="0" w:line="240" w:lineRule="auto"/>
              <w:jc w:val="center"/>
            </w:pPr>
          </w:p>
        </w:tc>
        <w:tc>
          <w:tcPr>
            <w:tcW w:w="4245" w:type="pct"/>
            <w:vAlign w:val="center"/>
          </w:tcPr>
          <w:p w14:paraId="5B669D07" w14:textId="77777777" w:rsidR="003771EA" w:rsidRDefault="003771EA" w:rsidP="003771EA">
            <w:pPr>
              <w:spacing w:before="0" w:after="0" w:line="240" w:lineRule="auto"/>
            </w:pPr>
          </w:p>
        </w:tc>
      </w:tr>
      <w:tr w:rsidR="003771EA" w14:paraId="79398B39" w14:textId="77777777">
        <w:tc>
          <w:tcPr>
            <w:tcW w:w="755" w:type="pct"/>
            <w:vAlign w:val="center"/>
          </w:tcPr>
          <w:p w14:paraId="2B7809BA" w14:textId="77777777" w:rsidR="003771EA" w:rsidRDefault="003771EA" w:rsidP="003771EA">
            <w:pPr>
              <w:spacing w:before="0" w:after="0" w:line="240" w:lineRule="auto"/>
              <w:jc w:val="center"/>
            </w:pPr>
          </w:p>
        </w:tc>
        <w:tc>
          <w:tcPr>
            <w:tcW w:w="4245" w:type="pct"/>
            <w:vAlign w:val="center"/>
          </w:tcPr>
          <w:p w14:paraId="3719F0D9" w14:textId="77777777" w:rsidR="003771EA" w:rsidRDefault="003771EA" w:rsidP="003771EA">
            <w:pPr>
              <w:spacing w:before="0" w:after="0" w:line="240" w:lineRule="auto"/>
            </w:pPr>
          </w:p>
        </w:tc>
      </w:tr>
      <w:tr w:rsidR="003771EA" w14:paraId="3BD0FBA2" w14:textId="77777777">
        <w:tc>
          <w:tcPr>
            <w:tcW w:w="755" w:type="pct"/>
            <w:vAlign w:val="center"/>
          </w:tcPr>
          <w:p w14:paraId="2F9EF41B" w14:textId="77777777" w:rsidR="003771EA" w:rsidRDefault="003771EA" w:rsidP="003771EA">
            <w:pPr>
              <w:spacing w:before="0" w:after="0" w:line="240" w:lineRule="auto"/>
              <w:jc w:val="center"/>
            </w:pPr>
          </w:p>
        </w:tc>
        <w:tc>
          <w:tcPr>
            <w:tcW w:w="4245" w:type="pct"/>
            <w:vAlign w:val="center"/>
          </w:tcPr>
          <w:p w14:paraId="000786F4" w14:textId="77777777" w:rsidR="003771EA" w:rsidRDefault="003771EA" w:rsidP="003771EA">
            <w:pPr>
              <w:spacing w:before="0" w:after="0" w:line="240" w:lineRule="auto"/>
            </w:pPr>
          </w:p>
        </w:tc>
      </w:tr>
    </w:tbl>
    <w:p w14:paraId="5B524A25" w14:textId="77777777" w:rsidR="002510B9" w:rsidRDefault="002510B9"/>
    <w:p w14:paraId="7EF3622D" w14:textId="77777777" w:rsidR="002510B9" w:rsidRDefault="00DD04BF">
      <w:pPr>
        <w:pStyle w:val="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宋体"/>
                <w:i/>
                <w:iCs/>
                <w:szCs w:val="20"/>
              </w:rPr>
              <w:t>General Performance (SE and UPT) enhancements.</w:t>
            </w:r>
          </w:p>
          <w:p w14:paraId="3733965F" w14:textId="77777777" w:rsidR="002510B9" w:rsidRDefault="00DD04BF">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aff5"/>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proofErr w:type="spellStart"/>
            <w:r>
              <w:rPr>
                <w:rFonts w:hint="eastAsia"/>
                <w:szCs w:val="20"/>
              </w:rPr>
              <w:lastRenderedPageBreak/>
              <w:t>InterDigital</w:t>
            </w:r>
            <w:proofErr w:type="spellEnd"/>
          </w:p>
        </w:tc>
        <w:tc>
          <w:tcPr>
            <w:tcW w:w="7795" w:type="dxa"/>
          </w:tcPr>
          <w:p w14:paraId="332E5837" w14:textId="77777777" w:rsidR="002510B9" w:rsidRDefault="00DD04BF">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ac"/>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a5"/>
              <w:spacing w:before="60" w:after="60" w:line="240" w:lineRule="auto"/>
              <w:ind w:left="0" w:firstLine="0"/>
              <w:rPr>
                <w:i/>
              </w:rPr>
            </w:pPr>
            <w:r>
              <w:rPr>
                <w:i/>
              </w:rPr>
              <w:t>Proposal 1: Consider carrying all CSI reporting type by PUSCH.</w:t>
            </w:r>
          </w:p>
          <w:p w14:paraId="43A95367" w14:textId="77777777" w:rsidR="002510B9" w:rsidRDefault="00DD04BF">
            <w:pPr>
              <w:pStyle w:val="a5"/>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a5"/>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a5"/>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DD04BF">
            <w:pPr>
              <w:pStyle w:val="a5"/>
              <w:spacing w:before="60" w:after="60" w:line="240" w:lineRule="auto"/>
              <w:ind w:left="0" w:firstLine="0"/>
              <w:rPr>
                <w:i/>
              </w:rPr>
            </w:pPr>
            <w:r>
              <w:rPr>
                <w:i/>
              </w:rPr>
              <w:t>Proposal 6: Study UE initiated CSI report for CSI acquisition.</w:t>
            </w:r>
          </w:p>
          <w:p w14:paraId="1C4EDC12" w14:textId="77777777" w:rsidR="002510B9" w:rsidRDefault="00DD04BF">
            <w:pPr>
              <w:pStyle w:val="a5"/>
              <w:spacing w:before="60" w:after="60" w:line="240" w:lineRule="auto"/>
              <w:ind w:left="0" w:firstLine="0"/>
              <w:rPr>
                <w:i/>
              </w:rPr>
            </w:pPr>
            <w:r>
              <w:rPr>
                <w:i/>
              </w:rPr>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a5"/>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a5"/>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ED414B9" w14:textId="77777777" w:rsidR="002510B9" w:rsidRDefault="00DD04BF">
      <w:pPr>
        <w:pStyle w:val="30"/>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30"/>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9"/>
    <w:p w14:paraId="27AA4050" w14:textId="77777777" w:rsidR="002510B9" w:rsidRDefault="00DD04BF">
      <w:pPr>
        <w:pStyle w:val="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1"/>
        <w:rPr>
          <w:lang w:val="en-US"/>
        </w:rPr>
      </w:pPr>
      <w:r>
        <w:rPr>
          <w:lang w:val="en-US"/>
        </w:rPr>
        <w:t>References</w:t>
      </w:r>
    </w:p>
    <w:p w14:paraId="78D7EE1A"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17DC8D81"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32D4155"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D2FD4A0"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aff5"/>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71C38FB6"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55F23F55"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aff5"/>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1"/>
      <w:footerReference w:type="default" r:id="rId22"/>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5E40" w14:textId="77777777" w:rsidR="00876494" w:rsidRDefault="00876494">
      <w:pPr>
        <w:spacing w:line="240" w:lineRule="auto"/>
      </w:pPr>
      <w:r>
        <w:separator/>
      </w:r>
    </w:p>
  </w:endnote>
  <w:endnote w:type="continuationSeparator" w:id="0">
    <w:p w14:paraId="1C4B7957" w14:textId="77777777" w:rsidR="00876494" w:rsidRDefault="00876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75657" w14:textId="38B77195" w:rsidR="002510B9" w:rsidRDefault="00DD04BF">
    <w:pPr>
      <w:pStyle w:val="af2"/>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22E21" w14:textId="77777777" w:rsidR="00876494" w:rsidRDefault="00876494">
      <w:pPr>
        <w:spacing w:before="0" w:after="0"/>
      </w:pPr>
      <w:r>
        <w:separator/>
      </w:r>
    </w:p>
  </w:footnote>
  <w:footnote w:type="continuationSeparator" w:id="0">
    <w:p w14:paraId="2EF577D4" w14:textId="77777777" w:rsidR="00876494" w:rsidRDefault="008764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528D" w14:textId="77777777" w:rsidR="002510B9" w:rsidRDefault="00DD04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1"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5"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7"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3"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7"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8"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3"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4"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6"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6"/>
  </w:num>
  <w:num w:numId="4">
    <w:abstractNumId w:val="33"/>
  </w:num>
  <w:num w:numId="5">
    <w:abstractNumId w:val="46"/>
  </w:num>
  <w:num w:numId="6">
    <w:abstractNumId w:val="16"/>
  </w:num>
  <w:num w:numId="7">
    <w:abstractNumId w:val="31"/>
  </w:num>
  <w:num w:numId="8">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abstractNumId w:val="28"/>
  </w:num>
  <w:num w:numId="10">
    <w:abstractNumId w:val="6"/>
  </w:num>
  <w:num w:numId="11">
    <w:abstractNumId w:val="25"/>
  </w:num>
  <w:num w:numId="12">
    <w:abstractNumId w:val="40"/>
  </w:num>
  <w:num w:numId="13">
    <w:abstractNumId w:val="45"/>
  </w:num>
  <w:num w:numId="14">
    <w:abstractNumId w:val="29"/>
  </w:num>
  <w:num w:numId="15">
    <w:abstractNumId w:val="49"/>
  </w:num>
  <w:num w:numId="16">
    <w:abstractNumId w:val="19"/>
  </w:num>
  <w:num w:numId="17">
    <w:abstractNumId w:val="43"/>
  </w:num>
  <w:num w:numId="18">
    <w:abstractNumId w:val="30"/>
  </w:num>
  <w:num w:numId="19">
    <w:abstractNumId w:val="23"/>
  </w:num>
  <w:num w:numId="20">
    <w:abstractNumId w:val="27"/>
  </w:num>
  <w:num w:numId="21">
    <w:abstractNumId w:val="5"/>
  </w:num>
  <w:num w:numId="22">
    <w:abstractNumId w:val="3"/>
  </w:num>
  <w:num w:numId="23">
    <w:abstractNumId w:val="42"/>
  </w:num>
  <w:num w:numId="24">
    <w:abstractNumId w:val="35"/>
  </w:num>
  <w:num w:numId="25">
    <w:abstractNumId w:val="8"/>
  </w:num>
  <w:num w:numId="26">
    <w:abstractNumId w:val="0"/>
  </w:num>
  <w:num w:numId="27">
    <w:abstractNumId w:val="36"/>
  </w:num>
  <w:num w:numId="28">
    <w:abstractNumId w:val="47"/>
  </w:num>
  <w:num w:numId="29">
    <w:abstractNumId w:val="9"/>
  </w:num>
  <w:num w:numId="30">
    <w:abstractNumId w:val="7"/>
  </w:num>
  <w:num w:numId="31">
    <w:abstractNumId w:val="11"/>
  </w:num>
  <w:num w:numId="32">
    <w:abstractNumId w:val="21"/>
  </w:num>
  <w:num w:numId="33">
    <w:abstractNumId w:val="14"/>
  </w:num>
  <w:num w:numId="34">
    <w:abstractNumId w:val="44"/>
  </w:num>
  <w:num w:numId="35">
    <w:abstractNumId w:val="12"/>
  </w:num>
  <w:num w:numId="36">
    <w:abstractNumId w:val="38"/>
  </w:num>
  <w:num w:numId="37">
    <w:abstractNumId w:val="48"/>
  </w:num>
  <w:num w:numId="38">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abstractNumId w:val="18"/>
  </w:num>
  <w:num w:numId="40">
    <w:abstractNumId w:val="20"/>
  </w:num>
  <w:num w:numId="41">
    <w:abstractNumId w:val="17"/>
  </w:num>
  <w:num w:numId="42">
    <w:abstractNumId w:val="32"/>
  </w:num>
  <w:num w:numId="43">
    <w:abstractNumId w:val="10"/>
  </w:num>
  <w:num w:numId="44">
    <w:abstractNumId w:val="39"/>
  </w:num>
  <w:num w:numId="45">
    <w:abstractNumId w:val="41"/>
  </w:num>
  <w:num w:numId="46">
    <w:abstractNumId w:val="22"/>
  </w:num>
  <w:num w:numId="47">
    <w:abstractNumId w:val="13"/>
  </w:num>
  <w:num w:numId="48">
    <w:abstractNumId w:val="37"/>
  </w:num>
  <w:num w:numId="49">
    <w:abstractNumId w:val="24"/>
  </w:num>
  <w:num w:numId="50">
    <w:abstractNumId w:val="3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A402"/>
  <w15:docId w15:val="{D446C9EA-6F8A-4CA6-9EF2-305D0EB83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88" w:lineRule="auto"/>
      <w:jc w:val="both"/>
    </w:pPr>
    <w:rPr>
      <w:rFonts w:ascii="Times New Roman" w:eastAsia="等线" w:hAnsi="Times New Roman" w:cs="Aptos"/>
      <w:szCs w:val="21"/>
      <w:lang w:val="en-US" w:eastAsia="zh-CN"/>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pPr>
      <w:ind w:left="1135"/>
    </w:pPr>
  </w:style>
  <w:style w:type="paragraph" w:styleId="21">
    <w:name w:val="List 2"/>
    <w:basedOn w:val="a3"/>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71">
    <w:name w:val="toc 7"/>
    <w:basedOn w:val="61"/>
    <w:next w:val="a"/>
    <w:autoRedefine/>
    <w:semiHidden/>
    <w:qFormat/>
    <w:pPr>
      <w:ind w:left="2268" w:hanging="2268"/>
    </w:pPr>
  </w:style>
  <w:style w:type="paragraph" w:styleId="61">
    <w:name w:val="toc 6"/>
    <w:basedOn w:val="51"/>
    <w:next w:val="a"/>
    <w:autoRedefine/>
    <w:semiHidden/>
    <w:qFormat/>
    <w:pPr>
      <w:ind w:left="1985" w:hanging="1985"/>
    </w:pPr>
  </w:style>
  <w:style w:type="paragraph" w:styleId="51">
    <w:name w:val="toc 5"/>
    <w:basedOn w:val="41"/>
    <w:autoRedefine/>
    <w:semiHidden/>
    <w:qFormat/>
    <w:pPr>
      <w:ind w:left="1701" w:hanging="1701"/>
    </w:pPr>
  </w:style>
  <w:style w:type="paragraph" w:styleId="41">
    <w:name w:val="toc 4"/>
    <w:basedOn w:val="33"/>
    <w:autoRedefine/>
    <w:semiHidden/>
    <w:qFormat/>
    <w:pPr>
      <w:ind w:left="1418" w:hanging="1418"/>
    </w:pPr>
  </w:style>
  <w:style w:type="paragraph" w:styleId="33">
    <w:name w:val="toc 3"/>
    <w:basedOn w:val="22"/>
    <w:autoRedefine/>
    <w:semiHidden/>
    <w:qFormat/>
    <w:pPr>
      <w:ind w:left="1134" w:hanging="1134"/>
    </w:pPr>
  </w:style>
  <w:style w:type="paragraph" w:styleId="22">
    <w:name w:val="toc 2"/>
    <w:basedOn w:val="11"/>
    <w:autoRedefine/>
    <w:semiHidden/>
    <w:qFormat/>
    <w:pPr>
      <w:keepNext w:val="0"/>
      <w:tabs>
        <w:tab w:val="right" w:leader="dot" w:pos="9639"/>
      </w:tabs>
      <w:spacing w:before="0"/>
      <w:ind w:left="851" w:right="425" w:hanging="851"/>
    </w:pPr>
    <w:rPr>
      <w:b w:val="0"/>
      <w:szCs w:val="20"/>
      <w:lang w:eastAsia="en-US"/>
    </w:rPr>
  </w:style>
  <w:style w:type="paragraph" w:styleId="1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23">
    <w:name w:val="List Number 2"/>
    <w:basedOn w:val="a4"/>
    <w:pPr>
      <w:ind w:left="851"/>
    </w:pPr>
  </w:style>
  <w:style w:type="paragraph" w:styleId="a4">
    <w:name w:val="List Number"/>
    <w:basedOn w:val="a3"/>
    <w:pPr>
      <w:spacing w:before="0" w:after="180"/>
      <w:ind w:left="568" w:hanging="284"/>
    </w:pPr>
  </w:style>
  <w:style w:type="paragraph" w:styleId="42">
    <w:name w:val="List Bullet 4"/>
    <w:basedOn w:val="34"/>
    <w:pPr>
      <w:ind w:left="1418"/>
    </w:pPr>
  </w:style>
  <w:style w:type="paragraph" w:styleId="34">
    <w:name w:val="List Bullet 3"/>
    <w:basedOn w:val="24"/>
    <w:pPr>
      <w:ind w:left="1135"/>
    </w:pPr>
  </w:style>
  <w:style w:type="paragraph" w:styleId="24">
    <w:name w:val="List Bullet 2"/>
    <w:basedOn w:val="a5"/>
    <w:pPr>
      <w:ind w:left="851"/>
    </w:pPr>
  </w:style>
  <w:style w:type="paragraph" w:styleId="a5">
    <w:name w:val="List Bullet"/>
    <w:basedOn w:val="a3"/>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3"/>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pPr>
      <w:spacing w:after="180" w:line="256" w:lineRule="auto"/>
    </w:pPr>
    <w:rPr>
      <w:rFonts w:ascii="Courier New" w:eastAsiaTheme="minorHAnsi" w:hAnsi="Courier New" w:cs="Times New Roman"/>
      <w:iCs/>
      <w:szCs w:val="20"/>
      <w:lang w:val="nb-NO" w:eastAsia="en-US"/>
    </w:rPr>
  </w:style>
  <w:style w:type="paragraph" w:styleId="52">
    <w:name w:val="List Bullet 5"/>
    <w:basedOn w:val="42"/>
    <w:qFormat/>
    <w:pPr>
      <w:ind w:left="1702"/>
    </w:pPr>
  </w:style>
  <w:style w:type="paragraph" w:styleId="81">
    <w:name w:val="toc 8"/>
    <w:basedOn w:val="11"/>
    <w:autoRedefine/>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pPr>
      <w:keepLines/>
      <w:spacing w:line="256" w:lineRule="auto"/>
      <w:ind w:left="454" w:hanging="454"/>
    </w:pPr>
    <w:rPr>
      <w:rFonts w:eastAsiaTheme="minorHAnsi" w:cs="Times New Roman"/>
      <w:iCs/>
      <w:sz w:val="16"/>
      <w:szCs w:val="20"/>
      <w:lang w:eastAsia="en-US"/>
    </w:rPr>
  </w:style>
  <w:style w:type="paragraph" w:styleId="53">
    <w:name w:val="List 5"/>
    <w:basedOn w:val="43"/>
    <w:pPr>
      <w:ind w:left="1702"/>
    </w:pPr>
  </w:style>
  <w:style w:type="paragraph" w:styleId="43">
    <w:name w:val="List 4"/>
    <w:basedOn w:val="32"/>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91">
    <w:name w:val="toc 9"/>
    <w:basedOn w:val="81"/>
    <w:autoRedefine/>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rPr>
      <w:b/>
      <w:position w:val="6"/>
      <w:sz w:val="16"/>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customStyle="1" w:styleId="Proposal">
    <w:name w:val="Proposal"/>
    <w:basedOn w:val="a"/>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aff5">
    <w:name w:val="List Paragraph"/>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出段落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2">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a"/>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rPr>
      <w:rFonts w:ascii="Times New Roman" w:eastAsia="Times New Roman" w:hAnsi="Times New Roman" w:cs="Times New Roman"/>
      <w:sz w:val="16"/>
      <w:szCs w:val="20"/>
      <w:lang w:val="en-GB"/>
    </w:rPr>
  </w:style>
  <w:style w:type="paragraph" w:customStyle="1" w:styleId="Reference">
    <w:name w:val="Reference"/>
    <w:basedOn w:val="a"/>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rPr>
      <w:rFonts w:ascii="Arial" w:hAnsi="Arial" w:cs="Arial" w:hint="default"/>
      <w:color w:val="auto"/>
      <w:sz w:val="20"/>
      <w:szCs w:val="20"/>
    </w:rPr>
  </w:style>
  <w:style w:type="paragraph" w:customStyle="1" w:styleId="H6">
    <w:name w:val="H6"/>
    <w:basedOn w:val="5"/>
    <w:next w:val="a"/>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pPr>
      <w:keepNext/>
      <w:keepLines/>
      <w:spacing w:after="180" w:line="256" w:lineRule="auto"/>
    </w:pPr>
    <w:rPr>
      <w:rFonts w:eastAsiaTheme="minorHAnsi" w:cs="Times New Roman"/>
      <w:b/>
      <w:iCs/>
      <w:szCs w:val="20"/>
      <w:lang w:eastAsia="en-US"/>
    </w:rPr>
  </w:style>
  <w:style w:type="paragraph" w:customStyle="1" w:styleId="enumlev2">
    <w:name w:val="enumlev2"/>
    <w:basedOn w:val="a"/>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a"/>
    <w:pPr>
      <w:spacing w:after="180" w:line="256" w:lineRule="auto"/>
    </w:pPr>
    <w:rPr>
      <w:rFonts w:eastAsiaTheme="minorHAnsi" w:cs="Times New Roman"/>
      <w:i/>
      <w:iCs/>
      <w:color w:val="0000FF"/>
      <w:szCs w:val="20"/>
      <w:lang w:eastAsia="en-US"/>
    </w:rPr>
  </w:style>
  <w:style w:type="paragraph" w:customStyle="1" w:styleId="13">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a"/>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a"/>
    <w:next w:val="a"/>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4">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25</Pages>
  <Words>8786</Words>
  <Characters>50081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 BC2 Liu</dc:creator>
  <cp:lastModifiedBy>Yukai Gao</cp:lastModifiedBy>
  <cp:revision>8</cp:revision>
  <dcterms:created xsi:type="dcterms:W3CDTF">2026-02-09T10:57:00Z</dcterms:created>
  <dcterms:modified xsi:type="dcterms:W3CDTF">2026-02-09T12:09:00Z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