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5C457">
      <w:pPr>
        <w:tabs>
          <w:tab w:val="right" w:pos="9216"/>
        </w:tabs>
        <w:spacing w:after="0"/>
        <w:rPr>
          <w:rFonts w:eastAsiaTheme="minorEastAsia"/>
          <w:b/>
          <w:kern w:val="2"/>
        </w:rPr>
      </w:pPr>
      <w:bookmarkStart w:id="31" w:name="_GoBack"/>
      <w:bookmarkEnd w:id="31"/>
      <w:r>
        <w:rPr>
          <w:b/>
          <w:kern w:val="2"/>
        </w:rPr>
        <w:t>3GPP TSG-RAN WG1 Meeting #124</w:t>
      </w:r>
      <w:r>
        <w:rPr>
          <w:b/>
          <w:kern w:val="2"/>
        </w:rPr>
        <w:tab/>
      </w:r>
      <w:r>
        <w:rPr>
          <w:b/>
          <w:kern w:val="2"/>
        </w:rPr>
        <w:t>R1-260</w:t>
      </w:r>
      <w:r>
        <w:rPr>
          <w:rFonts w:hint="eastAsia" w:eastAsiaTheme="minorEastAsia"/>
          <w:b/>
          <w:kern w:val="2"/>
        </w:rPr>
        <w:t>xxxx</w:t>
      </w:r>
    </w:p>
    <w:p w14:paraId="267A1127">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14:paraId="33F0CCF3">
      <w:pPr>
        <w:pBdr>
          <w:top w:val="single" w:color="auto" w:sz="4" w:space="1"/>
        </w:pBdr>
        <w:spacing w:after="0"/>
        <w:rPr>
          <w:b/>
          <w:kern w:val="2"/>
          <w:sz w:val="16"/>
          <w:szCs w:val="16"/>
        </w:rPr>
      </w:pPr>
    </w:p>
    <w:p w14:paraId="37F36091">
      <w:pPr>
        <w:spacing w:after="60"/>
        <w:ind w:left="1554" w:hanging="1554"/>
        <w:rPr>
          <w:b/>
          <w:kern w:val="2"/>
        </w:rPr>
      </w:pPr>
      <w:r>
        <w:rPr>
          <w:b/>
          <w:kern w:val="2"/>
        </w:rPr>
        <w:t>Agenda Item:</w:t>
      </w:r>
      <w:r>
        <w:rPr>
          <w:b/>
          <w:kern w:val="2"/>
        </w:rPr>
        <w:tab/>
      </w:r>
      <w:r>
        <w:rPr>
          <w:b/>
          <w:kern w:val="2"/>
        </w:rPr>
        <w:t>10.5.</w:t>
      </w:r>
      <w:r>
        <w:rPr>
          <w:rFonts w:hint="eastAsia" w:eastAsiaTheme="minorEastAsia"/>
          <w:b/>
          <w:kern w:val="2"/>
        </w:rPr>
        <w:t>0</w:t>
      </w:r>
      <w:r>
        <w:rPr>
          <w:b/>
          <w:kern w:val="2"/>
        </w:rPr>
        <w:t xml:space="preserve"> </w:t>
      </w:r>
    </w:p>
    <w:p w14:paraId="0ECC6FCC">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14:paraId="53E9A5C6">
      <w:pPr>
        <w:spacing w:after="60"/>
        <w:ind w:left="1554" w:hanging="1554"/>
        <w:rPr>
          <w:rFonts w:eastAsiaTheme="minorEastAsia"/>
          <w:b/>
          <w:kern w:val="2"/>
        </w:rPr>
      </w:pPr>
      <w:r>
        <w:rPr>
          <w:b/>
          <w:kern w:val="2"/>
        </w:rPr>
        <w:t>Title:</w:t>
      </w:r>
      <w:r>
        <w:rPr>
          <w:b/>
          <w:kern w:val="2"/>
        </w:rPr>
        <w:tab/>
      </w:r>
      <w:bookmarkStart w:id="0" w:name="_Hlk204952069"/>
      <w:r>
        <w:rPr>
          <w:rFonts w:hint="eastAsia" w:eastAsiaTheme="minorEastAsia"/>
          <w:b/>
          <w:kern w:val="2"/>
        </w:rPr>
        <w:t>FL s</w:t>
      </w:r>
      <w:r>
        <w:rPr>
          <w:rFonts w:eastAsia="宋体"/>
          <w:b/>
        </w:rPr>
        <w:t>ummary #1 of</w:t>
      </w:r>
      <w:r>
        <w:rPr>
          <w:rFonts w:hint="eastAsia" w:eastAsiaTheme="minorEastAsia"/>
          <w:b/>
          <w:kern w:val="2"/>
        </w:rPr>
        <w:t xml:space="preserve"> </w:t>
      </w:r>
      <w:bookmarkEnd w:id="0"/>
      <w:r>
        <w:rPr>
          <w:rFonts w:hint="eastAsia" w:eastAsiaTheme="minorEastAsia"/>
          <w:b/>
          <w:kern w:val="2"/>
        </w:rPr>
        <w:t>General aspects and frameworks</w:t>
      </w:r>
    </w:p>
    <w:p w14:paraId="45896D67">
      <w:pPr>
        <w:spacing w:after="60"/>
        <w:ind w:left="1554" w:hanging="1554"/>
        <w:rPr>
          <w:b/>
          <w:kern w:val="2"/>
        </w:rPr>
      </w:pPr>
      <w:r>
        <w:rPr>
          <w:b/>
          <w:kern w:val="2"/>
        </w:rPr>
        <w:t>Document for:</w:t>
      </w:r>
      <w:r>
        <w:rPr>
          <w:b/>
          <w:kern w:val="2"/>
        </w:rPr>
        <w:tab/>
      </w:r>
      <w:r>
        <w:rPr>
          <w:b/>
          <w:kern w:val="2"/>
        </w:rPr>
        <w:t xml:space="preserve">Discussion and decision </w:t>
      </w:r>
    </w:p>
    <w:p w14:paraId="4436E567">
      <w:pPr>
        <w:pBdr>
          <w:bottom w:val="single" w:color="auto" w:sz="4" w:space="1"/>
        </w:pBdr>
        <w:spacing w:after="0"/>
        <w:rPr>
          <w:b/>
          <w:kern w:val="2"/>
          <w:sz w:val="16"/>
          <w:szCs w:val="16"/>
        </w:rPr>
      </w:pPr>
    </w:p>
    <w:p w14:paraId="090B8A38">
      <w:pPr>
        <w:pStyle w:val="2"/>
        <w:spacing w:before="120" w:after="120"/>
        <w:rPr>
          <w:rFonts w:eastAsiaTheme="minorEastAsia"/>
        </w:rPr>
      </w:pPr>
      <w:bookmarkStart w:id="1" w:name="_Ref129681862"/>
      <w:bookmarkStart w:id="2" w:name="_Ref124589705"/>
      <w:r>
        <w:t>Introduction</w:t>
      </w:r>
      <w:bookmarkEnd w:id="1"/>
      <w:bookmarkEnd w:id="2"/>
    </w:p>
    <w:p w14:paraId="47F03C72">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14:paraId="1DC06980">
      <w:pPr>
        <w:jc w:val="both"/>
        <w:rPr>
          <w:rFonts w:eastAsia="等线"/>
          <w:i/>
          <w:iCs/>
        </w:rPr>
      </w:pPr>
      <w:bookmarkStart w:id="4" w:name="OLE_LINK1"/>
      <w:r>
        <w:rPr>
          <w:rFonts w:hint="eastAsia" w:eastAsia="等线"/>
          <w:i/>
          <w:iCs/>
        </w:rPr>
        <w:t xml:space="preserve">Note 1: Contributions under this agenda (AI 10.5.0) for </w:t>
      </w:r>
      <w:bookmarkEnd w:id="4"/>
      <w:r>
        <w:rPr>
          <w:rFonts w:hint="eastAsia" w:eastAsia="等线"/>
          <w:i/>
          <w:iCs/>
        </w:rPr>
        <w:t xml:space="preserve">identifying </w:t>
      </w:r>
      <w:r>
        <w:rPr>
          <w:rFonts w:eastAsia="等线"/>
          <w:i/>
          <w:iCs/>
        </w:rPr>
        <w:t>candidate</w:t>
      </w:r>
      <w:r>
        <w:rPr>
          <w:rFonts w:hint="eastAsia" w:eastAsia="等线"/>
          <w:i/>
          <w:iCs/>
        </w:rPr>
        <w:t xml:space="preserve">s and frameworks of duplexing types, for spectrum utilization, for aggregation, for TN&amp;NTN, scalability related aspects, and for </w:t>
      </w:r>
      <w:r>
        <w:rPr>
          <w:rFonts w:eastAsia="等线"/>
          <w:i/>
          <w:iCs/>
        </w:rPr>
        <w:t>targeting</w:t>
      </w:r>
      <w:r>
        <w:rPr>
          <w:rFonts w:hint="eastAsia" w:eastAsia="等线"/>
          <w:i/>
          <w:iCs/>
        </w:rPr>
        <w:t xml:space="preserve"> coverage, frame structure, the maximum bandwidth at network side and UE side, etc. </w:t>
      </w:r>
    </w:p>
    <w:p w14:paraId="55D7DCFC">
      <w:pPr>
        <w:spacing w:before="120"/>
        <w:jc w:val="both"/>
        <w:rPr>
          <w:rFonts w:eastAsia="等线"/>
          <w:i/>
          <w:iCs/>
        </w:rPr>
      </w:pPr>
    </w:p>
    <w:p w14:paraId="67BD59D4">
      <w:pPr>
        <w:pStyle w:val="2"/>
        <w:spacing w:before="120" w:after="120"/>
        <w:rPr>
          <w:rFonts w:eastAsia="等线"/>
        </w:rPr>
      </w:pPr>
      <w:r>
        <w:rPr>
          <w:rFonts w:hint="eastAsia" w:eastAsia="等线"/>
        </w:rPr>
        <w:t>S</w:t>
      </w:r>
      <w:r>
        <w:rPr>
          <w:rFonts w:eastAsia="等线"/>
        </w:rPr>
        <w:t>calability related aspects</w:t>
      </w:r>
    </w:p>
    <w:p w14:paraId="662C12B9">
      <w:pPr>
        <w:pStyle w:val="3"/>
        <w:spacing w:after="120"/>
        <w:rPr>
          <w:rFonts w:eastAsiaTheme="minorEastAsia"/>
          <w:lang w:val="en-GB"/>
        </w:rPr>
      </w:pPr>
      <w:r>
        <w:rPr>
          <w:rFonts w:hint="eastAsia" w:eastAsiaTheme="minorEastAsia"/>
          <w:lang w:val="en-GB"/>
        </w:rPr>
        <w:t>R</w:t>
      </w:r>
      <w:r>
        <w:rPr>
          <w:rFonts w:eastAsiaTheme="minorEastAsia"/>
          <w:lang w:val="en-GB"/>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1645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43D734F3">
            <w:pPr>
              <w:widowControl w:val="0"/>
              <w:autoSpaceDE w:val="0"/>
              <w:autoSpaceDN w:val="0"/>
              <w:adjustRightInd/>
              <w:snapToGrid/>
              <w:spacing w:after="0" w:line="252" w:lineRule="auto"/>
              <w:contextualSpacing/>
              <w:jc w:val="both"/>
              <w:rPr>
                <w:rFonts w:eastAsia="等线"/>
                <w:sz w:val="21"/>
                <w:szCs w:val="21"/>
                <w:highlight w:val="green"/>
              </w:rPr>
            </w:pPr>
            <w:r>
              <w:rPr>
                <w:rFonts w:eastAsia="等线"/>
                <w:sz w:val="21"/>
                <w:szCs w:val="21"/>
                <w:highlight w:val="green"/>
              </w:rPr>
              <w:t>Agreement (RAN1#122)</w:t>
            </w:r>
          </w:p>
          <w:p w14:paraId="32171DC7">
            <w:pPr>
              <w:widowControl w:val="0"/>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Study a scalable 6GR design for diverse device types</w:t>
            </w:r>
            <w:r>
              <w:rPr>
                <w:rFonts w:eastAsia="等线"/>
                <w:sz w:val="21"/>
                <w:szCs w:val="21"/>
              </w:rPr>
              <w:t xml:space="preserve">, considering </w:t>
            </w:r>
            <w:r>
              <w:rPr>
                <w:rFonts w:eastAsia="Batang"/>
                <w:sz w:val="21"/>
                <w:szCs w:val="21"/>
                <w:lang w:eastAsia="zh-CN"/>
              </w:rPr>
              <w:t>aspects:</w:t>
            </w:r>
          </w:p>
          <w:p w14:paraId="3BDE2A6B">
            <w:pPr>
              <w:widowControl w:val="0"/>
              <w:numPr>
                <w:ilvl w:val="0"/>
                <w:numId w:val="7"/>
              </w:numPr>
              <w:autoSpaceDE w:val="0"/>
              <w:autoSpaceDN w:val="0"/>
              <w:adjustRightInd/>
              <w:snapToGrid/>
              <w:spacing w:after="0" w:line="252" w:lineRule="auto"/>
              <w:contextualSpacing/>
              <w:jc w:val="both"/>
              <w:rPr>
                <w:rFonts w:eastAsia="Batang"/>
                <w:sz w:val="21"/>
                <w:szCs w:val="21"/>
                <w:lang w:eastAsia="zh-CN"/>
              </w:rPr>
            </w:pPr>
            <w:r>
              <w:rPr>
                <w:rFonts w:eastAsia="等线"/>
                <w:sz w:val="21"/>
                <w:szCs w:val="21"/>
              </w:rPr>
              <w:t xml:space="preserve">What should be </w:t>
            </w:r>
            <w:r>
              <w:rPr>
                <w:rFonts w:eastAsia="Batang"/>
                <w:sz w:val="21"/>
                <w:szCs w:val="21"/>
                <w:lang w:eastAsia="zh-CN"/>
              </w:rPr>
              <w:t>commonly applicable to all 6G device types</w:t>
            </w:r>
          </w:p>
          <w:p w14:paraId="550E1D84">
            <w:pPr>
              <w:widowControl w:val="0"/>
              <w:numPr>
                <w:ilvl w:val="0"/>
                <w:numId w:val="7"/>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FFS: add-on features dedicated to specific device types, if any</w:t>
            </w:r>
          </w:p>
          <w:p w14:paraId="198F3835">
            <w:pPr>
              <w:widowControl w:val="0"/>
              <w:autoSpaceDE w:val="0"/>
              <w:autoSpaceDN w:val="0"/>
              <w:adjustRightInd/>
              <w:snapToGrid/>
              <w:spacing w:after="180"/>
              <w:jc w:val="both"/>
              <w:rPr>
                <w:rFonts w:eastAsia="等线"/>
                <w:sz w:val="20"/>
                <w:szCs w:val="20"/>
              </w:rPr>
            </w:pPr>
          </w:p>
          <w:p w14:paraId="266C0845">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19860FB1">
            <w:pPr>
              <w:widowControl w:val="0"/>
              <w:numPr>
                <w:ilvl w:val="0"/>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Study</w:t>
            </w:r>
            <w:r>
              <w:rPr>
                <w:rFonts w:eastAsia="等线"/>
                <w:sz w:val="21"/>
                <w:szCs w:val="21"/>
              </w:rPr>
              <w:t xml:space="preserve"> the </w:t>
            </w:r>
            <w:r>
              <w:rPr>
                <w:rFonts w:eastAsia="Batang"/>
                <w:sz w:val="21"/>
                <w:szCs w:val="21"/>
                <w:lang w:eastAsia="zh-CN"/>
              </w:rPr>
              <w:t xml:space="preserve">device types </w:t>
            </w:r>
            <w:r>
              <w:rPr>
                <w:rFonts w:eastAsia="等线"/>
                <w:sz w:val="21"/>
                <w:szCs w:val="21"/>
              </w:rPr>
              <w:t xml:space="preserve">from physical layer perspective to be </w:t>
            </w:r>
            <w:r>
              <w:rPr>
                <w:rFonts w:eastAsia="Batang"/>
                <w:sz w:val="21"/>
                <w:szCs w:val="21"/>
                <w:lang w:eastAsia="zh-CN"/>
              </w:rPr>
              <w:t>suppor</w:t>
            </w:r>
            <w:r>
              <w:rPr>
                <w:rFonts w:eastAsia="等线"/>
                <w:sz w:val="21"/>
                <w:szCs w:val="21"/>
              </w:rPr>
              <w:t>t</w:t>
            </w:r>
            <w:r>
              <w:rPr>
                <w:rFonts w:eastAsia="Batang"/>
                <w:sz w:val="21"/>
                <w:szCs w:val="21"/>
                <w:lang w:eastAsia="zh-CN"/>
              </w:rPr>
              <w:t>ed by 6GR</w:t>
            </w:r>
            <w:r>
              <w:rPr>
                <w:rFonts w:eastAsia="等线"/>
                <w:sz w:val="21"/>
                <w:szCs w:val="21"/>
              </w:rPr>
              <w:t>, subject to further discussion and confirmation in RAN</w:t>
            </w:r>
          </w:p>
          <w:p w14:paraId="4714BDDC">
            <w:pPr>
              <w:widowControl w:val="0"/>
              <w:autoSpaceDE w:val="0"/>
              <w:autoSpaceDN w:val="0"/>
              <w:adjustRightInd/>
              <w:snapToGrid/>
              <w:spacing w:after="180"/>
              <w:jc w:val="both"/>
              <w:rPr>
                <w:rFonts w:eastAsia="等线"/>
                <w:sz w:val="20"/>
                <w:szCs w:val="20"/>
              </w:rPr>
            </w:pPr>
          </w:p>
          <w:p w14:paraId="01C4827C">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6ACE6F30">
            <w:pPr>
              <w:widowControl w:val="0"/>
              <w:numPr>
                <w:ilvl w:val="0"/>
                <w:numId w:val="8"/>
              </w:numPr>
              <w:autoSpaceDE w:val="0"/>
              <w:autoSpaceDN w:val="0"/>
              <w:adjustRightInd/>
              <w:snapToGrid/>
              <w:spacing w:after="180" w:line="252" w:lineRule="auto"/>
              <w:contextualSpacing/>
              <w:jc w:val="both"/>
              <w:rPr>
                <w:rFonts w:ascii="Times" w:hAnsi="Times" w:eastAsia="Batang"/>
                <w:sz w:val="21"/>
                <w:szCs w:val="21"/>
                <w:lang w:eastAsia="zh-CN"/>
              </w:rPr>
            </w:pPr>
            <w:r>
              <w:rPr>
                <w:rFonts w:eastAsia="MS Mincho"/>
                <w:sz w:val="21"/>
                <w:szCs w:val="21"/>
                <w:lang w:eastAsia="zh-CN"/>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lang w:eastAsia="zh-CN"/>
              </w:rPr>
              <w:t xml:space="preserve">supported </w:t>
            </w:r>
            <w:r>
              <w:rPr>
                <w:rFonts w:eastAsia="Yu Mincho"/>
                <w:sz w:val="21"/>
                <w:szCs w:val="21"/>
                <w:lang w:eastAsia="ja-JP"/>
              </w:rPr>
              <w:t xml:space="preserve">RF and BB </w:t>
            </w:r>
            <w:r>
              <w:rPr>
                <w:rFonts w:eastAsia="MS Mincho"/>
                <w:sz w:val="21"/>
                <w:szCs w:val="21"/>
                <w:lang w:eastAsia="zh-CN"/>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lang w:eastAsia="zh-CN"/>
              </w:rPr>
              <w:t xml:space="preserve"> </w:t>
            </w:r>
            <w:r>
              <w:rPr>
                <w:rFonts w:eastAsia="等线"/>
                <w:sz w:val="21"/>
                <w:szCs w:val="21"/>
              </w:rPr>
              <w:t>from physical layer perspective, subject to further discussion and confirmation in RAN</w:t>
            </w:r>
          </w:p>
          <w:p w14:paraId="0C8C81B9">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Opt1: 3MHz</w:t>
            </w:r>
          </w:p>
          <w:p w14:paraId="05595560">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Opt2: 5MHz</w:t>
            </w:r>
          </w:p>
          <w:p w14:paraId="4F2CFC12">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Opt3: 10MHz</w:t>
            </w:r>
          </w:p>
          <w:p w14:paraId="0BCF2139">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Opt4: 20MHz</w:t>
            </w:r>
          </w:p>
          <w:p w14:paraId="243A43A7">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FFS: the UL bandwidth may be different to the DL bandwidth</w:t>
            </w:r>
          </w:p>
          <w:p w14:paraId="6A421D21">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 xml:space="preserve">FFS: the </w:t>
            </w:r>
            <w:r>
              <w:rPr>
                <w:rFonts w:eastAsia="等线"/>
                <w:sz w:val="21"/>
                <w:szCs w:val="21"/>
              </w:rPr>
              <w:t>bandwidth value</w:t>
            </w:r>
            <w:r>
              <w:rPr>
                <w:rFonts w:eastAsia="Batang"/>
                <w:sz w:val="21"/>
                <w:szCs w:val="21"/>
                <w:lang w:eastAsia="zh-CN"/>
              </w:rPr>
              <w:t xml:space="preserve"> may be different for different SCS, duplex modes, and bands.</w:t>
            </w:r>
          </w:p>
          <w:p w14:paraId="0564756D">
            <w:pPr>
              <w:widowControl w:val="0"/>
              <w:numPr>
                <w:ilvl w:val="1"/>
                <w:numId w:val="8"/>
              </w:numPr>
              <w:autoSpaceDE w:val="0"/>
              <w:autoSpaceDN w:val="0"/>
              <w:adjustRightInd/>
              <w:snapToGrid/>
              <w:spacing w:after="0" w:line="252" w:lineRule="auto"/>
              <w:contextualSpacing/>
              <w:jc w:val="both"/>
              <w:rPr>
                <w:rFonts w:eastAsia="Batang"/>
                <w:sz w:val="21"/>
                <w:szCs w:val="21"/>
                <w:lang w:eastAsia="zh-CN"/>
              </w:rPr>
            </w:pPr>
            <w:r>
              <w:rPr>
                <w:rFonts w:eastAsia="Batang"/>
                <w:sz w:val="21"/>
                <w:szCs w:val="21"/>
                <w:lang w:eastAsia="zh-CN"/>
              </w:rPr>
              <w:t>FFS: whether RF and BB UE BW are same or different</w:t>
            </w:r>
          </w:p>
          <w:p w14:paraId="79F9826D">
            <w:pPr>
              <w:widowControl w:val="0"/>
              <w:autoSpaceDE w:val="0"/>
              <w:autoSpaceDN w:val="0"/>
              <w:adjustRightInd/>
              <w:snapToGrid/>
              <w:spacing w:after="180"/>
              <w:jc w:val="both"/>
              <w:rPr>
                <w:rFonts w:eastAsia="等线"/>
                <w:sz w:val="20"/>
                <w:szCs w:val="20"/>
                <w:lang w:val="en-GB"/>
              </w:rPr>
            </w:pPr>
          </w:p>
          <w:p w14:paraId="740D99C3">
            <w:pPr>
              <w:widowControl w:val="0"/>
              <w:autoSpaceDE w:val="0"/>
              <w:autoSpaceDN w:val="0"/>
              <w:adjustRightInd/>
              <w:snapToGrid/>
              <w:spacing w:after="180"/>
              <w:jc w:val="both"/>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D0CBF2">
            <w:pPr>
              <w:widowControl w:val="0"/>
              <w:numPr>
                <w:ilvl w:val="0"/>
                <w:numId w:val="8"/>
              </w:numPr>
              <w:autoSpaceDE w:val="0"/>
              <w:autoSpaceDN w:val="0"/>
              <w:adjustRightInd/>
              <w:snapToGrid/>
              <w:spacing w:after="180" w:line="252" w:lineRule="auto"/>
              <w:contextualSpacing/>
              <w:jc w:val="both"/>
              <w:rPr>
                <w:rFonts w:eastAsia="MS Mincho"/>
                <w:sz w:val="21"/>
                <w:szCs w:val="21"/>
                <w:lang w:eastAsia="zh-CN"/>
              </w:rPr>
            </w:pPr>
            <w:r>
              <w:rPr>
                <w:rFonts w:eastAsia="MS Mincho"/>
                <w:sz w:val="21"/>
                <w:szCs w:val="21"/>
                <w:lang w:eastAsia="zh-CN"/>
              </w:rPr>
              <w:t xml:space="preserve">For scalable 6GR design for diverse device types, RAN1 </w:t>
            </w:r>
            <w:r>
              <w:rPr>
                <w:rFonts w:hint="eastAsia" w:eastAsia="等线"/>
                <w:sz w:val="21"/>
                <w:szCs w:val="21"/>
              </w:rPr>
              <w:t xml:space="preserve">can at least </w:t>
            </w:r>
            <w:r>
              <w:rPr>
                <w:rFonts w:eastAsia="MS Mincho"/>
                <w:sz w:val="21"/>
                <w:szCs w:val="21"/>
                <w:lang w:eastAsia="zh-CN"/>
              </w:rPr>
              <w:t>consider</w:t>
            </w:r>
            <w:r>
              <w:rPr>
                <w:rFonts w:hint="eastAsia" w:eastAsia="等线"/>
                <w:sz w:val="21"/>
                <w:szCs w:val="21"/>
              </w:rPr>
              <w:t xml:space="preserve"> the following, targeting </w:t>
            </w:r>
            <w:r>
              <w:rPr>
                <w:rFonts w:eastAsia="MS Mincho"/>
                <w:sz w:val="21"/>
                <w:szCs w:val="21"/>
                <w:lang w:eastAsia="zh-CN"/>
              </w:rPr>
              <w:t>applicable to all 6G device types</w:t>
            </w:r>
            <w:r>
              <w:rPr>
                <w:rFonts w:hint="eastAsia" w:eastAsia="等线"/>
                <w:sz w:val="21"/>
                <w:szCs w:val="21"/>
              </w:rPr>
              <w:t>,</w:t>
            </w:r>
          </w:p>
          <w:p w14:paraId="0D2CD15E">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eastAsia="MS Mincho"/>
                <w:sz w:val="21"/>
                <w:szCs w:val="21"/>
                <w:lang w:eastAsia="zh-CN"/>
              </w:rPr>
              <w:t xml:space="preserve">Basic </w:t>
            </w:r>
            <w:r>
              <w:rPr>
                <w:rFonts w:hint="eastAsia" w:eastAsia="MS Mincho"/>
                <w:sz w:val="21"/>
                <w:szCs w:val="21"/>
                <w:lang w:eastAsia="zh-CN"/>
              </w:rPr>
              <w:t>i</w:t>
            </w:r>
            <w:r>
              <w:rPr>
                <w:rFonts w:eastAsia="MS Mincho"/>
                <w:sz w:val="21"/>
                <w:szCs w:val="21"/>
                <w:lang w:eastAsia="zh-CN"/>
              </w:rPr>
              <w:t>nitial access procedures</w:t>
            </w:r>
            <w:r>
              <w:rPr>
                <w:rFonts w:hint="eastAsia" w:eastAsia="MS Mincho"/>
                <w:sz w:val="21"/>
                <w:szCs w:val="21"/>
                <w:lang w:eastAsia="zh-CN"/>
              </w:rPr>
              <w:t xml:space="preserve"> </w:t>
            </w:r>
            <w:r>
              <w:rPr>
                <w:rFonts w:eastAsia="MS Mincho"/>
                <w:sz w:val="21"/>
                <w:szCs w:val="21"/>
                <w:lang w:eastAsia="zh-CN"/>
              </w:rPr>
              <w:t>from RAN1 perspective</w:t>
            </w:r>
          </w:p>
          <w:p w14:paraId="0B68BD72">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eastAsia="等线"/>
                <w:sz w:val="21"/>
                <w:szCs w:val="21"/>
              </w:rPr>
              <w:t>O</w:t>
            </w:r>
            <w:r>
              <w:rPr>
                <w:rFonts w:hint="eastAsia" w:eastAsia="等线"/>
                <w:sz w:val="21"/>
                <w:szCs w:val="21"/>
              </w:rPr>
              <w:t xml:space="preserve">ther </w:t>
            </w:r>
            <w:r>
              <w:rPr>
                <w:rFonts w:eastAsia="MS Mincho"/>
                <w:sz w:val="21"/>
                <w:szCs w:val="21"/>
                <w:lang w:eastAsia="zh-CN"/>
              </w:rPr>
              <w:t>PHY features</w:t>
            </w:r>
            <w:r>
              <w:rPr>
                <w:rFonts w:hint="eastAsia" w:eastAsia="等线"/>
                <w:sz w:val="21"/>
                <w:szCs w:val="21"/>
              </w:rPr>
              <w:t xml:space="preserve"> after </w:t>
            </w:r>
            <w:r>
              <w:rPr>
                <w:rFonts w:eastAsia="等线"/>
                <w:sz w:val="21"/>
                <w:szCs w:val="21"/>
              </w:rPr>
              <w:t>initial</w:t>
            </w:r>
            <w:r>
              <w:rPr>
                <w:rFonts w:hint="eastAsia" w:eastAsia="等线"/>
                <w:sz w:val="21"/>
                <w:szCs w:val="21"/>
              </w:rPr>
              <w:t xml:space="preserve"> access procedure, e.g., </w:t>
            </w:r>
            <w:r>
              <w:rPr>
                <w:rFonts w:eastAsia="等线"/>
                <w:sz w:val="21"/>
                <w:szCs w:val="21"/>
              </w:rPr>
              <w:t>O</w:t>
            </w:r>
            <w:r>
              <w:rPr>
                <w:rFonts w:hint="eastAsia" w:eastAsia="等线"/>
                <w:sz w:val="21"/>
                <w:szCs w:val="21"/>
              </w:rPr>
              <w:t xml:space="preserve">ther </w:t>
            </w:r>
            <w:r>
              <w:rPr>
                <w:rFonts w:eastAsia="MS Mincho"/>
                <w:sz w:val="21"/>
                <w:szCs w:val="21"/>
                <w:lang w:eastAsia="zh-CN"/>
              </w:rPr>
              <w:t>DL/UL control, scheduling/HARQ</w:t>
            </w:r>
          </w:p>
          <w:p w14:paraId="4C387E07">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hint="eastAsia" w:eastAsia="MS Mincho"/>
                <w:sz w:val="21"/>
                <w:szCs w:val="21"/>
                <w:lang w:eastAsia="zh-CN"/>
              </w:rPr>
              <w:t>C</w:t>
            </w:r>
            <w:r>
              <w:rPr>
                <w:rFonts w:eastAsia="MS Mincho"/>
                <w:sz w:val="21"/>
                <w:szCs w:val="21"/>
                <w:lang w:eastAsia="zh-CN"/>
              </w:rPr>
              <w:t>overage</w:t>
            </w:r>
            <w:r>
              <w:rPr>
                <w:rFonts w:hint="eastAsia" w:eastAsia="MS Mincho"/>
                <w:sz w:val="21"/>
                <w:szCs w:val="21"/>
                <w:lang w:eastAsia="zh-CN"/>
              </w:rPr>
              <w:t xml:space="preserve"> features to meet the </w:t>
            </w:r>
            <w:r>
              <w:rPr>
                <w:rFonts w:eastAsia="MS Mincho"/>
                <w:sz w:val="21"/>
                <w:szCs w:val="21"/>
                <w:lang w:eastAsia="zh-CN"/>
              </w:rPr>
              <w:t>identified coverage target</w:t>
            </w:r>
          </w:p>
          <w:p w14:paraId="2E47B48D">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eastAsia="MS Mincho"/>
                <w:sz w:val="21"/>
                <w:szCs w:val="21"/>
                <w:lang w:eastAsia="zh-CN"/>
              </w:rPr>
              <w:t>Energy saving</w:t>
            </w:r>
            <w:r>
              <w:rPr>
                <w:rFonts w:hint="eastAsia" w:eastAsia="MS Mincho"/>
                <w:sz w:val="21"/>
                <w:szCs w:val="21"/>
                <w:lang w:eastAsia="zh-CN"/>
              </w:rPr>
              <w:t xml:space="preserve"> both at BS and UE sides</w:t>
            </w:r>
          </w:p>
          <w:p w14:paraId="0FE64F2E">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hint="eastAsia" w:eastAsia="等线"/>
                <w:sz w:val="21"/>
                <w:szCs w:val="21"/>
              </w:rPr>
              <w:t>MRSS</w:t>
            </w:r>
          </w:p>
          <w:p w14:paraId="117855E8">
            <w:pPr>
              <w:widowControl w:val="0"/>
              <w:numPr>
                <w:ilvl w:val="1"/>
                <w:numId w:val="8"/>
              </w:numPr>
              <w:autoSpaceDE w:val="0"/>
              <w:autoSpaceDN w:val="0"/>
              <w:adjustRightInd/>
              <w:snapToGrid/>
              <w:spacing w:after="180" w:line="252" w:lineRule="auto"/>
              <w:contextualSpacing/>
              <w:jc w:val="both"/>
              <w:rPr>
                <w:rFonts w:eastAsia="MS Mincho"/>
                <w:sz w:val="21"/>
                <w:szCs w:val="21"/>
                <w:lang w:eastAsia="zh-CN"/>
              </w:rPr>
            </w:pPr>
            <w:r>
              <w:rPr>
                <w:rFonts w:hint="eastAsia" w:eastAsia="等线"/>
                <w:sz w:val="21"/>
                <w:szCs w:val="21"/>
              </w:rPr>
              <w:t xml:space="preserve">Note: whether these features are supported, </w:t>
            </w:r>
            <w:r>
              <w:rPr>
                <w:rFonts w:eastAsia="等线"/>
                <w:sz w:val="21"/>
                <w:szCs w:val="21"/>
              </w:rPr>
              <w:t>mandatory</w:t>
            </w:r>
            <w:r>
              <w:rPr>
                <w:rFonts w:hint="eastAsia" w:eastAsia="等线"/>
                <w:sz w:val="21"/>
                <w:szCs w:val="21"/>
              </w:rPr>
              <w:t xml:space="preserve"> or optional is separate discussion</w:t>
            </w:r>
          </w:p>
          <w:p w14:paraId="50844F9D">
            <w:pPr>
              <w:widowControl w:val="0"/>
              <w:autoSpaceDE w:val="0"/>
              <w:autoSpaceDN w:val="0"/>
              <w:adjustRightInd/>
              <w:snapToGrid/>
              <w:spacing w:after="180"/>
              <w:jc w:val="both"/>
              <w:rPr>
                <w:rFonts w:eastAsia="等线"/>
                <w:sz w:val="20"/>
                <w:szCs w:val="20"/>
              </w:rPr>
            </w:pPr>
          </w:p>
          <w:p w14:paraId="7EEF2BEC">
            <w:pPr>
              <w:widowControl w:val="0"/>
              <w:suppressAutoHyphens/>
              <w:autoSpaceDE w:val="0"/>
              <w:autoSpaceDN w:val="0"/>
              <w:adjustRightInd/>
              <w:snapToGrid/>
              <w:spacing w:after="180" w:line="252" w:lineRule="auto"/>
              <w:contextualSpacing/>
              <w:jc w:val="both"/>
              <w:rPr>
                <w:rFonts w:eastAsia="等线"/>
                <w:sz w:val="21"/>
                <w:szCs w:val="21"/>
              </w:rPr>
            </w:pPr>
            <w:r>
              <w:rPr>
                <w:rFonts w:hint="eastAsia" w:eastAsia="等线"/>
                <w:sz w:val="21"/>
                <w:szCs w:val="21"/>
                <w:highlight w:val="green"/>
              </w:rPr>
              <w:t>Agreement</w:t>
            </w:r>
            <w:r>
              <w:rPr>
                <w:rFonts w:eastAsia="等线"/>
                <w:sz w:val="21"/>
                <w:szCs w:val="21"/>
                <w:highlight w:val="green"/>
              </w:rPr>
              <w:t xml:space="preserve"> (RAN1#123)</w:t>
            </w:r>
          </w:p>
          <w:p w14:paraId="38750089">
            <w:pPr>
              <w:widowControl w:val="0"/>
              <w:numPr>
                <w:ilvl w:val="0"/>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device complexity</w:t>
            </w:r>
          </w:p>
          <w:p w14:paraId="1CB30FF0">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system performance impact</w:t>
            </w:r>
          </w:p>
          <w:p w14:paraId="1C772010">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Energy efficiency for both BS and UE</w:t>
            </w:r>
          </w:p>
          <w:p w14:paraId="2115D04B">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pPr>
              <w:widowControl w:val="0"/>
              <w:autoSpaceDE w:val="0"/>
              <w:autoSpaceDN w:val="0"/>
              <w:adjustRightInd/>
              <w:snapToGrid/>
              <w:spacing w:after="180"/>
              <w:jc w:val="both"/>
              <w:rPr>
                <w:rFonts w:eastAsia="等线"/>
                <w:sz w:val="20"/>
                <w:szCs w:val="20"/>
                <w:lang w:val="en-GB"/>
              </w:rPr>
            </w:pPr>
          </w:p>
          <w:p w14:paraId="4855A669">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18DDD84C">
            <w:pPr>
              <w:widowControl w:val="0"/>
              <w:autoSpaceDE w:val="0"/>
              <w:autoSpaceDN w:val="0"/>
              <w:adjustRightInd/>
              <w:snapToGrid/>
              <w:spacing w:after="180"/>
              <w:jc w:val="both"/>
              <w:rPr>
                <w:rFonts w:eastAsia="等线"/>
                <w:sz w:val="20"/>
                <w:szCs w:val="20"/>
                <w:lang w:val="en-GB"/>
              </w:rPr>
            </w:pPr>
            <w:r>
              <w:rPr>
                <w:rFonts w:hint="eastAsia" w:eastAsia="MS Mincho"/>
                <w:sz w:val="20"/>
                <w:szCs w:val="20"/>
                <w:lang w:val="en-GB" w:eastAsia="en-US"/>
              </w:rPr>
              <w:t>PHY minimum peak data rate is 10 Mbps in DL and 10 Mbps in UL for lowest-tier device.</w:t>
            </w:r>
          </w:p>
          <w:p w14:paraId="11BFA066">
            <w:pPr>
              <w:widowControl w:val="0"/>
              <w:autoSpaceDE w:val="0"/>
              <w:autoSpaceDN w:val="0"/>
              <w:adjustRightInd/>
              <w:snapToGrid/>
              <w:spacing w:after="180"/>
              <w:jc w:val="both"/>
              <w:rPr>
                <w:rFonts w:eastAsia="等线"/>
                <w:sz w:val="20"/>
                <w:szCs w:val="20"/>
                <w:lang w:val="en-GB"/>
              </w:rPr>
            </w:pPr>
          </w:p>
          <w:p w14:paraId="7F7912C9">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62D2AFE3">
            <w:pPr>
              <w:widowControl w:val="0"/>
              <w:numPr>
                <w:ilvl w:val="0"/>
                <w:numId w:val="9"/>
              </w:numPr>
              <w:autoSpaceDE w:val="0"/>
              <w:autoSpaceDN w:val="0"/>
              <w:adjustRightInd/>
              <w:snapToGrid/>
              <w:spacing w:after="180" w:line="252" w:lineRule="auto"/>
              <w:contextualSpacing/>
              <w:jc w:val="both"/>
              <w:rPr>
                <w:rFonts w:eastAsia="MS Mincho"/>
                <w:sz w:val="20"/>
                <w:szCs w:val="20"/>
                <w:lang w:eastAsia="zh-CN"/>
              </w:rPr>
            </w:pPr>
            <w:r>
              <w:rPr>
                <w:rFonts w:eastAsia="MS Mincho"/>
                <w:sz w:val="20"/>
                <w:szCs w:val="20"/>
                <w:lang w:eastAsia="zh-CN"/>
              </w:rPr>
              <w:t xml:space="preserve">Regarding the smallest maximum UE bandwidth as discussed in the following RAN1 agreement, Opt 1 is excluded. Aim to conclude by RAN plenary no later than RAN#112 (June 2026). </w:t>
            </w:r>
          </w:p>
          <w:p w14:paraId="47B295DE">
            <w:pPr>
              <w:widowControl w:val="0"/>
              <w:numPr>
                <w:ilvl w:val="1"/>
                <w:numId w:val="9"/>
              </w:numPr>
              <w:autoSpaceDE w:val="0"/>
              <w:autoSpaceDN w:val="0"/>
              <w:adjustRightInd/>
              <w:snapToGrid/>
              <w:spacing w:after="180" w:line="252" w:lineRule="auto"/>
              <w:contextualSpacing/>
              <w:jc w:val="both"/>
              <w:rPr>
                <w:rFonts w:eastAsia="MS Mincho"/>
                <w:sz w:val="20"/>
                <w:szCs w:val="20"/>
                <w:lang w:eastAsia="zh-CN"/>
              </w:rPr>
            </w:pPr>
            <w:r>
              <w:rPr>
                <w:rFonts w:eastAsia="MS Mincho"/>
                <w:sz w:val="20"/>
                <w:szCs w:val="20"/>
                <w:lang w:eastAsia="zh-CN"/>
              </w:rPr>
              <w:t>RAN1 and RAN4 is tasked to continue providing more analysis accordingly.</w:t>
            </w:r>
          </w:p>
          <w:p w14:paraId="292C4FE6">
            <w:pPr>
              <w:widowControl w:val="0"/>
              <w:numPr>
                <w:ilvl w:val="1"/>
                <w:numId w:val="9"/>
              </w:numPr>
              <w:autoSpaceDE w:val="0"/>
              <w:autoSpaceDN w:val="0"/>
              <w:adjustRightInd/>
              <w:snapToGrid/>
              <w:spacing w:after="180" w:line="252" w:lineRule="auto"/>
              <w:contextualSpacing/>
              <w:jc w:val="both"/>
              <w:rPr>
                <w:rFonts w:eastAsia="MS Mincho"/>
                <w:sz w:val="20"/>
                <w:szCs w:val="20"/>
                <w:lang w:eastAsia="zh-CN"/>
              </w:rPr>
            </w:pPr>
            <w:r>
              <w:rPr>
                <w:rFonts w:eastAsia="MS Mincho"/>
                <w:sz w:val="20"/>
                <w:szCs w:val="20"/>
                <w:lang w:eastAsia="zh-CN"/>
              </w:rPr>
              <w:t>Companies are encouraged to provide more analysis at RAN plenary particularly regarding the use cases, requirements, economy of scale, etc.</w:t>
            </w:r>
          </w:p>
          <w:p w14:paraId="2401F3C3">
            <w:pPr>
              <w:widowControl w:val="0"/>
              <w:autoSpaceDE w:val="0"/>
              <w:autoSpaceDN w:val="0"/>
              <w:adjustRightInd/>
              <w:snapToGrid/>
              <w:spacing w:after="180" w:line="252" w:lineRule="auto"/>
              <w:jc w:val="both"/>
              <w:rPr>
                <w:rFonts w:eastAsia="MS Mincho"/>
                <w:sz w:val="20"/>
                <w:szCs w:val="20"/>
                <w:lang w:eastAsia="zh-CN"/>
              </w:rPr>
            </w:pPr>
          </w:p>
          <w:p w14:paraId="79F14512">
            <w:pPr>
              <w:widowControl w:val="0"/>
              <w:autoSpaceDE w:val="0"/>
              <w:autoSpaceDN w:val="0"/>
              <w:adjustRightInd/>
              <w:snapToGrid/>
              <w:spacing w:after="180"/>
              <w:ind w:left="1160"/>
              <w:jc w:val="both"/>
              <w:rPr>
                <w:rFonts w:eastAsia="等线"/>
                <w:sz w:val="20"/>
                <w:szCs w:val="20"/>
              </w:rPr>
            </w:pPr>
            <w:r>
              <w:rPr>
                <w:rFonts w:eastAsia="等线"/>
                <w:sz w:val="20"/>
                <w:szCs w:val="20"/>
                <w:highlight w:val="green"/>
              </w:rPr>
              <w:t>Agreement</w:t>
            </w:r>
          </w:p>
          <w:p w14:paraId="37F3BD73">
            <w:pPr>
              <w:widowControl w:val="0"/>
              <w:numPr>
                <w:ilvl w:val="0"/>
                <w:numId w:val="8"/>
              </w:numPr>
              <w:autoSpaceDE w:val="0"/>
              <w:autoSpaceDN w:val="0"/>
              <w:adjustRightInd/>
              <w:snapToGrid/>
              <w:spacing w:after="180" w:line="252" w:lineRule="auto"/>
              <w:ind w:left="1600"/>
              <w:contextualSpacing/>
              <w:jc w:val="both"/>
              <w:rPr>
                <w:rFonts w:eastAsia="MS Mincho"/>
                <w:i/>
                <w:iCs/>
                <w:sz w:val="20"/>
                <w:szCs w:val="20"/>
                <w:lang w:eastAsia="zh-CN"/>
              </w:rPr>
            </w:pPr>
            <w:r>
              <w:rPr>
                <w:rFonts w:eastAsia="MS Mincho"/>
                <w:i/>
                <w:iCs/>
                <w:sz w:val="20"/>
                <w:szCs w:val="20"/>
                <w:lang w:eastAsia="zh-CN"/>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lang w:eastAsia="zh-CN"/>
              </w:rPr>
              <w:t xml:space="preserve">supported </w:t>
            </w:r>
            <w:r>
              <w:rPr>
                <w:rFonts w:eastAsia="Yu Mincho"/>
                <w:i/>
                <w:iCs/>
                <w:sz w:val="20"/>
                <w:szCs w:val="20"/>
                <w:lang w:eastAsia="ja-JP"/>
              </w:rPr>
              <w:t xml:space="preserve">RF and BB </w:t>
            </w:r>
            <w:r>
              <w:rPr>
                <w:rFonts w:eastAsia="MS Mincho"/>
                <w:i/>
                <w:iCs/>
                <w:sz w:val="20"/>
                <w:szCs w:val="20"/>
                <w:lang w:eastAsia="zh-CN"/>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lang w:eastAsia="zh-CN"/>
              </w:rPr>
              <w:t xml:space="preserve"> </w:t>
            </w:r>
            <w:r>
              <w:rPr>
                <w:rFonts w:eastAsia="等线"/>
                <w:i/>
                <w:iCs/>
                <w:sz w:val="20"/>
                <w:szCs w:val="20"/>
              </w:rPr>
              <w:t>from physical layer perspective, subject to further discussion and confirmation in RAN</w:t>
            </w:r>
          </w:p>
          <w:p w14:paraId="1CB7ACA3">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Opt1: 3MHz</w:t>
            </w:r>
          </w:p>
          <w:p w14:paraId="4D66A41C">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Opt2: 5MHz</w:t>
            </w:r>
          </w:p>
          <w:p w14:paraId="75B2972B">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Opt3: 10MHz</w:t>
            </w:r>
          </w:p>
          <w:p w14:paraId="5F5E3405">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Opt4: 20MHz</w:t>
            </w:r>
          </w:p>
          <w:p w14:paraId="3BFE9722">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FFS: the UL bandwidth may be different to the DL bandwidth</w:t>
            </w:r>
          </w:p>
          <w:p w14:paraId="30F8BBBC">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lang w:eastAsia="zh-CN"/>
              </w:rPr>
            </w:pPr>
            <w:r>
              <w:rPr>
                <w:rFonts w:eastAsia="MS Mincho"/>
                <w:i/>
                <w:iCs/>
                <w:sz w:val="20"/>
                <w:szCs w:val="20"/>
                <w:lang w:eastAsia="zh-CN"/>
              </w:rPr>
              <w:t xml:space="preserve">FFS: the </w:t>
            </w:r>
            <w:r>
              <w:rPr>
                <w:rFonts w:eastAsia="等线"/>
                <w:i/>
                <w:iCs/>
                <w:sz w:val="20"/>
                <w:szCs w:val="20"/>
              </w:rPr>
              <w:t>bandwidth value</w:t>
            </w:r>
            <w:r>
              <w:rPr>
                <w:rFonts w:eastAsia="MS Mincho"/>
                <w:i/>
                <w:iCs/>
                <w:sz w:val="20"/>
                <w:szCs w:val="20"/>
                <w:lang w:eastAsia="zh-CN"/>
              </w:rPr>
              <w:t xml:space="preserve"> may be different for different SCS, duplex modes, and bands.</w:t>
            </w:r>
          </w:p>
          <w:p w14:paraId="5146E09B">
            <w:pPr>
              <w:widowControl w:val="0"/>
              <w:numPr>
                <w:ilvl w:val="1"/>
                <w:numId w:val="8"/>
              </w:numPr>
              <w:autoSpaceDE w:val="0"/>
              <w:autoSpaceDN w:val="0"/>
              <w:adjustRightInd/>
              <w:snapToGrid/>
              <w:spacing w:after="180" w:line="252" w:lineRule="auto"/>
              <w:ind w:left="2040"/>
              <w:contextualSpacing/>
              <w:jc w:val="both"/>
              <w:rPr>
                <w:rFonts w:eastAsiaTheme="minorEastAsia"/>
                <w:lang w:val="en-GB"/>
              </w:rPr>
            </w:pPr>
            <w:r>
              <w:rPr>
                <w:rFonts w:eastAsia="MS Mincho"/>
                <w:i/>
                <w:iCs/>
                <w:sz w:val="20"/>
                <w:szCs w:val="20"/>
                <w:lang w:eastAsia="zh-CN"/>
              </w:rPr>
              <w:t>FFS: whether RF and BB UE BW are same or different</w:t>
            </w:r>
          </w:p>
          <w:p w14:paraId="272374D3">
            <w:pPr>
              <w:widowControl w:val="0"/>
              <w:autoSpaceDE w:val="0"/>
              <w:autoSpaceDN w:val="0"/>
              <w:adjustRightInd/>
              <w:snapToGrid/>
              <w:spacing w:after="180" w:line="252" w:lineRule="auto"/>
              <w:contextualSpacing/>
              <w:jc w:val="both"/>
              <w:rPr>
                <w:rFonts w:eastAsiaTheme="minorEastAsia"/>
                <w:lang w:val="en-GB"/>
              </w:rPr>
            </w:pPr>
          </w:p>
        </w:tc>
      </w:tr>
    </w:tbl>
    <w:p w14:paraId="043E85BB">
      <w:pPr>
        <w:rPr>
          <w:rFonts w:eastAsiaTheme="minorEastAsia"/>
          <w:lang w:val="en-GB"/>
        </w:rPr>
      </w:pPr>
    </w:p>
    <w:p w14:paraId="6D9D022A">
      <w:pPr>
        <w:pStyle w:val="3"/>
        <w:spacing w:after="120"/>
        <w:rPr>
          <w:rFonts w:eastAsiaTheme="minorEastAsia"/>
          <w:lang w:val="en-GB"/>
        </w:rPr>
      </w:pPr>
      <w:bookmarkStart w:id="5" w:name="_Ref221353302"/>
      <w:r>
        <w:rPr>
          <w:rFonts w:hint="eastAsia" w:eastAsiaTheme="minorEastAsia"/>
          <w:lang w:val="en-GB"/>
        </w:rPr>
        <w:t>Companies</w:t>
      </w:r>
      <w:r>
        <w:rPr>
          <w:rFonts w:eastAsiaTheme="minorEastAsia"/>
          <w:lang w:val="en-GB"/>
        </w:rPr>
        <w:t>’</w:t>
      </w:r>
      <w:r>
        <w:rPr>
          <w:rFonts w:hint="eastAsia" w:eastAsiaTheme="minorEastAsia"/>
          <w:lang w:val="en-GB"/>
        </w:rPr>
        <w:t xml:space="preserve"> views</w:t>
      </w:r>
      <w:bookmarkEnd w:id="5"/>
    </w:p>
    <w:p w14:paraId="3B68FE0B">
      <w:pPr>
        <w:rPr>
          <w:rFonts w:eastAsia="等线"/>
          <w:b/>
          <w:bCs/>
          <w:u w:val="single"/>
        </w:rPr>
      </w:pPr>
      <w:r>
        <w:rPr>
          <w:rFonts w:hint="eastAsia" w:eastAsiaTheme="minorEastAsia"/>
          <w:b/>
          <w:bCs/>
          <w:u w:val="single"/>
          <w:lang w:val="en-GB"/>
        </w:rPr>
        <w:t>Smallest maximum UE bandwidth</w:t>
      </w:r>
    </w:p>
    <w:p w14:paraId="45E6BE58">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pPr>
        <w:spacing w:after="0"/>
        <w:jc w:val="both"/>
        <w:rPr>
          <w:rFonts w:eastAsia="等线"/>
        </w:rPr>
      </w:pPr>
      <w:r>
        <w:rPr>
          <w:rFonts w:eastAsia="等线"/>
        </w:rPr>
        <w:t>Companies’ views on smallest maximum UE bandwidth are summarized below.</w:t>
      </w:r>
    </w:p>
    <w:p w14:paraId="4D3D82D5">
      <w:pPr>
        <w:pStyle w:val="63"/>
        <w:numPr>
          <w:ilvl w:val="0"/>
          <w:numId w:val="10"/>
        </w:numPr>
        <w:spacing w:after="0"/>
        <w:jc w:val="both"/>
        <w:rPr>
          <w:rFonts w:eastAsia="等线"/>
        </w:rPr>
      </w:pPr>
      <w:r>
        <w:rPr>
          <w:rFonts w:hint="eastAsia" w:eastAsia="等线"/>
        </w:rPr>
        <w:t>2</w:t>
      </w:r>
      <w:r>
        <w:rPr>
          <w:rFonts w:eastAsia="等线"/>
        </w:rPr>
        <w:t>0 MHz RF and BB bandwidth</w:t>
      </w:r>
    </w:p>
    <w:p w14:paraId="4BD0F481">
      <w:pPr>
        <w:pStyle w:val="63"/>
        <w:numPr>
          <w:ilvl w:val="1"/>
          <w:numId w:val="10"/>
        </w:numPr>
        <w:spacing w:after="0"/>
        <w:jc w:val="both"/>
        <w:rPr>
          <w:rFonts w:eastAsia="等线"/>
          <w:i/>
          <w:iCs/>
          <w:color w:val="C00000"/>
        </w:rPr>
      </w:pPr>
      <w:r>
        <w:rPr>
          <w:rFonts w:eastAsia="等线"/>
          <w:i/>
          <w:iCs/>
          <w:color w:val="C00000"/>
        </w:rPr>
        <w:t>Support: Huawei (UL and DL), Spreadtrum, Xiaomi, vivo (UL and DL), LGE (BB BW down-select from 5MHz and 20MHz), ITL</w:t>
      </w:r>
    </w:p>
    <w:p w14:paraId="2A40CB83">
      <w:pPr>
        <w:pStyle w:val="63"/>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12CC217B">
      <w:pPr>
        <w:pStyle w:val="63"/>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3C2D2AB3">
      <w:pPr>
        <w:pStyle w:val="63"/>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2BCBE5A7">
      <w:pPr>
        <w:pStyle w:val="63"/>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35FC3A">
      <w:pPr>
        <w:pStyle w:val="63"/>
        <w:numPr>
          <w:ilvl w:val="2"/>
          <w:numId w:val="10"/>
        </w:numPr>
        <w:spacing w:after="0"/>
        <w:jc w:val="both"/>
        <w:rPr>
          <w:rFonts w:eastAsia="等线"/>
          <w:i/>
          <w:iCs/>
        </w:rPr>
      </w:pPr>
      <w:r>
        <w:t>Avoid market fragmentation to maximize economy of scale [Spreadtrum, Xiaomi, Vivo, ITL]</w:t>
      </w:r>
    </w:p>
    <w:p w14:paraId="5A1A1EA0">
      <w:pPr>
        <w:pStyle w:val="63"/>
        <w:numPr>
          <w:ilvl w:val="0"/>
          <w:numId w:val="10"/>
        </w:numPr>
        <w:spacing w:after="0"/>
        <w:jc w:val="both"/>
        <w:rPr>
          <w:rFonts w:eastAsia="等线"/>
        </w:rPr>
      </w:pPr>
      <w:r>
        <w:rPr>
          <w:rFonts w:hint="eastAsia" w:eastAsia="等线"/>
        </w:rPr>
        <w:t>5</w:t>
      </w:r>
      <w:r>
        <w:rPr>
          <w:rFonts w:eastAsia="等线"/>
        </w:rPr>
        <w:t xml:space="preserve"> MHz RF and BB bandwidth for FDD</w:t>
      </w:r>
    </w:p>
    <w:p w14:paraId="3715CCFF">
      <w:pPr>
        <w:pStyle w:val="63"/>
        <w:numPr>
          <w:ilvl w:val="1"/>
          <w:numId w:val="10"/>
        </w:numPr>
        <w:spacing w:after="0"/>
        <w:jc w:val="both"/>
        <w:rPr>
          <w:rFonts w:eastAsia="等线"/>
          <w:i/>
          <w:iCs/>
        </w:rPr>
      </w:pPr>
      <w:r>
        <w:rPr>
          <w:rFonts w:hint="eastAsia" w:eastAsia="等线"/>
          <w:i/>
          <w:iCs/>
          <w:color w:val="C00000"/>
        </w:rPr>
        <w:t>S</w:t>
      </w:r>
      <w:r>
        <w:rPr>
          <w:rFonts w:eastAsia="等线"/>
          <w:i/>
          <w:iCs/>
          <w:color w:val="C00000"/>
        </w:rPr>
        <w:t>upport: ZTE (scalable along with different SCS), TCL, IDC (10MHz for TDD with 30kHz SCS), DOCOMO?</w:t>
      </w:r>
    </w:p>
    <w:p w14:paraId="5A66298D">
      <w:pPr>
        <w:pStyle w:val="63"/>
        <w:numPr>
          <w:ilvl w:val="2"/>
          <w:numId w:val="10"/>
        </w:numPr>
        <w:spacing w:after="0"/>
        <w:jc w:val="both"/>
        <w:rPr>
          <w:rFonts w:eastAsia="等线"/>
          <w:i/>
          <w:iCs/>
        </w:rPr>
      </w:pPr>
      <w:r>
        <w:rPr>
          <w:rFonts w:eastAsia="宋体"/>
          <w:kern w:val="2"/>
        </w:rPr>
        <w:t>5% reduction in cost/complexity</w:t>
      </w:r>
      <w:r>
        <w:rPr>
          <w:rFonts w:hint="eastAsia" w:eastAsia="宋体"/>
          <w:kern w:val="2"/>
        </w:rPr>
        <w:t xml:space="preserve"> </w:t>
      </w:r>
      <w:r>
        <w:rPr>
          <w:rFonts w:eastAsia="宋体"/>
          <w:kern w:val="2"/>
        </w:rPr>
        <w:t>and 9% reduction in power consumption compared to those of 10MHz. [ZTE]</w:t>
      </w:r>
    </w:p>
    <w:p w14:paraId="1C54FB0A">
      <w:pPr>
        <w:pStyle w:val="63"/>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032F68EE">
      <w:pPr>
        <w:pStyle w:val="63"/>
        <w:numPr>
          <w:ilvl w:val="0"/>
          <w:numId w:val="10"/>
        </w:numPr>
        <w:spacing w:after="0"/>
        <w:jc w:val="both"/>
        <w:rPr>
          <w:rFonts w:eastAsia="等线"/>
        </w:rPr>
      </w:pPr>
      <w:r>
        <w:rPr>
          <w:rFonts w:hint="eastAsia" w:eastAsia="等线"/>
        </w:rPr>
        <w:t>5</w:t>
      </w:r>
      <w:r>
        <w:rPr>
          <w:rFonts w:eastAsia="等线"/>
        </w:rPr>
        <w:t>~10 MHz RF and BB bandwidth for FDD</w:t>
      </w:r>
    </w:p>
    <w:p w14:paraId="4CD93213">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CMCC</w:t>
      </w:r>
    </w:p>
    <w:p w14:paraId="4362E4E9">
      <w:pPr>
        <w:pStyle w:val="63"/>
        <w:numPr>
          <w:ilvl w:val="2"/>
          <w:numId w:val="10"/>
        </w:numPr>
        <w:spacing w:after="0"/>
        <w:jc w:val="both"/>
        <w:rPr>
          <w:rFonts w:eastAsia="等线"/>
          <w:i/>
          <w:iCs/>
        </w:rPr>
      </w:pPr>
      <w:r>
        <w:rPr>
          <w:rFonts w:eastAsia="宋体"/>
        </w:rPr>
        <w:t>T</w:t>
      </w:r>
      <w:r>
        <w:rPr>
          <w:rFonts w:hint="eastAsia" w:eastAsia="宋体"/>
        </w:rPr>
        <w:t>he power consumption for 6G lowest tier device type should be better than cat.1bis</w:t>
      </w:r>
      <w:r>
        <w:rPr>
          <w:rFonts w:eastAsia="宋体"/>
        </w:rPr>
        <w:t xml:space="preserve"> (20MHz) [CMCC]</w:t>
      </w:r>
    </w:p>
    <w:p w14:paraId="43F49F9A">
      <w:pPr>
        <w:pStyle w:val="63"/>
        <w:numPr>
          <w:ilvl w:val="0"/>
          <w:numId w:val="10"/>
        </w:numPr>
        <w:spacing w:after="0"/>
        <w:jc w:val="both"/>
        <w:rPr>
          <w:rFonts w:eastAsia="等线"/>
        </w:rPr>
      </w:pPr>
      <w:r>
        <w:rPr>
          <w:rFonts w:hint="eastAsia" w:eastAsia="等线"/>
        </w:rPr>
        <w:t>2</w:t>
      </w:r>
      <w:r>
        <w:rPr>
          <w:rFonts w:eastAsia="等线"/>
        </w:rPr>
        <w:t>0 MHz RF bandwidth and 5MHz BB bandwidth</w:t>
      </w:r>
    </w:p>
    <w:p w14:paraId="1A9BB26F">
      <w:pPr>
        <w:pStyle w:val="63"/>
        <w:numPr>
          <w:ilvl w:val="1"/>
          <w:numId w:val="10"/>
        </w:numPr>
        <w:spacing w:after="0"/>
        <w:jc w:val="both"/>
        <w:rPr>
          <w:rFonts w:eastAsia="等线"/>
          <w:i/>
          <w:iCs/>
          <w:color w:val="C00000"/>
        </w:rPr>
      </w:pPr>
      <w:r>
        <w:rPr>
          <w:rFonts w:eastAsia="等线"/>
          <w:i/>
          <w:iCs/>
          <w:color w:val="C00000"/>
        </w:rPr>
        <w:t>Support: Samsung, LGE (BB BW down-select from 5MHz and 20MHz)</w:t>
      </w:r>
    </w:p>
    <w:p w14:paraId="62191DD8">
      <w:pPr>
        <w:pStyle w:val="63"/>
        <w:numPr>
          <w:ilvl w:val="2"/>
          <w:numId w:val="10"/>
        </w:numPr>
        <w:spacing w:after="0"/>
        <w:jc w:val="both"/>
        <w:rPr>
          <w:rFonts w:eastAsia="等线"/>
        </w:rPr>
      </w:pPr>
      <w:r>
        <w:rPr>
          <w:rFonts w:hint="eastAsia" w:eastAsia="等线"/>
        </w:rPr>
        <w:t>5</w:t>
      </w:r>
      <w:r>
        <w:rPr>
          <w:rFonts w:eastAsia="等线"/>
        </w:rPr>
        <w:t xml:space="preserve">MHz BB bandwidth is good enough to achieve target data rate while </w:t>
      </w:r>
      <w:r>
        <w:rPr>
          <w:rFonts w:ascii="Times" w:hAnsi="Times" w:eastAsia="Batang"/>
          <w:color w:val="000000"/>
          <w:lang w:val="en-GB" w:eastAsia="zh-CN"/>
        </w:rPr>
        <w:t>restricting the RF bandwidth to smaller than 20 MHz may lose some flexibility while increasing complexity, e.g., additional RF retuning</w:t>
      </w:r>
      <w:r>
        <w:rPr>
          <w:rFonts w:eastAsia="等线"/>
        </w:rPr>
        <w:t xml:space="preserve"> . [Samsung]</w:t>
      </w:r>
    </w:p>
    <w:p w14:paraId="789AD948">
      <w:pPr>
        <w:pStyle w:val="63"/>
        <w:numPr>
          <w:ilvl w:val="0"/>
          <w:numId w:val="10"/>
        </w:numPr>
        <w:spacing w:after="0"/>
        <w:jc w:val="both"/>
        <w:rPr>
          <w:rFonts w:eastAsia="等线"/>
        </w:rPr>
      </w:pPr>
      <w:r>
        <w:rPr>
          <w:rFonts w:hint="eastAsia" w:eastAsia="等线"/>
        </w:rPr>
        <w:t>A</w:t>
      </w:r>
      <w:r>
        <w:rPr>
          <w:rFonts w:eastAsia="等线"/>
        </w:rPr>
        <w:t>t least 10 MHz RF bandwidth for FR1 TDD</w:t>
      </w:r>
    </w:p>
    <w:p w14:paraId="678E9BFC">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Ericsson</w:t>
      </w:r>
    </w:p>
    <w:p w14:paraId="65030410">
      <w:pPr>
        <w:pStyle w:val="63"/>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pPr>
        <w:pStyle w:val="63"/>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396CF30E">
      <w:pPr>
        <w:pStyle w:val="63"/>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3B5319C">
      <w:pPr>
        <w:pStyle w:val="63"/>
        <w:numPr>
          <w:ilvl w:val="0"/>
          <w:numId w:val="10"/>
        </w:numPr>
        <w:spacing w:after="0"/>
        <w:jc w:val="both"/>
        <w:rPr>
          <w:rFonts w:eastAsia="等线"/>
        </w:rPr>
      </w:pPr>
      <w:r>
        <w:rPr>
          <w:rFonts w:hint="eastAsia" w:eastAsia="等线"/>
        </w:rPr>
        <w:t>5</w:t>
      </w:r>
      <w:r>
        <w:rPr>
          <w:rFonts w:eastAsia="等线"/>
        </w:rPr>
        <w:t>MHz for below 1GHz, [10, 20, 20+] MHz for above 1GHz</w:t>
      </w:r>
    </w:p>
    <w:p w14:paraId="793CF91F">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emtech</w:t>
      </w:r>
    </w:p>
    <w:p w14:paraId="332E1718">
      <w:pPr>
        <w:pStyle w:val="63"/>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0A38BEE0">
      <w:pPr>
        <w:pStyle w:val="63"/>
        <w:numPr>
          <w:ilvl w:val="0"/>
          <w:numId w:val="10"/>
        </w:numPr>
        <w:spacing w:after="0"/>
        <w:jc w:val="both"/>
        <w:rPr>
          <w:rFonts w:eastAsia="等线"/>
        </w:rPr>
      </w:pPr>
      <w:r>
        <w:rPr>
          <w:rFonts w:hint="eastAsia" w:eastAsia="等线"/>
        </w:rPr>
        <w:t>U</w:t>
      </w:r>
      <w:r>
        <w:rPr>
          <w:rFonts w:eastAsia="等线"/>
        </w:rPr>
        <w:t>p to 5MHz at least in UL</w:t>
      </w:r>
    </w:p>
    <w:p w14:paraId="3DFF51F8">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ony</w:t>
      </w:r>
    </w:p>
    <w:p w14:paraId="06F87296">
      <w:pPr>
        <w:pStyle w:val="63"/>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04508FA8">
      <w:pPr>
        <w:spacing w:before="120"/>
        <w:rPr>
          <w:rFonts w:eastAsia="等线"/>
        </w:rPr>
      </w:pPr>
    </w:p>
    <w:p w14:paraId="21A3C51F">
      <w:pPr>
        <w:pStyle w:val="3"/>
        <w:spacing w:after="120"/>
        <w:rPr>
          <w:rFonts w:eastAsia="等线"/>
        </w:rPr>
      </w:pPr>
      <w:r>
        <w:rPr>
          <w:rFonts w:hint="eastAsia" w:eastAsia="等线"/>
        </w:rPr>
        <w:t>Discussion</w:t>
      </w:r>
    </w:p>
    <w:p w14:paraId="22CE0CBB">
      <w:pPr>
        <w:pStyle w:val="4"/>
        <w:spacing w:after="120"/>
        <w:rPr>
          <w:rFonts w:eastAsia="等线"/>
        </w:rPr>
      </w:pPr>
      <w:r>
        <w:rPr>
          <w:rFonts w:eastAsia="等线"/>
        </w:rPr>
        <w:t>Proposal 2-1 [open]</w:t>
      </w:r>
    </w:p>
    <w:p w14:paraId="55CB2CF0">
      <w:pPr>
        <w:jc w:val="both"/>
        <w:rPr>
          <w:rFonts w:eastAsia="等线"/>
          <w:b/>
          <w:bCs/>
        </w:rPr>
      </w:pPr>
      <w:r>
        <w:rPr>
          <w:rFonts w:hint="eastAsia" w:eastAsia="等线"/>
          <w:b/>
          <w:bCs/>
        </w:rPr>
        <w:t>P</w:t>
      </w:r>
      <w:r>
        <w:rPr>
          <w:rFonts w:eastAsia="等线"/>
          <w:b/>
          <w:bCs/>
        </w:rPr>
        <w:t>roposed agreement:</w:t>
      </w:r>
    </w:p>
    <w:p w14:paraId="6E87C635">
      <w:pPr>
        <w:shd w:val="clear" w:color="auto" w:fill="FFFFFF"/>
        <w:adjustRightInd/>
        <w:spacing w:after="0"/>
        <w:rPr>
          <w:rFonts w:ascii="Times" w:hAnsi="Times" w:eastAsia="宋体"/>
          <w:color w:val="000000"/>
          <w:szCs w:val="22"/>
          <w:lang w:val="en-GB" w:eastAsia="en-US"/>
        </w:rPr>
      </w:pPr>
      <w:r>
        <w:rPr>
          <w:rFonts w:hint="eastAsia" w:ascii="Times" w:hAnsi="Times" w:eastAsia="宋体"/>
          <w:color w:val="000000"/>
          <w:szCs w:val="22"/>
          <w:lang w:val="en-GB" w:eastAsia="en-US"/>
        </w:rPr>
        <w:t>F</w:t>
      </w:r>
      <w:r>
        <w:rPr>
          <w:rFonts w:ascii="Times" w:hAnsi="Times" w:eastAsia="宋体"/>
          <w:color w:val="000000"/>
          <w:szCs w:val="22"/>
          <w:lang w:val="en-GB" w:eastAsia="en-US"/>
        </w:rPr>
        <w:t>or the 6GR smallest maximum UE bandwidth, RAN1 to further study the following alternatives:</w:t>
      </w:r>
    </w:p>
    <w:p w14:paraId="69CBC2FB">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 xml:space="preserve">Alt 1: </w:t>
      </w:r>
      <w:r>
        <w:rPr>
          <w:rFonts w:hint="eastAsia" w:eastAsia="宋体"/>
          <w:color w:val="000000"/>
          <w:szCs w:val="22"/>
          <w:lang w:val="en-GB" w:eastAsia="zh-CN"/>
        </w:rPr>
        <w:t>2</w:t>
      </w:r>
      <w:r>
        <w:rPr>
          <w:rFonts w:eastAsia="宋体"/>
          <w:color w:val="000000"/>
          <w:szCs w:val="22"/>
          <w:lang w:val="en-GB" w:eastAsia="zh-CN"/>
        </w:rPr>
        <w:t>0MHz RF and BB bandwidth for both UL and DL</w:t>
      </w:r>
    </w:p>
    <w:p w14:paraId="49040E65">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Alt 2: 5MHz RF and BB bandwidth for FDD with 15kHz SCS for both UL and DL, 10MHz RF and BB bandwidth for TDD with 30kHz SCS for both UL and DL</w:t>
      </w:r>
    </w:p>
    <w:p w14:paraId="3BA91228">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C8F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02A5DB9">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45A7033">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14:paraId="77A4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0FACF2E3">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78EEAE60">
            <w:pPr>
              <w:widowControl w:val="0"/>
              <w:suppressAutoHyphens/>
              <w:spacing w:line="256" w:lineRule="auto"/>
              <w:rPr>
                <w:rFonts w:ascii="Times New Roman" w:hAnsi="Times New Roman" w:cs="Times New Roman" w:eastAsiaTheme="minorEastAsia"/>
                <w:b/>
                <w:bCs/>
                <w:szCs w:val="22"/>
                <w:lang w:val="en-GB"/>
              </w:rPr>
            </w:pPr>
            <w:r>
              <w:rPr>
                <w:rFonts w:ascii="Times New Roman" w:hAnsi="Times New Roman" w:eastAsia="宋体" w:cs="Times New Roman"/>
                <w:szCs w:val="22"/>
                <w:lang w:val="en-GB"/>
              </w:rPr>
              <w:t>Spreadtrum</w:t>
            </w:r>
            <w:r>
              <w:rPr>
                <w:rFonts w:hint="eastAsia" w:ascii="Times New Roman" w:hAnsi="Times New Roman" w:eastAsia="MS Mincho" w:cs="Times New Roman"/>
                <w:szCs w:val="22"/>
                <w:lang w:val="en-GB" w:eastAsia="ja-JP"/>
              </w:rPr>
              <w:t>, DOCOMO</w:t>
            </w:r>
            <w:r>
              <w:rPr>
                <w:rFonts w:hint="eastAsia" w:ascii="Times New Roman" w:hAnsi="Times New Roman" w:cs="Times New Roman" w:eastAsiaTheme="minorEastAsia"/>
                <w:szCs w:val="22"/>
                <w:lang w:val="en-GB"/>
              </w:rPr>
              <w:t>,</w:t>
            </w:r>
            <w:r>
              <w:rPr>
                <w:rFonts w:hint="eastAsia" w:ascii="Times New Roman" w:hAnsi="Times New Roman" w:eastAsia="宋体" w:cs="Times New Roman"/>
                <w:szCs w:val="22"/>
                <w:lang w:val="en-GB"/>
              </w:rPr>
              <w:t xml:space="preserve"> , Lenovo</w:t>
            </w:r>
            <w:r>
              <w:rPr>
                <w:rFonts w:hint="eastAsia" w:ascii="Times New Roman" w:hAnsi="Times New Roman" w:eastAsia="MS Mincho" w:cs="Times New Roman"/>
                <w:szCs w:val="22"/>
                <w:lang w:val="en-GB" w:eastAsia="ja-JP"/>
              </w:rPr>
              <w:t>, Sharp</w:t>
            </w:r>
            <w:r>
              <w:rPr>
                <w:rFonts w:hint="eastAsia" w:ascii="Times New Roman" w:hAnsi="Times New Roman" w:cs="Times New Roman" w:eastAsiaTheme="minorEastAsia"/>
                <w:szCs w:val="22"/>
                <w:lang w:val="en-GB"/>
              </w:rPr>
              <w:t>, CATT</w:t>
            </w:r>
            <w:r>
              <w:rPr>
                <w:rFonts w:ascii="Times New Roman" w:hAnsi="Times New Roman" w:cs="Times New Roman" w:eastAsiaTheme="minorEastAsia"/>
                <w:szCs w:val="22"/>
                <w:lang w:val="en-GB"/>
              </w:rPr>
              <w:t xml:space="preserve">, </w:t>
            </w:r>
            <w:r>
              <w:rPr>
                <w:rFonts w:ascii="Calibri" w:hAnsi="Calibri" w:eastAsia="PMingLiU" w:cs="Arial"/>
                <w:szCs w:val="22"/>
                <w:lang w:val="en-GB" w:eastAsia="zh-TW"/>
              </w:rPr>
              <w:t>MTK, Google</w:t>
            </w:r>
          </w:p>
        </w:tc>
      </w:tr>
      <w:tr w14:paraId="793D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003849F3">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0A79AF0B">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Nokia, Ericsson, Nordic</w:t>
            </w:r>
          </w:p>
        </w:tc>
      </w:tr>
    </w:tbl>
    <w:p w14:paraId="3498B7DB">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2EC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1D21DDB">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4D03778">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644C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35DF47A">
            <w:pPr>
              <w:widowControl w:val="0"/>
              <w:suppressAutoHyphens/>
              <w:spacing w:line="256" w:lineRule="auto"/>
              <w:jc w:val="center"/>
              <w:rPr>
                <w:rFonts w:ascii="Times New Roman" w:hAnsi="Times New Roman" w:eastAsia="宋体" w:cs="Times New Roman"/>
                <w:szCs w:val="22"/>
                <w:lang w:val="en-GB"/>
              </w:rPr>
            </w:pPr>
            <w:r>
              <w:rPr>
                <w:rFonts w:hint="eastAsia" w:ascii="Times New Roman" w:hAnsi="Times New Roman" w:eastAsia="宋体" w:cs="Times New Roman"/>
                <w:szCs w:val="22"/>
                <w:lang w:val="en-GB"/>
              </w:rPr>
              <w:t>M</w:t>
            </w:r>
            <w:r>
              <w:rPr>
                <w:rFonts w:ascii="Times New Roman" w:hAnsi="Times New Roman" w:eastAsia="宋体" w:cs="Times New Roman"/>
                <w:szCs w:val="22"/>
                <w:lang w:val="en-GB"/>
              </w:rPr>
              <w:t>oderator</w:t>
            </w:r>
          </w:p>
        </w:tc>
        <w:tc>
          <w:tcPr>
            <w:tcW w:w="3825" w:type="pct"/>
            <w:tcBorders>
              <w:top w:val="single" w:color="auto" w:sz="4" w:space="0"/>
              <w:left w:val="single" w:color="auto" w:sz="4" w:space="0"/>
              <w:bottom w:val="single" w:color="auto" w:sz="4" w:space="0"/>
              <w:right w:val="single" w:color="auto" w:sz="4" w:space="0"/>
            </w:tcBorders>
            <w:vAlign w:val="center"/>
          </w:tcPr>
          <w:p w14:paraId="2678C9E8">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the scalability related aspects discussions during 2026H1, the plan is to focus on the smallest maximum UE bandwidth as tasked by RAN, aiming to provide analysis to RAN#112 (June 2026).</w:t>
            </w:r>
          </w:p>
          <w:p w14:paraId="02E69E1B">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A</w:t>
            </w:r>
            <w:r>
              <w:rPr>
                <w:rFonts w:ascii="Times New Roman" w:hAnsi="Times New Roman" w:eastAsia="宋体" w:cs="Times New Roman"/>
                <w:szCs w:val="22"/>
                <w:lang w:val="en-GB"/>
              </w:rPr>
              <w:t xml:space="preserve">s a first step, the above proposal tries to narrow down the options for further study/discussion based on companies’ views summarized in section </w:t>
            </w:r>
            <w:r>
              <w:rPr>
                <w:rFonts w:ascii="Calibri" w:hAnsi="Calibri" w:eastAsia="宋体" w:cs="Arial"/>
                <w:szCs w:val="22"/>
                <w:lang w:val="en-GB"/>
              </w:rPr>
              <w:fldChar w:fldCharType="begin"/>
            </w:r>
            <w:r>
              <w:rPr>
                <w:rFonts w:ascii="Times New Roman" w:hAnsi="Times New Roman" w:eastAsia="宋体" w:cs="Times New Roman"/>
                <w:szCs w:val="22"/>
                <w:lang w:val="en-GB"/>
              </w:rPr>
              <w:instrText xml:space="preserve"> REF _Ref221353302 \r \h </w:instrText>
            </w:r>
            <w:r>
              <w:rPr>
                <w:rFonts w:ascii="Calibri" w:hAnsi="Calibri" w:eastAsia="宋体" w:cs="Arial"/>
                <w:szCs w:val="22"/>
                <w:lang w:val="en-GB"/>
              </w:rPr>
              <w:fldChar w:fldCharType="separate"/>
            </w:r>
            <w:r>
              <w:rPr>
                <w:rFonts w:ascii="Times New Roman" w:hAnsi="Times New Roman" w:eastAsia="宋体" w:cs="Times New Roman"/>
                <w:szCs w:val="22"/>
                <w:lang w:val="en-GB"/>
              </w:rPr>
              <w:t>2.2</w:t>
            </w:r>
            <w:r>
              <w:rPr>
                <w:rFonts w:ascii="Calibri" w:hAnsi="Calibri" w:eastAsia="宋体" w:cs="Arial"/>
                <w:szCs w:val="22"/>
                <w:lang w:val="en-GB"/>
              </w:rPr>
              <w:fldChar w:fldCharType="end"/>
            </w:r>
            <w:r>
              <w:rPr>
                <w:rFonts w:ascii="Times New Roman" w:hAnsi="Times New Roman" w:eastAsia="宋体" w:cs="Times New Roman"/>
                <w:szCs w:val="22"/>
                <w:lang w:val="en-GB"/>
              </w:rPr>
              <w:t>.</w:t>
            </w:r>
          </w:p>
        </w:tc>
      </w:tr>
      <w:tr w14:paraId="6CFB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60BCC8A">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1DB2BCA0">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14:paraId="177F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66B3667">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0A130A54">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14:paraId="410F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264A901">
            <w:pPr>
              <w:widowControl w:val="0"/>
              <w:suppressAutoHyphens/>
              <w:spacing w:line="256" w:lineRule="auto"/>
              <w:jc w:val="center"/>
              <w:rPr>
                <w:rFonts w:ascii="Calibri" w:hAnsi="Calibri" w:eastAsia="宋体" w:cs="Arial"/>
                <w:sz w:val="20"/>
                <w:szCs w:val="20"/>
                <w:lang w:val="en-GB"/>
              </w:rPr>
            </w:pPr>
            <w:r>
              <w:rPr>
                <w:rFonts w:ascii="Times New Roman" w:hAnsi="Times New Roman" w:cs="Times New Roman"/>
                <w:sz w:val="20"/>
                <w:szCs w:val="20"/>
                <w:lang w:val="en-GB" w:eastAsia="en-US"/>
              </w:rPr>
              <w:t>Spreadtrum</w:t>
            </w:r>
          </w:p>
        </w:tc>
        <w:tc>
          <w:tcPr>
            <w:tcW w:w="3825" w:type="pct"/>
            <w:tcBorders>
              <w:top w:val="single" w:color="auto" w:sz="4" w:space="0"/>
              <w:left w:val="single" w:color="auto" w:sz="4" w:space="0"/>
              <w:bottom w:val="single" w:color="auto" w:sz="4" w:space="0"/>
              <w:right w:val="single" w:color="auto" w:sz="4" w:space="0"/>
            </w:tcBorders>
          </w:tcPr>
          <w:p w14:paraId="0AB446DC">
            <w:pPr>
              <w:widowControl w:val="0"/>
              <w:suppressAutoHyphens/>
              <w:spacing w:line="256" w:lineRule="auto"/>
              <w:jc w:val="both"/>
              <w:rPr>
                <w:rFonts w:ascii="Calibri" w:hAnsi="Calibri" w:cs="Arial"/>
                <w:sz w:val="20"/>
                <w:szCs w:val="20"/>
                <w:lang w:val="en-GB" w:eastAsia="en-US"/>
              </w:rPr>
            </w:pPr>
            <w:r>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14:paraId="3887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1E0C408">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color="auto" w:sz="4" w:space="0"/>
              <w:left w:val="single" w:color="auto" w:sz="4" w:space="0"/>
              <w:bottom w:val="single" w:color="auto" w:sz="4" w:space="0"/>
              <w:right w:val="single" w:color="auto" w:sz="4" w:space="0"/>
            </w:tcBorders>
          </w:tcPr>
          <w:p w14:paraId="20E45224">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eastAsia="zh-CN"/>
              </w:rPr>
            </w:pPr>
            <w:r>
              <w:rPr>
                <w:rFonts w:ascii="Calibri" w:hAnsi="Calibri" w:eastAsia="宋体" w:cs="Arial"/>
                <w:color w:val="000000"/>
                <w:szCs w:val="22"/>
                <w:lang w:val="en-GB" w:eastAsia="zh-CN"/>
              </w:rPr>
              <w:t xml:space="preserve">Alt 3: </w:t>
            </w:r>
            <w:r>
              <w:rPr>
                <w:rFonts w:hint="eastAsia" w:ascii="Calibri" w:hAnsi="Calibri" w:eastAsia="宋体" w:cs="Arial"/>
                <w:color w:val="000000"/>
                <w:szCs w:val="22"/>
                <w:lang w:val="en-GB" w:eastAsia="zh-CN"/>
              </w:rPr>
              <w:t>2</w:t>
            </w:r>
            <w:r>
              <w:rPr>
                <w:rFonts w:ascii="Calibri" w:hAnsi="Calibri" w:eastAsia="宋体" w:cs="Arial"/>
                <w:color w:val="000000"/>
                <w:szCs w:val="22"/>
                <w:lang w:val="en-GB" w:eastAsia="zh-CN"/>
              </w:rPr>
              <w:t>0MHz RF bandwidth for both UL and DL</w:t>
            </w:r>
          </w:p>
          <w:p w14:paraId="129F8FF1">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eastAsia="zh-CN"/>
              </w:rPr>
            </w:pPr>
            <w:r>
              <w:rPr>
                <w:rFonts w:ascii="Calibri" w:hAnsi="Calibri" w:eastAsia="宋体" w:cs="Arial"/>
                <w:color w:val="000000"/>
                <w:szCs w:val="22"/>
                <w:lang w:val="en-GB" w:eastAsia="zh-CN"/>
              </w:rPr>
              <w:t>5MHz BB at least in UL</w:t>
            </w:r>
          </w:p>
          <w:p w14:paraId="52B90674">
            <w:pPr>
              <w:widowControl w:val="0"/>
              <w:shd w:val="clear" w:color="auto" w:fill="FFFFFF"/>
              <w:tabs>
                <w:tab w:val="left" w:pos="720"/>
              </w:tabs>
              <w:adjustRightInd/>
              <w:snapToGrid/>
              <w:spacing w:after="0"/>
              <w:ind w:left="720"/>
              <w:jc w:val="both"/>
              <w:rPr>
                <w:rFonts w:ascii="Calibri" w:hAnsi="Calibri" w:eastAsia="宋体" w:cs="Arial"/>
                <w:color w:val="000000"/>
                <w:szCs w:val="22"/>
                <w:lang w:val="en-GB" w:eastAsia="zh-CN"/>
              </w:rPr>
            </w:pPr>
          </w:p>
          <w:p w14:paraId="0C14EAB8">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eastAsia="宋体" w:cs="Arial"/>
                <w:color w:val="000000"/>
                <w:szCs w:val="22"/>
                <w:lang w:val="en-GB" w:eastAsia="zh-CN"/>
              </w:rPr>
              <w:t>We agree with Ericsson that RAN4 has discussion on whether HD-FDD without band-specific filters is feasible or not with 20MHz BW in UL. RAN1 should let RAN4 to discuss first.</w:t>
            </w:r>
          </w:p>
          <w:p w14:paraId="76CD2EC2">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14:paraId="5B93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F0C007F">
            <w:pPr>
              <w:widowControl w:val="0"/>
              <w:suppressAutoHyphens/>
              <w:spacing w:line="256" w:lineRule="auto"/>
              <w:jc w:val="center"/>
              <w:rPr>
                <w:rFonts w:ascii="Calibri" w:hAnsi="Calibri" w:cs="Arial"/>
                <w:sz w:val="20"/>
                <w:szCs w:val="20"/>
                <w:lang w:val="en-GB" w:eastAsia="en-US"/>
              </w:rPr>
            </w:pPr>
            <w:r>
              <w:rPr>
                <w:rFonts w:hint="eastAsia" w:ascii="Times New Roman" w:hAnsi="Times New Roman" w:eastAsia="MS Mincho" w:cs="Times New Roman"/>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5A7BD47D">
            <w:pPr>
              <w:widowControl w:val="0"/>
              <w:shd w:val="clear" w:color="auto" w:fill="FFFFFF"/>
              <w:tabs>
                <w:tab w:val="left" w:pos="720"/>
              </w:tabs>
              <w:adjustRightInd/>
              <w:snapToGrid/>
              <w:spacing w:after="0"/>
              <w:jc w:val="both"/>
              <w:rPr>
                <w:rFonts w:ascii="Calibri" w:hAnsi="Calibri" w:eastAsia="宋体" w:cs="Arial"/>
                <w:color w:val="000000"/>
                <w:szCs w:val="22"/>
                <w:lang w:val="en-GB" w:eastAsia="zh-CN"/>
              </w:rPr>
            </w:pPr>
            <w:r>
              <w:rPr>
                <w:rFonts w:hint="eastAsia" w:ascii="Times New Roman" w:hAnsi="Times New Roman" w:eastAsia="MS Mincho" w:cs="Times New Roman"/>
                <w:kern w:val="2"/>
                <w:szCs w:val="22"/>
                <w:lang w:val="en-GB" w:eastAsia="ja-JP"/>
              </w:rPr>
              <w:t xml:space="preserve">OK from RAN1 perspective, but better to align with RAN4 whether they will study the same alternatives, so </w:t>
            </w:r>
            <w:r>
              <w:rPr>
                <w:rFonts w:ascii="Times New Roman" w:hAnsi="Times New Roman" w:eastAsia="MS Mincho" w:cs="Times New Roman"/>
                <w:kern w:val="2"/>
                <w:szCs w:val="22"/>
                <w:lang w:val="en-GB" w:eastAsia="ja-JP"/>
              </w:rPr>
              <w:t>that</w:t>
            </w:r>
            <w:r>
              <w:rPr>
                <w:rFonts w:hint="eastAsia" w:ascii="Times New Roman" w:hAnsi="Times New Roman" w:eastAsia="MS Mincho" w:cs="Times New Roman"/>
                <w:kern w:val="2"/>
                <w:szCs w:val="22"/>
                <w:lang w:val="en-GB" w:eastAsia="ja-JP"/>
              </w:rPr>
              <w:t xml:space="preserve"> RANp can make proper decision by June 2026.</w:t>
            </w:r>
          </w:p>
        </w:tc>
      </w:tr>
      <w:tr w14:paraId="746B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D488DC6">
            <w:pPr>
              <w:widowControl w:val="0"/>
              <w:suppressAutoHyphens/>
              <w:spacing w:line="256" w:lineRule="auto"/>
              <w:jc w:val="cente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LGE</w:t>
            </w:r>
            <w:r>
              <w:rPr>
                <w:rFonts w:ascii="Times New Roman" w:hAnsi="Times New Roman" w:cs="Times New Roman"/>
                <w:sz w:val="20"/>
                <w:szCs w:val="20"/>
                <w:lang w:val="en-GB" w:eastAsia="en-US"/>
              </w:rPr>
              <w:tab/>
            </w:r>
          </w:p>
        </w:tc>
        <w:tc>
          <w:tcPr>
            <w:tcW w:w="3825" w:type="pct"/>
            <w:tcBorders>
              <w:top w:val="single" w:color="auto" w:sz="4" w:space="0"/>
              <w:left w:val="single" w:color="auto" w:sz="4" w:space="0"/>
              <w:bottom w:val="single" w:color="auto" w:sz="4" w:space="0"/>
              <w:right w:val="single" w:color="auto" w:sz="4" w:space="0"/>
            </w:tcBorders>
          </w:tcPr>
          <w:p w14:paraId="337396C2">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would like to first progress the discussion on the RF BW and address the BB bandwidth issue independently.</w:t>
            </w:r>
          </w:p>
        </w:tc>
      </w:tr>
      <w:tr w14:paraId="0AFE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3D52E01">
            <w:pPr>
              <w:widowControl w:val="0"/>
              <w:suppressAutoHyphens/>
              <w:spacing w:line="256" w:lineRule="auto"/>
              <w:jc w:val="center"/>
              <w:rPr>
                <w:rFonts w:ascii="Calibri" w:hAnsi="Calibri" w:cs="Arial"/>
                <w:sz w:val="20"/>
                <w:szCs w:val="20"/>
                <w:lang w:val="en-GB" w:eastAsia="en-US"/>
              </w:rPr>
            </w:pPr>
            <w:r>
              <w:rPr>
                <w:rFonts w:hint="eastAsia" w:ascii="Times New Roman" w:hAnsi="Times New Roman" w:eastAsia="宋体" w:cs="Times New Roman"/>
                <w:sz w:val="20"/>
                <w:szCs w:val="20"/>
                <w:lang w:val="en-GB"/>
              </w:rPr>
              <w:t>CATT</w:t>
            </w:r>
          </w:p>
        </w:tc>
        <w:tc>
          <w:tcPr>
            <w:tcW w:w="3825" w:type="pct"/>
            <w:tcBorders>
              <w:top w:val="single" w:color="auto" w:sz="4" w:space="0"/>
              <w:left w:val="single" w:color="auto" w:sz="4" w:space="0"/>
              <w:bottom w:val="single" w:color="auto" w:sz="4" w:space="0"/>
              <w:right w:val="single" w:color="auto" w:sz="4" w:space="0"/>
            </w:tcBorders>
          </w:tcPr>
          <w:p w14:paraId="1119C323">
            <w:pPr>
              <w:widowControl w:val="0"/>
              <w:suppressAutoHyphens/>
              <w:spacing w:line="256" w:lineRule="auto"/>
              <w:jc w:val="both"/>
              <w:rPr>
                <w:rFonts w:ascii="Times New Roman" w:hAnsi="Times New Roman" w:cs="Times New Roman" w:eastAsiaTheme="minorEastAsia"/>
                <w:sz w:val="20"/>
                <w:szCs w:val="20"/>
                <w:lang w:val="en-GB"/>
              </w:rPr>
            </w:pPr>
            <w:r>
              <w:rPr>
                <w:rFonts w:ascii="Times New Roman" w:hAnsi="Times New Roman" w:cs="Times New Roman"/>
                <w:sz w:val="20"/>
                <w:szCs w:val="20"/>
                <w:lang w:val="en-GB" w:eastAsia="en-US"/>
              </w:rPr>
              <w:t>W</w:t>
            </w:r>
            <w:r>
              <w:rPr>
                <w:rFonts w:hint="eastAsia" w:ascii="Times New Roman" w:hAnsi="Times New Roman" w:cs="Times New Roman"/>
                <w:sz w:val="20"/>
                <w:szCs w:val="20"/>
                <w:lang w:val="en-GB" w:eastAsia="en-US"/>
              </w:rPr>
              <w:t>e support the proposal.</w:t>
            </w:r>
          </w:p>
          <w:p w14:paraId="5452E3E8">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Times New Roman" w:hAnsi="Times New Roman" w:cs="Times New Roman"/>
                <w:sz w:val="20"/>
                <w:szCs w:val="20"/>
                <w:lang w:val="en-GB" w:eastAsia="en-US"/>
              </w:rPr>
              <w:t xml:space="preserve">To be specific, we support Alt 1 (20 MHz), taking into account the coverage issue as also discussed in Coverage section.  </w:t>
            </w:r>
          </w:p>
        </w:tc>
      </w:tr>
      <w:tr w14:paraId="7840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0DB6F47">
            <w:pPr>
              <w:widowControl w:val="0"/>
              <w:suppressAutoHyphens/>
              <w:spacing w:line="254" w:lineRule="auto"/>
              <w:jc w:val="center"/>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MTK</w:t>
            </w:r>
          </w:p>
        </w:tc>
        <w:tc>
          <w:tcPr>
            <w:tcW w:w="3825" w:type="pct"/>
          </w:tcPr>
          <w:p w14:paraId="4D48ADCA">
            <w:pPr>
              <w:widowControl w:val="0"/>
              <w:suppressAutoHyphens/>
              <w:spacing w:line="254"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We prefer Alt 1 but open to have smaller BB bandwidth less than 20MHz.</w:t>
            </w:r>
          </w:p>
        </w:tc>
      </w:tr>
      <w:tr w14:paraId="0F00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7A1D540">
            <w:pPr>
              <w:widowControl w:val="0"/>
              <w:suppressAutoHyphens/>
              <w:spacing w:line="254" w:lineRule="auto"/>
              <w:jc w:val="center"/>
              <w:rPr>
                <w:rFonts w:ascii="Calibri" w:hAnsi="Calibri" w:eastAsia="宋体" w:cs="Arial"/>
                <w:sz w:val="20"/>
                <w:szCs w:val="20"/>
                <w:lang w:val="en-GB"/>
              </w:rPr>
            </w:pPr>
            <w:r>
              <w:rPr>
                <w:rFonts w:ascii="Times New Roman" w:hAnsi="Times New Roman" w:cs="Times New Roman"/>
                <w:sz w:val="20"/>
                <w:szCs w:val="20"/>
                <w:lang w:val="en-GB" w:eastAsia="en-US"/>
              </w:rPr>
              <w:t>Google</w:t>
            </w:r>
          </w:p>
        </w:tc>
        <w:tc>
          <w:tcPr>
            <w:tcW w:w="3825" w:type="pct"/>
          </w:tcPr>
          <w:p w14:paraId="467EF169">
            <w:pPr>
              <w:widowControl w:val="0"/>
              <w:suppressAutoHyphens/>
              <w:spacing w:line="254" w:lineRule="auto"/>
              <w:jc w:val="both"/>
              <w:rPr>
                <w:rFonts w:ascii="Calibri" w:hAnsi="Calibri" w:eastAsia="宋体" w:cs="Arial"/>
                <w:sz w:val="20"/>
                <w:szCs w:val="20"/>
                <w:lang w:val="en-GB"/>
              </w:rPr>
            </w:pPr>
            <w:r>
              <w:rPr>
                <w:rFonts w:ascii="Times New Roman" w:hAnsi="Times New Roman" w:cs="Times New Roman"/>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bl>
    <w:p w14:paraId="20624E66">
      <w:pPr>
        <w:rPr>
          <w:rFonts w:eastAsia="等线"/>
        </w:rPr>
      </w:pPr>
    </w:p>
    <w:p w14:paraId="766658AC">
      <w:pPr>
        <w:spacing w:before="120"/>
        <w:rPr>
          <w:rFonts w:eastAsia="等线"/>
        </w:rPr>
      </w:pPr>
    </w:p>
    <w:p w14:paraId="4F64B279">
      <w:pPr>
        <w:pStyle w:val="2"/>
        <w:spacing w:after="120"/>
        <w:rPr>
          <w:rFonts w:eastAsiaTheme="minorEastAsia"/>
          <w:lang w:val="en-GB"/>
        </w:rPr>
      </w:pPr>
      <w:r>
        <w:rPr>
          <w:rFonts w:eastAsiaTheme="minorEastAsia"/>
          <w:lang w:val="en-GB"/>
        </w:rPr>
        <w:t xml:space="preserve">Maximum </w:t>
      </w:r>
      <w:r>
        <w:rPr>
          <w:rFonts w:hint="eastAsia" w:eastAsiaTheme="minorEastAsia"/>
          <w:lang w:val="en-GB"/>
        </w:rPr>
        <w:t>bandwidth</w:t>
      </w:r>
    </w:p>
    <w:p w14:paraId="651FACB0">
      <w:pPr>
        <w:pStyle w:val="3"/>
        <w:spacing w:after="120"/>
        <w:rPr>
          <w:rFonts w:eastAsia="等线"/>
        </w:rPr>
      </w:pPr>
      <w:r>
        <w:rPr>
          <w:rFonts w:hint="eastAsia" w:eastAsia="等线"/>
        </w:rPr>
        <w:t>R</w:t>
      </w:r>
      <w:r>
        <w:rPr>
          <w:rFonts w:eastAsia="等线"/>
        </w:rPr>
        <w:t>elevant agreements</w:t>
      </w:r>
    </w:p>
    <w:p w14:paraId="0B30C8E3">
      <w:pPr>
        <w:rPr>
          <w:rFonts w:eastAsia="等线"/>
          <w:b/>
          <w:bCs/>
          <w:u w:val="single"/>
        </w:rPr>
      </w:pPr>
      <w:r>
        <w:rPr>
          <w:rFonts w:eastAsia="等线"/>
          <w:b/>
          <w:bCs/>
          <w:u w:val="single"/>
        </w:rPr>
        <w:t>Maximum bandwidth for around 7GHz</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14:paraId="73E7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699763FC">
            <w:pPr>
              <w:widowControl w:val="0"/>
              <w:autoSpaceDE w:val="0"/>
              <w:autoSpaceDN w:val="0"/>
              <w:adjustRightInd/>
              <w:snapToGrid/>
              <w:spacing w:after="160"/>
              <w:jc w:val="both"/>
              <w:rPr>
                <w:rFonts w:ascii="Times" w:hAnsi="Times" w:eastAsia="等线"/>
                <w:sz w:val="20"/>
                <w:szCs w:val="20"/>
                <w:highlight w:val="green"/>
                <w:lang w:val="en-GB"/>
              </w:rPr>
            </w:pPr>
            <w:r>
              <w:rPr>
                <w:rFonts w:hint="eastAsia" w:ascii="Times" w:hAnsi="Times" w:eastAsia="等线"/>
                <w:sz w:val="20"/>
                <w:szCs w:val="20"/>
                <w:highlight w:val="green"/>
                <w:lang w:val="en-GB"/>
              </w:rPr>
              <w:t>Agreement</w:t>
            </w:r>
            <w:r>
              <w:rPr>
                <w:rFonts w:ascii="Times" w:hAnsi="Times" w:eastAsia="等线"/>
                <w:sz w:val="20"/>
                <w:szCs w:val="20"/>
                <w:highlight w:val="green"/>
                <w:lang w:val="en-GB"/>
              </w:rPr>
              <w:t xml:space="preserve"> (RAN1#122bis)</w:t>
            </w:r>
          </w:p>
          <w:p w14:paraId="6FE3AB3D">
            <w:pPr>
              <w:widowControl w:val="0"/>
              <w:numPr>
                <w:ilvl w:val="0"/>
                <w:numId w:val="12"/>
              </w:numPr>
              <w:autoSpaceDE w:val="0"/>
              <w:autoSpaceDN w:val="0"/>
              <w:adjustRightInd/>
              <w:snapToGrid/>
              <w:spacing w:after="160"/>
              <w:jc w:val="both"/>
              <w:rPr>
                <w:rFonts w:ascii="Times" w:hAnsi="Times" w:eastAsia="等线"/>
                <w:sz w:val="20"/>
                <w:szCs w:val="20"/>
                <w:lang w:val="en-GB"/>
              </w:rPr>
            </w:pPr>
            <w:r>
              <w:rPr>
                <w:rFonts w:ascii="Times" w:hAnsi="Times" w:eastAsia="等线"/>
                <w:sz w:val="20"/>
                <w:szCs w:val="20"/>
                <w:lang w:val="en-GB"/>
              </w:rPr>
              <w:t xml:space="preserve">RAN1 </w:t>
            </w:r>
            <w:r>
              <w:rPr>
                <w:rFonts w:hint="eastAsia" w:ascii="Times" w:hAnsi="Times" w:eastAsia="等线"/>
                <w:sz w:val="20"/>
                <w:szCs w:val="20"/>
                <w:lang w:val="en-GB"/>
              </w:rPr>
              <w:t xml:space="preserve">assumes </w:t>
            </w:r>
            <w:r>
              <w:rPr>
                <w:rFonts w:hint="eastAsia" w:ascii="Times" w:hAnsi="Times" w:eastAsia="等线"/>
                <w:sz w:val="20"/>
                <w:szCs w:val="20"/>
              </w:rPr>
              <w:t xml:space="preserve">400MHz </w:t>
            </w:r>
            <w:r>
              <w:rPr>
                <w:rFonts w:ascii="Times" w:hAnsi="Times" w:eastAsia="等线"/>
                <w:sz w:val="20"/>
                <w:szCs w:val="20"/>
                <w:lang w:val="en-GB"/>
              </w:rPr>
              <w:t>maximum channel bandwidth</w:t>
            </w:r>
            <w:r>
              <w:rPr>
                <w:rFonts w:hint="eastAsia" w:ascii="Times" w:hAnsi="Times" w:eastAsia="等线"/>
                <w:sz w:val="20"/>
                <w:szCs w:val="20"/>
              </w:rPr>
              <w:t xml:space="preserve"> </w:t>
            </w:r>
            <w:r>
              <w:rPr>
                <w:rFonts w:hint="eastAsia" w:ascii="Times" w:hAnsi="Times" w:eastAsia="等线"/>
                <w:sz w:val="20"/>
                <w:szCs w:val="20"/>
                <w:lang w:val="en-GB"/>
              </w:rPr>
              <w:t>at network side</w:t>
            </w:r>
            <w:r>
              <w:rPr>
                <w:rFonts w:hint="eastAsia" w:ascii="Times" w:hAnsi="Times" w:eastAsia="等线"/>
                <w:sz w:val="20"/>
                <w:szCs w:val="20"/>
              </w:rPr>
              <w:t xml:space="preserve"> and 30kHz SCS</w:t>
            </w:r>
            <w:r>
              <w:rPr>
                <w:rFonts w:ascii="Times" w:hAnsi="Times" w:eastAsia="等线"/>
                <w:sz w:val="20"/>
                <w:szCs w:val="20"/>
                <w:lang w:val="en-GB"/>
              </w:rPr>
              <w:t xml:space="preserve"> </w:t>
            </w:r>
            <w:r>
              <w:rPr>
                <w:rFonts w:hint="eastAsia" w:ascii="Times" w:hAnsi="Times" w:eastAsia="等线"/>
                <w:sz w:val="20"/>
                <w:szCs w:val="20"/>
              </w:rPr>
              <w:t>around 7GHz</w:t>
            </w:r>
            <w:r>
              <w:rPr>
                <w:rFonts w:ascii="Times" w:hAnsi="Times" w:eastAsia="等线"/>
                <w:sz w:val="20"/>
                <w:szCs w:val="20"/>
                <w:lang w:val="en-GB"/>
              </w:rPr>
              <w:t xml:space="preserve"> </w:t>
            </w:r>
          </w:p>
          <w:p w14:paraId="0C2D2432">
            <w:pPr>
              <w:widowControl w:val="0"/>
              <w:numPr>
                <w:ilvl w:val="0"/>
                <w:numId w:val="13"/>
              </w:numPr>
              <w:autoSpaceDE w:val="0"/>
              <w:autoSpaceDN w:val="0"/>
              <w:adjustRightInd/>
              <w:snapToGrid/>
              <w:spacing w:after="0"/>
              <w:jc w:val="both"/>
              <w:rPr>
                <w:rFonts w:ascii="Times" w:hAnsi="Times" w:eastAsia="等线"/>
                <w:sz w:val="20"/>
                <w:szCs w:val="20"/>
              </w:rPr>
            </w:pPr>
            <w:r>
              <w:rPr>
                <w:rFonts w:ascii="Times" w:hAnsi="Times" w:eastAsia="等线"/>
                <w:sz w:val="20"/>
                <w:szCs w:val="20"/>
              </w:rPr>
              <w:t>S</w:t>
            </w:r>
            <w:r>
              <w:rPr>
                <w:rFonts w:hint="eastAsia" w:ascii="Times" w:hAnsi="Times" w:eastAsia="等线"/>
                <w:sz w:val="20"/>
                <w:szCs w:val="20"/>
              </w:rPr>
              <w:t xml:space="preserve">tudy whether and how to enable UE to support 400MHz bandwidth </w:t>
            </w:r>
          </w:p>
          <w:p w14:paraId="3AD24E55">
            <w:pPr>
              <w:widowControl w:val="0"/>
              <w:autoSpaceDE w:val="0"/>
              <w:autoSpaceDN w:val="0"/>
              <w:adjustRightInd/>
              <w:snapToGrid/>
              <w:spacing w:after="0"/>
              <w:jc w:val="both"/>
              <w:rPr>
                <w:rFonts w:ascii="Times" w:hAnsi="Times" w:eastAsia="等线"/>
                <w:sz w:val="20"/>
                <w:szCs w:val="20"/>
              </w:rPr>
            </w:pPr>
          </w:p>
          <w:p w14:paraId="3113E740">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639B49F4">
            <w:pPr>
              <w:widowControl w:val="0"/>
              <w:autoSpaceDE w:val="0"/>
              <w:autoSpaceDN w:val="0"/>
              <w:adjustRightInd/>
              <w:snapToGrid/>
              <w:spacing w:after="0"/>
              <w:jc w:val="both"/>
              <w:rPr>
                <w:rFonts w:ascii="Times" w:hAnsi="Times" w:eastAsia="等线"/>
                <w:sz w:val="20"/>
              </w:rPr>
            </w:pPr>
            <w:r>
              <w:rPr>
                <w:rFonts w:hint="eastAsia" w:ascii="Times" w:hAnsi="Times" w:eastAsia="等线"/>
                <w:sz w:val="20"/>
              </w:rPr>
              <w:t xml:space="preserve">For </w:t>
            </w:r>
            <w:r>
              <w:rPr>
                <w:rFonts w:ascii="Times" w:hAnsi="Times" w:eastAsia="等线"/>
                <w:sz w:val="20"/>
              </w:rPr>
              <w:t>how to enable UE to support 400MHz bandwidth</w:t>
            </w:r>
            <w:r>
              <w:rPr>
                <w:rFonts w:hint="eastAsia" w:ascii="Times" w:hAnsi="Times" w:eastAsia="等线"/>
                <w:sz w:val="20"/>
                <w:lang w:val="en-GB"/>
              </w:rPr>
              <w:t xml:space="preserve"> when </w:t>
            </w:r>
            <w:r>
              <w:rPr>
                <w:rFonts w:ascii="Times" w:hAnsi="Times" w:eastAsia="等线"/>
                <w:sz w:val="20"/>
                <w:lang w:val="en-GB"/>
              </w:rPr>
              <w:t xml:space="preserve">a network </w:t>
            </w:r>
            <w:r>
              <w:rPr>
                <w:rFonts w:hint="eastAsia" w:ascii="Times" w:hAnsi="Times" w:eastAsia="等线"/>
                <w:sz w:val="20"/>
                <w:lang w:val="en-GB"/>
              </w:rPr>
              <w:t xml:space="preserve">supports </w:t>
            </w:r>
            <w:r>
              <w:rPr>
                <w:rFonts w:ascii="Times" w:hAnsi="Times" w:eastAsia="等线"/>
                <w:sz w:val="20"/>
                <w:lang w:val="en-GB"/>
              </w:rPr>
              <w:t xml:space="preserve">400 MHz Channel Bandwidth (CBW), the </w:t>
            </w:r>
            <w:r>
              <w:rPr>
                <w:rFonts w:hint="eastAsia" w:ascii="Times" w:hAnsi="Times" w:eastAsia="等线"/>
                <w:sz w:val="20"/>
                <w:lang w:val="en-GB"/>
              </w:rPr>
              <w:t xml:space="preserve">following </w:t>
            </w:r>
            <w:r>
              <w:rPr>
                <w:rFonts w:ascii="Times" w:hAnsi="Times" w:eastAsia="等线"/>
                <w:sz w:val="20"/>
              </w:rPr>
              <w:t>options 1/2/3/4</w:t>
            </w:r>
            <w:r>
              <w:rPr>
                <w:rFonts w:hint="eastAsia" w:ascii="Times" w:hAnsi="Times" w:eastAsia="等线"/>
                <w:sz w:val="20"/>
              </w:rPr>
              <w:t>/5</w:t>
            </w:r>
            <w:r>
              <w:rPr>
                <w:rFonts w:ascii="Times" w:hAnsi="Times" w:eastAsia="等线"/>
                <w:sz w:val="20"/>
              </w:rPr>
              <w:t xml:space="preserve"> </w:t>
            </w:r>
            <w:r>
              <w:rPr>
                <w:rFonts w:ascii="Times" w:hAnsi="Times" w:eastAsia="等线"/>
                <w:sz w:val="20"/>
                <w:lang w:val="en-GB"/>
              </w:rPr>
              <w:t>are considered from RAN1 understanding</w:t>
            </w:r>
            <w:r>
              <w:rPr>
                <w:rFonts w:ascii="Times" w:hAnsi="Times" w:eastAsia="等线"/>
                <w:sz w:val="20"/>
              </w:rPr>
              <w:t xml:space="preserve"> for studying</w:t>
            </w:r>
          </w:p>
          <w:p w14:paraId="57710F53">
            <w:pPr>
              <w:widowControl w:val="0"/>
              <w:autoSpaceDE w:val="0"/>
              <w:autoSpaceDN w:val="0"/>
              <w:adjustRightInd/>
              <w:snapToGrid/>
              <w:spacing w:after="0"/>
              <w:jc w:val="both"/>
              <w:rPr>
                <w:rFonts w:ascii="Times" w:hAnsi="Times" w:eastAsia="等线"/>
                <w:sz w:val="20"/>
              </w:rPr>
            </w:pPr>
            <w:r>
              <w:rPr>
                <w:rFonts w:ascii="Arial" w:hAnsi="Arial" w:eastAsia="等线" w:cs="Arial"/>
                <w:sz w:val="20"/>
                <w:szCs w:val="20"/>
                <w:lang w:eastAsia="en-US"/>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765BC65">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Option 5: Variance of Option 3 by assuming single FFT and 2 RF chain.</w:t>
            </w:r>
          </w:p>
          <w:p w14:paraId="04F92EFC">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FFS which aspects of the BB processor in option 3 and 4 should be separated/parallelled.</w:t>
            </w:r>
          </w:p>
          <w:p w14:paraId="668C272D">
            <w:pPr>
              <w:widowControl w:val="0"/>
              <w:numPr>
                <w:ilvl w:val="1"/>
                <w:numId w:val="14"/>
              </w:numPr>
              <w:autoSpaceDE w:val="0"/>
              <w:autoSpaceDN w:val="0"/>
              <w:adjustRightInd/>
              <w:snapToGrid/>
              <w:spacing w:after="0" w:line="278" w:lineRule="auto"/>
              <w:jc w:val="both"/>
              <w:rPr>
                <w:rFonts w:ascii="Times" w:hAnsi="Times" w:eastAsia="等线"/>
                <w:sz w:val="20"/>
              </w:rPr>
            </w:pPr>
            <w:r>
              <w:rPr>
                <w:rFonts w:ascii="Times" w:hAnsi="Times" w:eastAsia="等线"/>
                <w:sz w:val="20"/>
              </w:rPr>
              <w:t xml:space="preserve">Note: DL and UL </w:t>
            </w:r>
            <w:r>
              <w:rPr>
                <w:rFonts w:hint="eastAsia" w:ascii="Times" w:hAnsi="Times" w:eastAsia="等线"/>
                <w:sz w:val="20"/>
              </w:rPr>
              <w:t>design options</w:t>
            </w:r>
            <w:r>
              <w:rPr>
                <w:rFonts w:ascii="Times" w:hAnsi="Times" w:eastAsia="等线"/>
                <w:sz w:val="20"/>
              </w:rPr>
              <w:t xml:space="preserve"> may be considered independently.</w:t>
            </w:r>
          </w:p>
          <w:p w14:paraId="29C7DAF1">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 xml:space="preserve">To provide </w:t>
            </w:r>
            <w:r>
              <w:rPr>
                <w:rFonts w:ascii="Times" w:hAnsi="Times" w:eastAsia="等线"/>
                <w:sz w:val="20"/>
              </w:rPr>
              <w:t xml:space="preserve">potential specification impact </w:t>
            </w:r>
            <w:r>
              <w:rPr>
                <w:rFonts w:hint="eastAsia" w:ascii="Times" w:hAnsi="Times" w:eastAsia="等线"/>
                <w:sz w:val="20"/>
              </w:rPr>
              <w:t>of</w:t>
            </w:r>
            <w:r>
              <w:rPr>
                <w:rFonts w:ascii="Times" w:hAnsi="Times" w:eastAsia="等线"/>
                <w:sz w:val="20"/>
              </w:rPr>
              <w:t xml:space="preserve"> each option.</w:t>
            </w:r>
          </w:p>
          <w:p w14:paraId="7327111C">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T</w:t>
            </w:r>
            <w:r>
              <w:rPr>
                <w:rFonts w:ascii="Times" w:hAnsi="Times" w:eastAsia="等线"/>
                <w:sz w:val="20"/>
              </w:rPr>
              <w:t>o provide investigations on performance/energy efficiency/cost/complexity for the above options.</w:t>
            </w:r>
          </w:p>
          <w:p w14:paraId="3CC85CE7">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Inform</w:t>
            </w:r>
            <w:r>
              <w:rPr>
                <w:rFonts w:ascii="Times" w:hAnsi="Times" w:eastAsia="等线"/>
                <w:sz w:val="20"/>
              </w:rPr>
              <w:t xml:space="preserve"> RAN4 about the above information.</w:t>
            </w:r>
            <w:r>
              <w:rPr>
                <w:rFonts w:hint="eastAsia" w:ascii="Times" w:hAnsi="Times" w:eastAsia="等线"/>
                <w:sz w:val="20"/>
              </w:rPr>
              <w:t xml:space="preserve"> </w:t>
            </w:r>
          </w:p>
          <w:p w14:paraId="6DA0DBF6">
            <w:pPr>
              <w:widowControl w:val="0"/>
              <w:autoSpaceDE w:val="0"/>
              <w:autoSpaceDN w:val="0"/>
              <w:adjustRightInd/>
              <w:snapToGrid/>
              <w:spacing w:after="0"/>
              <w:jc w:val="both"/>
              <w:rPr>
                <w:rFonts w:ascii="Times" w:hAnsi="Times" w:eastAsia="等线"/>
                <w:sz w:val="20"/>
              </w:rPr>
            </w:pPr>
          </w:p>
          <w:p w14:paraId="4F236899">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1C7095B8">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 xml:space="preserve">Draft LS </w:t>
            </w:r>
            <w:r>
              <w:rPr>
                <w:rFonts w:ascii="Times" w:hAnsi="Times" w:eastAsia="等线"/>
                <w:sz w:val="20"/>
                <w:lang w:val="en-GB"/>
              </w:rPr>
              <w:t>R1-2509577</w:t>
            </w:r>
            <w:r>
              <w:rPr>
                <w:rFonts w:hint="eastAsia" w:ascii="Times" w:hAnsi="Times" w:eastAsia="等线"/>
                <w:sz w:val="20"/>
                <w:lang w:val="en-GB"/>
              </w:rPr>
              <w:t xml:space="preserve"> is endorsed in principle</w:t>
            </w:r>
          </w:p>
          <w:p w14:paraId="262C690B">
            <w:pPr>
              <w:widowControl w:val="0"/>
              <w:autoSpaceDE w:val="0"/>
              <w:autoSpaceDN w:val="0"/>
              <w:adjustRightInd/>
              <w:snapToGrid/>
              <w:spacing w:after="0"/>
              <w:jc w:val="both"/>
              <w:rPr>
                <w:rFonts w:ascii="Times" w:hAnsi="Times" w:eastAsia="等线"/>
                <w:sz w:val="20"/>
                <w:lang w:val="en-GB"/>
              </w:rPr>
            </w:pPr>
          </w:p>
          <w:p w14:paraId="10C6A37D">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highlight w:val="green"/>
                <w:lang w:val="en-GB"/>
              </w:rPr>
              <w:t>Agreement</w:t>
            </w:r>
            <w:r>
              <w:rPr>
                <w:rFonts w:ascii="Times" w:hAnsi="Times" w:eastAsia="等线"/>
                <w:sz w:val="20"/>
                <w:highlight w:val="green"/>
              </w:rPr>
              <w:t xml:space="preserve"> (RAN1#123)</w:t>
            </w:r>
          </w:p>
          <w:p w14:paraId="2F7AB9BE">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Final LS R1-2509578 is endorsed.</w:t>
            </w:r>
          </w:p>
          <w:p w14:paraId="123484DE">
            <w:pPr>
              <w:widowControl w:val="0"/>
              <w:autoSpaceDE w:val="0"/>
              <w:autoSpaceDN w:val="0"/>
              <w:adjustRightInd/>
              <w:snapToGrid/>
              <w:spacing w:after="0"/>
              <w:jc w:val="both"/>
              <w:rPr>
                <w:rFonts w:ascii="Times" w:hAnsi="Times" w:eastAsia="等线"/>
                <w:sz w:val="20"/>
                <w:lang w:val="en-GB"/>
              </w:rPr>
            </w:pPr>
          </w:p>
          <w:p w14:paraId="03DA0022">
            <w:pPr>
              <w:widowControl w:val="0"/>
              <w:autoSpaceDE w:val="0"/>
              <w:autoSpaceDN w:val="0"/>
              <w:adjustRightInd/>
              <w:snapToGrid/>
              <w:spacing w:after="0"/>
              <w:jc w:val="both"/>
              <w:rPr>
                <w:rFonts w:ascii="Times" w:hAnsi="Times" w:eastAsia="等线"/>
                <w:sz w:val="20"/>
                <w:lang w:val="en-GB"/>
              </w:rPr>
            </w:pPr>
            <w:r>
              <w:rPr>
                <w:rFonts w:ascii="Times" w:hAnsi="Times" w:eastAsia="等线"/>
                <w:sz w:val="20"/>
                <w:lang w:val="en-GB"/>
              </w:rPr>
              <w:t xml:space="preserve">RAN4 </w:t>
            </w:r>
            <w:r>
              <w:rPr>
                <w:rFonts w:hint="eastAsia" w:ascii="Times" w:hAnsi="Times" w:eastAsia="等线"/>
                <w:sz w:val="20"/>
                <w:lang w:val="en-GB"/>
              </w:rPr>
              <w:t>A</w:t>
            </w:r>
            <w:r>
              <w:rPr>
                <w:rFonts w:ascii="Times" w:hAnsi="Times" w:eastAsia="等线"/>
                <w:sz w:val="20"/>
                <w:lang w:val="en-GB"/>
              </w:rPr>
              <w:t>greements (RAN4#117, R4-2522450)</w:t>
            </w:r>
          </w:p>
          <w:tbl>
            <w:tblPr>
              <w:tblStyle w:val="38"/>
              <w:tblW w:w="18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gridCol w:w="9081"/>
            </w:tblGrid>
            <w:tr w14:paraId="35E5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81" w:type="dxa"/>
                </w:tcPr>
                <w:p w14:paraId="5D43D6C4">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DL max CBW:</w:t>
                  </w:r>
                </w:p>
                <w:p w14:paraId="0E9302CF">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Discuss the feasibility and necessity to support 400MHz either as single CC or CA for UE from RAN4 perspective</w:t>
                  </w:r>
                </w:p>
                <w:p w14:paraId="38DF7E5D">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17EAD6A7">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273980B0">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The spectrum availability. The target spectrum for this study includes ~7GHz, (any others?)</w:t>
                  </w:r>
                </w:p>
                <w:p w14:paraId="640AA65E">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Support of symmetric/asymmetric DL and UL max CBW, including, but not limited to, system efficiency.</w:t>
                  </w:r>
                </w:p>
                <w:p w14:paraId="079D5A77">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UL max CBW for ~7GHz:</w:t>
                  </w:r>
                </w:p>
                <w:p w14:paraId="3AA43370">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68846577">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3A3574AD">
                  <w:pPr>
                    <w:widowControl w:val="0"/>
                    <w:numPr>
                      <w:ilvl w:val="3"/>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FC9E0A6">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3E1653B7">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799655F0">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176BDCD0">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UL coverage</w:t>
                  </w:r>
                </w:p>
                <w:p w14:paraId="2002DE86">
                  <w:pPr>
                    <w:widowControl w:val="0"/>
                    <w:autoSpaceDE w:val="0"/>
                    <w:autoSpaceDN w:val="0"/>
                    <w:adjustRightInd/>
                    <w:snapToGrid/>
                    <w:spacing w:after="0"/>
                    <w:jc w:val="both"/>
                    <w:rPr>
                      <w:rFonts w:ascii="Times" w:hAnsi="Times" w:eastAsia="等线"/>
                      <w:sz w:val="20"/>
                      <w:lang w:val="en-GB"/>
                    </w:rPr>
                  </w:pPr>
                  <w:r>
                    <w:rPr>
                      <w:rFonts w:eastAsia="MS Mincho"/>
                      <w:iCs/>
                      <w:sz w:val="20"/>
                      <w:szCs w:val="20"/>
                      <w:lang w:val="en-GB" w:eastAsia="en-US"/>
                    </w:rPr>
                    <w:t>Other aspects are not precluded.</w:t>
                  </w:r>
                </w:p>
              </w:tc>
              <w:tc>
                <w:tcPr>
                  <w:tcW w:w="9081" w:type="dxa"/>
                </w:tcPr>
                <w:p w14:paraId="291F6EAF">
                  <w:pPr>
                    <w:widowControl w:val="0"/>
                    <w:autoSpaceDE w:val="0"/>
                    <w:autoSpaceDN w:val="0"/>
                    <w:adjustRightInd/>
                    <w:snapToGrid/>
                    <w:spacing w:after="0"/>
                    <w:jc w:val="both"/>
                    <w:rPr>
                      <w:rFonts w:ascii="Times" w:hAnsi="Times" w:eastAsia="等线"/>
                      <w:sz w:val="20"/>
                      <w:lang w:val="en-GB"/>
                    </w:rPr>
                  </w:pPr>
                </w:p>
              </w:tc>
            </w:tr>
          </w:tbl>
          <w:p w14:paraId="4F9A7784">
            <w:pPr>
              <w:widowControl w:val="0"/>
              <w:autoSpaceDE w:val="0"/>
              <w:autoSpaceDN w:val="0"/>
              <w:adjustRightInd/>
              <w:snapToGrid/>
              <w:spacing w:after="180"/>
              <w:jc w:val="both"/>
              <w:rPr>
                <w:rFonts w:ascii="Times" w:hAnsi="Times" w:eastAsia="等线"/>
                <w:sz w:val="20"/>
                <w:lang w:val="en-GB"/>
              </w:rPr>
            </w:pPr>
          </w:p>
        </w:tc>
      </w:tr>
    </w:tbl>
    <w:p w14:paraId="1FB538F0">
      <w:pPr>
        <w:rPr>
          <w:rFonts w:eastAsia="等线"/>
          <w:lang w:val="en-GB"/>
        </w:rPr>
      </w:pPr>
    </w:p>
    <w:p w14:paraId="06562489">
      <w:pPr>
        <w:rPr>
          <w:rFonts w:eastAsia="等线"/>
          <w:b/>
          <w:bCs/>
          <w:u w:val="single"/>
        </w:rPr>
      </w:pPr>
      <w:r>
        <w:rPr>
          <w:rFonts w:eastAsia="等线"/>
          <w:b/>
          <w:bCs/>
          <w:u w:val="single"/>
        </w:rPr>
        <w:t>Maximum bandwidth for FR2-1</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330B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31C44AFA">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527D1CEE">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24CBB493">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35DB2446">
            <w:pPr>
              <w:widowControl w:val="0"/>
              <w:numPr>
                <w:ilvl w:val="0"/>
                <w:numId w:val="15"/>
              </w:numPr>
              <w:autoSpaceDE w:val="0"/>
              <w:autoSpaceDN w:val="0"/>
              <w:adjustRightInd/>
              <w:snapToGrid/>
              <w:spacing w:after="0"/>
              <w:jc w:val="both"/>
              <w:rPr>
                <w:rFonts w:eastAsia="等线"/>
                <w:lang w:val="en-GB"/>
              </w:rPr>
            </w:pPr>
            <w:r>
              <w:rPr>
                <w:rFonts w:hint="eastAsia" w:ascii="Times" w:hAnsi="Times" w:eastAsia="等线"/>
                <w:sz w:val="20"/>
              </w:rPr>
              <w:t xml:space="preserve">FFS: </w:t>
            </w:r>
            <w:r>
              <w:rPr>
                <w:rFonts w:hint="eastAsia" w:ascii="Times" w:hAnsi="Times" w:eastAsia="等线"/>
                <w:sz w:val="20"/>
                <w:lang w:val="en-GB"/>
              </w:rPr>
              <w:t>800MHz</w:t>
            </w:r>
            <w:r>
              <w:rPr>
                <w:rFonts w:hint="eastAsia" w:ascii="Times" w:hAnsi="Times" w:eastAsia="等线"/>
                <w:sz w:val="20"/>
              </w:rPr>
              <w:t xml:space="preserve"> or 400MHz at UE side.</w:t>
            </w:r>
          </w:p>
        </w:tc>
      </w:tr>
    </w:tbl>
    <w:p w14:paraId="5758B0A9">
      <w:pPr>
        <w:rPr>
          <w:rFonts w:eastAsia="等线"/>
          <w:lang w:val="en-GB"/>
        </w:rPr>
      </w:pPr>
    </w:p>
    <w:p w14:paraId="007E2C99">
      <w:pPr>
        <w:pStyle w:val="4"/>
        <w:spacing w:after="120"/>
        <w:rPr>
          <w:rFonts w:eastAsia="等线"/>
        </w:rPr>
      </w:pPr>
      <w:r>
        <w:rPr>
          <w:rFonts w:hint="eastAsia" w:eastAsia="等线"/>
        </w:rPr>
        <w:t>Companies</w:t>
      </w:r>
      <w:r>
        <w:rPr>
          <w:rFonts w:eastAsia="等线"/>
        </w:rPr>
        <w:t>’</w:t>
      </w:r>
      <w:r>
        <w:rPr>
          <w:rFonts w:hint="eastAsia" w:eastAsia="等线"/>
        </w:rPr>
        <w:t xml:space="preserve"> views</w:t>
      </w:r>
    </w:p>
    <w:p w14:paraId="03819DF6">
      <w:pPr>
        <w:pStyle w:val="4"/>
        <w:spacing w:after="120"/>
        <w:rPr>
          <w:rFonts w:eastAsia="等线"/>
        </w:rPr>
      </w:pPr>
      <w:r>
        <w:rPr>
          <w:rFonts w:eastAsia="等线"/>
        </w:rPr>
        <w:t>Maximum bandwidth for around 7GHz</w:t>
      </w:r>
    </w:p>
    <w:p w14:paraId="1E959893">
      <w:pPr>
        <w:rPr>
          <w:rFonts w:eastAsia="等线"/>
          <w:szCs w:val="22"/>
          <w:lang w:val="en-GB"/>
        </w:rPr>
      </w:pPr>
      <w:r>
        <w:rPr>
          <w:rFonts w:hint="eastAsia" w:eastAsia="等线"/>
        </w:rPr>
        <w:t>In</w:t>
      </w:r>
      <w:r>
        <w:rPr>
          <w:rFonts w:eastAsia="等线"/>
        </w:rPr>
        <w:t xml:space="preserve"> </w:t>
      </w:r>
      <w:r>
        <w:rPr>
          <w:rFonts w:hint="eastAsia" w:eastAsia="等线"/>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6C0AF2D5">
      <w:pPr>
        <w:rPr>
          <w:rFonts w:eastAsia="等线"/>
          <w:szCs w:val="22"/>
          <w:lang w:val="en-GB"/>
        </w:rPr>
      </w:pPr>
      <w:r>
        <w:rPr>
          <w:rFonts w:hint="eastAsia" w:eastAsia="等线"/>
          <w:szCs w:val="22"/>
          <w:lang w:val="en-GB"/>
        </w:rPr>
        <w:t>C</w:t>
      </w:r>
      <w:r>
        <w:rPr>
          <w:rFonts w:eastAsia="等线"/>
          <w:szCs w:val="22"/>
          <w:lang w:val="en-GB"/>
        </w:rPr>
        <w:t xml:space="preserve">ompanies’ views are summarized below in the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6237"/>
      </w:tblGrid>
      <w:tr w14:paraId="7D10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7B12D577">
            <w:pPr>
              <w:widowControl w:val="0"/>
              <w:autoSpaceDE w:val="0"/>
              <w:autoSpaceDN w:val="0"/>
              <w:spacing w:after="0" w:line="278" w:lineRule="auto"/>
              <w:jc w:val="both"/>
              <w:rPr>
                <w:rFonts w:eastAsiaTheme="minorEastAsia"/>
                <w:szCs w:val="21"/>
                <w:lang w:val="en-GB"/>
              </w:rPr>
            </w:pPr>
          </w:p>
        </w:tc>
        <w:tc>
          <w:tcPr>
            <w:tcW w:w="6237" w:type="dxa"/>
            <w:vAlign w:val="center"/>
          </w:tcPr>
          <w:p w14:paraId="1C943709">
            <w:pPr>
              <w:widowControl w:val="0"/>
              <w:autoSpaceDE w:val="0"/>
              <w:autoSpaceDN w:val="0"/>
              <w:spacing w:after="0" w:line="278" w:lineRule="auto"/>
              <w:jc w:val="center"/>
              <w:rPr>
                <w:rFonts w:eastAsiaTheme="minorEastAsia"/>
                <w:b/>
                <w:szCs w:val="21"/>
              </w:rPr>
            </w:pPr>
            <w:r>
              <w:rPr>
                <w:rFonts w:eastAsiaTheme="minorEastAsia"/>
                <w:b/>
                <w:szCs w:val="21"/>
              </w:rPr>
              <w:t>Views from companies</w:t>
            </w:r>
          </w:p>
        </w:tc>
      </w:tr>
      <w:tr w14:paraId="5282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6C6A6C05">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49BEEF6E">
            <w:pPr>
              <w:widowControl w:val="0"/>
              <w:autoSpaceDE w:val="0"/>
              <w:autoSpaceDN w:val="0"/>
              <w:spacing w:after="0" w:line="278" w:lineRule="auto"/>
              <w:jc w:val="center"/>
              <w:rPr>
                <w:rFonts w:eastAsiaTheme="minorEastAsia"/>
                <w:b/>
                <w:szCs w:val="21"/>
              </w:rPr>
            </w:pPr>
            <w:r>
              <w:rPr>
                <w:rFonts w:eastAsiaTheme="minorEastAsia"/>
                <w:b/>
                <w:szCs w:val="21"/>
                <w:lang w:eastAsia="en-US"/>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CF4334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7F60800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szCs w:val="21"/>
              </w:rPr>
            </w:pPr>
            <w:r>
              <w:rPr>
                <w:rFonts w:eastAsiaTheme="minorEastAsia"/>
                <w:szCs w:val="21"/>
              </w:rPr>
              <w:t>400MHz single carrier/CC</w:t>
            </w:r>
          </w:p>
          <w:p w14:paraId="341CD786">
            <w:pPr>
              <w:pStyle w:val="63"/>
              <w:widowControl w:val="0"/>
              <w:autoSpaceDE w:val="0"/>
              <w:autoSpaceDN w:val="0"/>
              <w:adjustRightInd/>
              <w:snapToGrid/>
              <w:spacing w:after="0" w:line="278" w:lineRule="auto"/>
              <w:ind w:left="234"/>
              <w:contextualSpacing/>
              <w:jc w:val="both"/>
              <w:textAlignment w:val="baseline"/>
              <w:rPr>
                <w:szCs w:val="21"/>
              </w:rPr>
            </w:pPr>
          </w:p>
          <w:p w14:paraId="51850C1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782CC09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67E5479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power consumption for 400MHz PA and 400MHz BB</w:t>
            </w:r>
          </w:p>
          <w:p w14:paraId="61F7FA2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Challenge to support higher power class</w:t>
            </w:r>
          </w:p>
          <w:p w14:paraId="014511B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UE complexity compared with 2 BB processors</w:t>
            </w:r>
          </w:p>
          <w:p w14:paraId="51C4BDD8">
            <w:pPr>
              <w:widowControl w:val="0"/>
              <w:autoSpaceDE w:val="0"/>
              <w:autoSpaceDN w:val="0"/>
              <w:adjustRightInd/>
              <w:snapToGrid/>
              <w:spacing w:after="0" w:line="278" w:lineRule="auto"/>
              <w:contextualSpacing/>
              <w:jc w:val="both"/>
              <w:textAlignment w:val="baseline"/>
              <w:rPr>
                <w:rFonts w:eastAsiaTheme="minorEastAsia"/>
                <w:szCs w:val="21"/>
              </w:rPr>
            </w:pPr>
          </w:p>
          <w:p w14:paraId="03B3DBB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25FFDA8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Single SSB&amp;SIB1, single DCI</w:t>
            </w:r>
          </w:p>
          <w:p w14:paraId="636F8D5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98D243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6B2DF8B">
            <w:pPr>
              <w:widowControl w:val="0"/>
              <w:autoSpaceDE w:val="0"/>
              <w:autoSpaceDN w:val="0"/>
              <w:adjustRightInd/>
              <w:snapToGrid/>
              <w:spacing w:after="0" w:line="278" w:lineRule="auto"/>
              <w:contextualSpacing/>
              <w:jc w:val="both"/>
              <w:textAlignment w:val="baseline"/>
              <w:rPr>
                <w:rFonts w:eastAsiaTheme="minorEastAsia"/>
                <w:szCs w:val="21"/>
              </w:rPr>
            </w:pPr>
          </w:p>
          <w:p w14:paraId="5736AC9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6788EA0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Minimum spec impact</w:t>
            </w:r>
          </w:p>
          <w:p w14:paraId="0A88384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400MHz</w:t>
            </w:r>
          </w:p>
          <w:p w14:paraId="26E4258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400MHz</w:t>
            </w:r>
          </w:p>
          <w:p w14:paraId="197FAFAA">
            <w:pPr>
              <w:widowControl w:val="0"/>
              <w:autoSpaceDE w:val="0"/>
              <w:autoSpaceDN w:val="0"/>
              <w:adjustRightInd/>
              <w:snapToGrid/>
              <w:spacing w:after="0" w:line="278" w:lineRule="auto"/>
              <w:jc w:val="both"/>
              <w:rPr>
                <w:rFonts w:eastAsiaTheme="minorEastAsia"/>
                <w:szCs w:val="21"/>
              </w:rPr>
            </w:pPr>
          </w:p>
        </w:tc>
      </w:tr>
      <w:tr w14:paraId="5531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7FD2EFE9">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5A4AB54E">
            <w:pPr>
              <w:widowControl w:val="0"/>
              <w:autoSpaceDE w:val="0"/>
              <w:autoSpaceDN w:val="0"/>
              <w:spacing w:after="0" w:line="278" w:lineRule="auto"/>
              <w:jc w:val="center"/>
              <w:rPr>
                <w:rFonts w:eastAsiaTheme="minorEastAsia"/>
                <w:b/>
                <w:szCs w:val="21"/>
              </w:rPr>
            </w:pPr>
            <w:r>
              <w:rPr>
                <w:rFonts w:eastAsiaTheme="minorEastAsia"/>
                <w:b/>
                <w:szCs w:val="21"/>
                <w:lang w:eastAsia="en-US"/>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F1A4E5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2F3B8997">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eastAsiaTheme="minorEastAsia"/>
                <w:szCs w:val="21"/>
              </w:rPr>
              <w:t>400MHz single carrier/CC</w:t>
            </w:r>
          </w:p>
          <w:p w14:paraId="1A1A2B9E">
            <w:pPr>
              <w:pStyle w:val="63"/>
              <w:widowControl w:val="0"/>
              <w:autoSpaceDE w:val="0"/>
              <w:autoSpaceDN w:val="0"/>
              <w:adjustRightInd/>
              <w:snapToGrid/>
              <w:spacing w:after="0" w:line="278" w:lineRule="auto"/>
              <w:ind w:left="234"/>
              <w:contextualSpacing/>
              <w:jc w:val="both"/>
              <w:textAlignment w:val="baseline"/>
              <w:rPr>
                <w:szCs w:val="21"/>
              </w:rPr>
            </w:pPr>
          </w:p>
          <w:p w14:paraId="790803F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38E1EEF">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Extra UE complexity compared with 2 BB processors</w:t>
            </w:r>
          </w:p>
          <w:p w14:paraId="3E4593D0">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Power saving by turned off one RF</w:t>
            </w:r>
          </w:p>
          <w:p w14:paraId="0E445600">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6EA403C1">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25310770">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64F7252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Larger EVM and/or lost single-carrier properties for UL</w:t>
            </w:r>
          </w:p>
          <w:p w14:paraId="7858743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R</w:t>
            </w:r>
            <w:r>
              <w:rPr>
                <w:rFonts w:eastAsiaTheme="minorEastAsia"/>
                <w:szCs w:val="21"/>
              </w:rPr>
              <w:t>equire RAN4 study on t-f synchronization and other aspects</w:t>
            </w:r>
          </w:p>
          <w:p w14:paraId="746EA31D">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Phase discontinuity impact</w:t>
            </w:r>
          </w:p>
          <w:p w14:paraId="5374809A">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Single SSB&amp;SIB1, single DCI</w:t>
            </w:r>
          </w:p>
          <w:p w14:paraId="37767188">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55EE4339">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UE MIMO layer downgrade</w:t>
            </w:r>
          </w:p>
          <w:p w14:paraId="3095D33A">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Further discussion and evaluation required regarding whether a single TB or CB can across 200MHz boundary, due to separate RF/FFT</w:t>
            </w:r>
          </w:p>
          <w:p w14:paraId="7ED512A9">
            <w:pPr>
              <w:pStyle w:val="63"/>
              <w:widowControl w:val="0"/>
              <w:numPr>
                <w:ilvl w:val="0"/>
                <w:numId w:val="16"/>
              </w:numPr>
              <w:autoSpaceDE w:val="0"/>
              <w:autoSpaceDN w:val="0"/>
              <w:adjustRightInd/>
              <w:snapToGrid/>
              <w:spacing w:after="0"/>
              <w:jc w:val="both"/>
            </w:pPr>
            <w:r>
              <w:t>Frequency gap may be needed between two frequency parts</w:t>
            </w:r>
          </w:p>
          <w:p w14:paraId="4F39DF3F">
            <w:pPr>
              <w:widowControl w:val="0"/>
              <w:autoSpaceDE w:val="0"/>
              <w:autoSpaceDN w:val="0"/>
              <w:adjustRightInd/>
              <w:snapToGrid/>
              <w:spacing w:after="0" w:line="278" w:lineRule="auto"/>
              <w:contextualSpacing/>
              <w:jc w:val="both"/>
              <w:textAlignment w:val="baseline"/>
              <w:rPr>
                <w:rFonts w:eastAsiaTheme="minorEastAsia"/>
                <w:szCs w:val="21"/>
              </w:rPr>
            </w:pPr>
          </w:p>
          <w:p w14:paraId="7A36457B">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0F147879">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Maximum bandwidth of single carrier is 400MHz</w:t>
            </w:r>
          </w:p>
          <w:p w14:paraId="1F5E65F1">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p w14:paraId="037999EF">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Potential spec impact on the stitching point signaling and MIMO transmission rank for UL</w:t>
            </w:r>
          </w:p>
          <w:p w14:paraId="6B130EF5">
            <w:pPr>
              <w:widowControl w:val="0"/>
              <w:autoSpaceDE w:val="0"/>
              <w:autoSpaceDN w:val="0"/>
              <w:adjustRightInd/>
              <w:snapToGrid/>
              <w:spacing w:after="0" w:line="278" w:lineRule="auto"/>
              <w:jc w:val="both"/>
              <w:rPr>
                <w:rFonts w:eastAsiaTheme="minorEastAsia"/>
                <w:szCs w:val="21"/>
              </w:rPr>
            </w:pPr>
          </w:p>
        </w:tc>
      </w:tr>
      <w:tr w14:paraId="5922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70FF2E6B">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08A4A620">
            <w:pPr>
              <w:widowControl w:val="0"/>
              <w:autoSpaceDE w:val="0"/>
              <w:autoSpaceDN w:val="0"/>
              <w:spacing w:after="0" w:line="278" w:lineRule="auto"/>
              <w:jc w:val="center"/>
              <w:rPr>
                <w:rFonts w:eastAsiaTheme="minorEastAsia"/>
                <w:b/>
                <w:szCs w:val="21"/>
              </w:rPr>
            </w:pPr>
            <w:r>
              <w:rPr>
                <w:rFonts w:eastAsiaTheme="minorEastAsia"/>
                <w:b/>
                <w:szCs w:val="21"/>
                <w:lang w:eastAsia="en-US"/>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F85D8C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 xml:space="preserve">peration </w:t>
            </w:r>
            <w:r>
              <w:rPr>
                <w:rFonts w:hint="eastAsia" w:eastAsiaTheme="minorEastAsia"/>
                <w:b/>
                <w:bCs/>
                <w:szCs w:val="21"/>
              </w:rPr>
              <w:t>A</w:t>
            </w:r>
            <w:r>
              <w:rPr>
                <w:rFonts w:eastAsiaTheme="minorEastAsia"/>
                <w:b/>
                <w:bCs/>
                <w:szCs w:val="21"/>
              </w:rPr>
              <w:t>lt 1</w:t>
            </w:r>
          </w:p>
          <w:p w14:paraId="3CDA9BF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299D4F3C">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12F56CB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6C59747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3ED6B37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 and one RF</w:t>
            </w:r>
          </w:p>
          <w:p w14:paraId="4DB04807">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7EC8264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5F718E0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2262250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2A32E41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MIMO layer downgrade or smaller BW</w:t>
            </w:r>
          </w:p>
          <w:p w14:paraId="7D64434D">
            <w:pPr>
              <w:pStyle w:val="63"/>
              <w:widowControl w:val="0"/>
              <w:numPr>
                <w:ilvl w:val="0"/>
                <w:numId w:val="16"/>
              </w:numPr>
              <w:autoSpaceDE w:val="0"/>
              <w:autoSpaceDN w:val="0"/>
              <w:adjustRightInd/>
              <w:snapToGrid/>
              <w:spacing w:after="0" w:line="278" w:lineRule="auto"/>
              <w:ind w:left="234" w:hanging="234"/>
              <w:contextualSpacing/>
              <w:jc w:val="both"/>
              <w:textAlignment w:val="baseline"/>
            </w:pPr>
            <w:r>
              <w:t>Frequency gap may be needed between two frequency parts</w:t>
            </w:r>
          </w:p>
          <w:p w14:paraId="0A76ED18">
            <w:pPr>
              <w:widowControl w:val="0"/>
              <w:autoSpaceDE w:val="0"/>
              <w:autoSpaceDN w:val="0"/>
              <w:adjustRightInd/>
              <w:snapToGrid/>
              <w:spacing w:after="0" w:line="278" w:lineRule="auto"/>
              <w:contextualSpacing/>
              <w:jc w:val="both"/>
              <w:textAlignment w:val="baseline"/>
              <w:rPr>
                <w:rFonts w:eastAsiaTheme="minorEastAsia"/>
                <w:szCs w:val="21"/>
              </w:rPr>
            </w:pPr>
          </w:p>
          <w:p w14:paraId="0F72589C">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30BE169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07746D8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1899A384">
            <w:pPr>
              <w:widowControl w:val="0"/>
              <w:autoSpaceDE w:val="0"/>
              <w:autoSpaceDN w:val="0"/>
              <w:adjustRightInd/>
              <w:snapToGrid/>
              <w:spacing w:after="0" w:line="278" w:lineRule="auto"/>
              <w:jc w:val="both"/>
              <w:rPr>
                <w:rFonts w:eastAsiaTheme="minorEastAsia"/>
                <w:szCs w:val="21"/>
              </w:rPr>
            </w:pPr>
          </w:p>
        </w:tc>
      </w:tr>
      <w:tr w14:paraId="0DA3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23747404">
            <w:pPr>
              <w:widowControl w:val="0"/>
              <w:autoSpaceDE w:val="0"/>
              <w:autoSpaceDN w:val="0"/>
              <w:spacing w:after="0" w:line="278" w:lineRule="auto"/>
              <w:jc w:val="center"/>
              <w:rPr>
                <w:rFonts w:eastAsiaTheme="minorEastAsia"/>
                <w:b/>
                <w:szCs w:val="21"/>
              </w:rPr>
            </w:pPr>
          </w:p>
        </w:tc>
        <w:tc>
          <w:tcPr>
            <w:tcW w:w="6237" w:type="dxa"/>
            <w:vAlign w:val="center"/>
          </w:tcPr>
          <w:p w14:paraId="4593702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 Alt 2</w:t>
            </w:r>
          </w:p>
          <w:p w14:paraId="44436D6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9C9CAD5">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7D773E3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629AD95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698FAC5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7D3CDD0">
            <w:pPr>
              <w:widowControl w:val="0"/>
              <w:autoSpaceDE w:val="0"/>
              <w:autoSpaceDN w:val="0"/>
              <w:adjustRightInd/>
              <w:snapToGrid/>
              <w:spacing w:after="0" w:line="278" w:lineRule="auto"/>
              <w:contextualSpacing/>
              <w:jc w:val="both"/>
              <w:textAlignment w:val="baseline"/>
              <w:rPr>
                <w:rFonts w:eastAsiaTheme="minorEastAsia"/>
                <w:b/>
                <w:bCs/>
                <w:szCs w:val="21"/>
              </w:rPr>
            </w:pPr>
          </w:p>
          <w:p w14:paraId="238B8B9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3B76F054">
            <w:pPr>
              <w:widowControl w:val="0"/>
              <w:autoSpaceDE w:val="0"/>
              <w:autoSpaceDN w:val="0"/>
              <w:adjustRightInd/>
              <w:snapToGrid/>
              <w:spacing w:after="0" w:line="278" w:lineRule="auto"/>
              <w:contextualSpacing/>
              <w:jc w:val="both"/>
              <w:textAlignment w:val="baseline"/>
              <w:rPr>
                <w:rFonts w:eastAsiaTheme="minorEastAsia"/>
                <w:b/>
                <w:bCs/>
                <w:szCs w:val="21"/>
              </w:rPr>
            </w:pPr>
          </w:p>
          <w:p w14:paraId="5CEEA380">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A034F4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7C0602BA">
            <w:pPr>
              <w:widowControl w:val="0"/>
              <w:autoSpaceDE w:val="0"/>
              <w:autoSpaceDN w:val="0"/>
              <w:adjustRightInd/>
              <w:snapToGrid/>
              <w:spacing w:after="0" w:line="278" w:lineRule="auto"/>
              <w:jc w:val="both"/>
              <w:rPr>
                <w:rFonts w:eastAsiaTheme="minorEastAsia"/>
                <w:b/>
                <w:bCs/>
                <w:szCs w:val="21"/>
              </w:rPr>
            </w:pPr>
          </w:p>
        </w:tc>
      </w:tr>
      <w:tr w14:paraId="0C09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58ED2BA3">
            <w:pPr>
              <w:widowControl w:val="0"/>
              <w:autoSpaceDE w:val="0"/>
              <w:autoSpaceDN w:val="0"/>
              <w:spacing w:after="0" w:line="278" w:lineRule="auto"/>
              <w:jc w:val="center"/>
              <w:rPr>
                <w:rFonts w:eastAsiaTheme="minorEastAsia"/>
                <w:b/>
                <w:szCs w:val="21"/>
              </w:rPr>
            </w:pPr>
          </w:p>
        </w:tc>
        <w:tc>
          <w:tcPr>
            <w:tcW w:w="6237" w:type="dxa"/>
            <w:vAlign w:val="center"/>
          </w:tcPr>
          <w:p w14:paraId="1DAFF711">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02A5FB6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CC with a modified BB partitioning enabling e.g. single wideband PUSCH/PDSCH</w:t>
            </w:r>
          </w:p>
          <w:p w14:paraId="34AA690C">
            <w:pPr>
              <w:widowControl w:val="0"/>
              <w:autoSpaceDE w:val="0"/>
              <w:autoSpaceDN w:val="0"/>
              <w:adjustRightInd/>
              <w:snapToGrid/>
              <w:spacing w:after="0" w:line="278" w:lineRule="auto"/>
              <w:contextualSpacing/>
              <w:jc w:val="both"/>
              <w:textAlignment w:val="baseline"/>
              <w:rPr>
                <w:rFonts w:eastAsiaTheme="minorEastAsia"/>
                <w:b/>
                <w:bCs/>
                <w:szCs w:val="21"/>
              </w:rPr>
            </w:pPr>
          </w:p>
          <w:p w14:paraId="088CC7E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1BDDD1E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宋体"/>
                <w:lang w:bidi="ar"/>
              </w:rPr>
              <w:t>New data mapping to REs method</w:t>
            </w:r>
          </w:p>
          <w:p w14:paraId="27CA0407">
            <w:pPr>
              <w:widowControl w:val="0"/>
              <w:autoSpaceDE w:val="0"/>
              <w:autoSpaceDN w:val="0"/>
              <w:adjustRightInd/>
              <w:snapToGrid/>
              <w:spacing w:after="0" w:line="278" w:lineRule="auto"/>
              <w:contextualSpacing/>
              <w:jc w:val="both"/>
              <w:textAlignment w:val="baseline"/>
              <w:rPr>
                <w:rFonts w:eastAsiaTheme="minorEastAsia"/>
                <w:b/>
                <w:bCs/>
                <w:szCs w:val="21"/>
              </w:rPr>
            </w:pPr>
          </w:p>
        </w:tc>
      </w:tr>
      <w:tr w14:paraId="7604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59C6E259">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3DE64D9E">
            <w:pPr>
              <w:widowControl w:val="0"/>
              <w:autoSpaceDE w:val="0"/>
              <w:autoSpaceDN w:val="0"/>
              <w:spacing w:after="0" w:line="278" w:lineRule="auto"/>
              <w:jc w:val="center"/>
              <w:rPr>
                <w:rFonts w:eastAsiaTheme="minorEastAsia"/>
                <w:b/>
                <w:szCs w:val="21"/>
              </w:rPr>
            </w:pPr>
            <w:r>
              <w:rPr>
                <w:rFonts w:eastAsiaTheme="minorEastAsia"/>
                <w:b/>
                <w:szCs w:val="21"/>
                <w:lang w:eastAsia="en-US"/>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73C85B5">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1</w:t>
            </w:r>
          </w:p>
          <w:p w14:paraId="77E24C6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3F9977CA">
            <w:pPr>
              <w:widowControl w:val="0"/>
              <w:autoSpaceDE w:val="0"/>
              <w:autoSpaceDN w:val="0"/>
              <w:adjustRightInd/>
              <w:snapToGrid/>
              <w:spacing w:after="0" w:line="278" w:lineRule="auto"/>
              <w:contextualSpacing/>
              <w:jc w:val="both"/>
              <w:textAlignment w:val="baseline"/>
              <w:rPr>
                <w:rFonts w:eastAsiaTheme="minorEastAsia"/>
                <w:szCs w:val="21"/>
              </w:rPr>
            </w:pPr>
          </w:p>
          <w:p w14:paraId="7D9543BD">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6254B52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66B7619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242749A0">
            <w:pPr>
              <w:widowControl w:val="0"/>
              <w:autoSpaceDE w:val="0"/>
              <w:autoSpaceDN w:val="0"/>
              <w:adjustRightInd/>
              <w:snapToGrid/>
              <w:spacing w:after="0" w:line="278" w:lineRule="auto"/>
              <w:jc w:val="both"/>
              <w:rPr>
                <w:rFonts w:eastAsiaTheme="minorEastAsia"/>
                <w:i/>
                <w:iCs/>
                <w:color w:val="C00000"/>
                <w:szCs w:val="21"/>
              </w:rPr>
            </w:pPr>
          </w:p>
          <w:p w14:paraId="1240575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962903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544A83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15F60BF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 xml:space="preserve">UE MIMO layer downgrade or smaller BW </w:t>
            </w:r>
          </w:p>
          <w:p w14:paraId="1B35CF3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7A5BF5BA">
            <w:pPr>
              <w:widowControl w:val="0"/>
              <w:autoSpaceDE w:val="0"/>
              <w:autoSpaceDN w:val="0"/>
              <w:adjustRightInd/>
              <w:snapToGrid/>
              <w:spacing w:after="0" w:line="278" w:lineRule="auto"/>
              <w:jc w:val="both"/>
              <w:rPr>
                <w:rFonts w:eastAsiaTheme="minorEastAsia"/>
                <w:i/>
                <w:iCs/>
                <w:color w:val="C00000"/>
                <w:szCs w:val="21"/>
              </w:rPr>
            </w:pPr>
          </w:p>
          <w:p w14:paraId="34EEE4F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BD2D66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7279401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309C44B7">
            <w:pPr>
              <w:widowControl w:val="0"/>
              <w:autoSpaceDE w:val="0"/>
              <w:autoSpaceDN w:val="0"/>
              <w:adjustRightInd/>
              <w:snapToGrid/>
              <w:spacing w:after="0" w:line="278" w:lineRule="auto"/>
              <w:jc w:val="both"/>
              <w:rPr>
                <w:rFonts w:eastAsiaTheme="minorEastAsia"/>
                <w:szCs w:val="21"/>
              </w:rPr>
            </w:pPr>
          </w:p>
        </w:tc>
      </w:tr>
      <w:tr w14:paraId="1C60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3529CE50">
            <w:pPr>
              <w:widowControl w:val="0"/>
              <w:autoSpaceDE w:val="0"/>
              <w:autoSpaceDN w:val="0"/>
              <w:spacing w:after="0" w:line="278" w:lineRule="auto"/>
              <w:jc w:val="center"/>
              <w:rPr>
                <w:rFonts w:eastAsiaTheme="minorEastAsia"/>
                <w:b/>
                <w:szCs w:val="21"/>
              </w:rPr>
            </w:pPr>
          </w:p>
        </w:tc>
        <w:tc>
          <w:tcPr>
            <w:tcW w:w="6237" w:type="dxa"/>
            <w:vAlign w:val="center"/>
          </w:tcPr>
          <w:p w14:paraId="1FDC9108">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2</w:t>
            </w:r>
          </w:p>
          <w:p w14:paraId="6BB49BB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AC5F9EC">
            <w:pPr>
              <w:widowControl w:val="0"/>
              <w:autoSpaceDE w:val="0"/>
              <w:autoSpaceDN w:val="0"/>
              <w:adjustRightInd/>
              <w:snapToGrid/>
              <w:spacing w:after="0" w:line="278" w:lineRule="auto"/>
              <w:contextualSpacing/>
              <w:jc w:val="both"/>
              <w:textAlignment w:val="baseline"/>
              <w:rPr>
                <w:rFonts w:eastAsiaTheme="minorEastAsia"/>
                <w:szCs w:val="21"/>
              </w:rPr>
            </w:pPr>
          </w:p>
          <w:p w14:paraId="681188C1">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03B852E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Stringent requirements on the UE's hardware</w:t>
            </w:r>
          </w:p>
          <w:p w14:paraId="5150DB8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2603B18D">
            <w:pPr>
              <w:widowControl w:val="0"/>
              <w:autoSpaceDE w:val="0"/>
              <w:autoSpaceDN w:val="0"/>
              <w:adjustRightInd/>
              <w:snapToGrid/>
              <w:spacing w:after="0" w:line="278" w:lineRule="auto"/>
              <w:jc w:val="both"/>
              <w:rPr>
                <w:rFonts w:eastAsiaTheme="minorEastAsia"/>
                <w:i/>
                <w:iCs/>
                <w:color w:val="C00000"/>
                <w:szCs w:val="21"/>
              </w:rPr>
            </w:pPr>
          </w:p>
          <w:p w14:paraId="76BF355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206DBFD1">
            <w:pPr>
              <w:widowControl w:val="0"/>
              <w:autoSpaceDE w:val="0"/>
              <w:autoSpaceDN w:val="0"/>
              <w:adjustRightInd/>
              <w:snapToGrid/>
              <w:spacing w:after="0" w:line="278" w:lineRule="auto"/>
              <w:jc w:val="both"/>
              <w:rPr>
                <w:rFonts w:eastAsiaTheme="minorEastAsia"/>
                <w:i/>
                <w:iCs/>
                <w:color w:val="C00000"/>
                <w:szCs w:val="21"/>
              </w:rPr>
            </w:pPr>
          </w:p>
          <w:p w14:paraId="2D6488C6">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04DFD13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196A4184">
            <w:pPr>
              <w:widowControl w:val="0"/>
              <w:autoSpaceDE w:val="0"/>
              <w:autoSpaceDN w:val="0"/>
              <w:adjustRightInd/>
              <w:snapToGrid/>
              <w:spacing w:after="0" w:line="278" w:lineRule="auto"/>
              <w:jc w:val="both"/>
              <w:rPr>
                <w:rFonts w:eastAsiaTheme="minorEastAsia"/>
                <w:b/>
                <w:bCs/>
                <w:szCs w:val="21"/>
              </w:rPr>
            </w:pPr>
          </w:p>
        </w:tc>
      </w:tr>
      <w:tr w14:paraId="22E9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2D1A6B32">
            <w:pPr>
              <w:widowControl w:val="0"/>
              <w:autoSpaceDE w:val="0"/>
              <w:autoSpaceDN w:val="0"/>
              <w:spacing w:after="0" w:line="278" w:lineRule="auto"/>
              <w:jc w:val="center"/>
              <w:rPr>
                <w:rFonts w:eastAsiaTheme="minorEastAsia"/>
                <w:b/>
                <w:szCs w:val="21"/>
              </w:rPr>
            </w:pPr>
          </w:p>
        </w:tc>
        <w:tc>
          <w:tcPr>
            <w:tcW w:w="6237" w:type="dxa"/>
            <w:vAlign w:val="center"/>
          </w:tcPr>
          <w:p w14:paraId="698F27F1">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33FC2D0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carrier/CC with a modified BB partitioning enabling e.g. single wideband PUSCH/PDSCH</w:t>
            </w:r>
          </w:p>
          <w:p w14:paraId="6C5855A2">
            <w:pPr>
              <w:widowControl w:val="0"/>
              <w:autoSpaceDE w:val="0"/>
              <w:autoSpaceDN w:val="0"/>
              <w:adjustRightInd/>
              <w:snapToGrid/>
              <w:spacing w:after="0" w:line="278" w:lineRule="auto"/>
              <w:contextualSpacing/>
              <w:jc w:val="both"/>
              <w:textAlignment w:val="baseline"/>
              <w:rPr>
                <w:rFonts w:eastAsiaTheme="minorEastAsia"/>
                <w:szCs w:val="21"/>
              </w:rPr>
            </w:pPr>
          </w:p>
          <w:p w14:paraId="13DA1DDE">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31B8846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0EBCF49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0200C23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72268A25">
            <w:pPr>
              <w:widowControl w:val="0"/>
              <w:autoSpaceDE w:val="0"/>
              <w:autoSpaceDN w:val="0"/>
              <w:adjustRightInd/>
              <w:snapToGrid/>
              <w:spacing w:after="0" w:line="278" w:lineRule="auto"/>
              <w:jc w:val="both"/>
              <w:rPr>
                <w:rFonts w:eastAsiaTheme="minorEastAsia"/>
                <w:i/>
                <w:iCs/>
                <w:color w:val="C00000"/>
                <w:szCs w:val="21"/>
              </w:rPr>
            </w:pPr>
          </w:p>
          <w:p w14:paraId="4B8E9E10">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39529684">
            <w:pPr>
              <w:widowControl w:val="0"/>
              <w:autoSpaceDE w:val="0"/>
              <w:autoSpaceDN w:val="0"/>
              <w:adjustRightInd/>
              <w:snapToGrid/>
              <w:spacing w:after="0" w:line="278" w:lineRule="auto"/>
              <w:jc w:val="both"/>
              <w:rPr>
                <w:rFonts w:eastAsiaTheme="minorEastAsia"/>
                <w:i/>
                <w:iCs/>
                <w:color w:val="C00000"/>
                <w:szCs w:val="21"/>
              </w:rPr>
            </w:pPr>
          </w:p>
          <w:p w14:paraId="3065237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330E5A1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48A2A6E7">
            <w:pPr>
              <w:widowControl w:val="0"/>
              <w:autoSpaceDE w:val="0"/>
              <w:autoSpaceDN w:val="0"/>
              <w:adjustRightInd/>
              <w:snapToGrid/>
              <w:spacing w:after="0" w:line="278" w:lineRule="auto"/>
              <w:jc w:val="both"/>
              <w:rPr>
                <w:rFonts w:eastAsiaTheme="minorEastAsia"/>
                <w:b/>
                <w:bCs/>
                <w:szCs w:val="21"/>
              </w:rPr>
            </w:pPr>
          </w:p>
        </w:tc>
      </w:tr>
      <w:tr w14:paraId="6B1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7E572981">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70E0465A">
            <w:pPr>
              <w:widowControl w:val="0"/>
              <w:autoSpaceDE w:val="0"/>
              <w:autoSpaceDN w:val="0"/>
              <w:spacing w:after="0" w:line="278" w:lineRule="auto"/>
              <w:jc w:val="center"/>
              <w:rPr>
                <w:rFonts w:eastAsiaTheme="minorEastAsia"/>
                <w:b/>
                <w:szCs w:val="21"/>
              </w:rPr>
            </w:pPr>
            <w:r>
              <w:rPr>
                <w:rFonts w:eastAsiaTheme="minorEastAsia"/>
                <w:b/>
                <w:szCs w:val="21"/>
                <w:lang w:eastAsia="en-US"/>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66F7DAB6">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ame as Option 3</w:t>
            </w:r>
          </w:p>
          <w:p w14:paraId="4D8E673C">
            <w:pPr>
              <w:widowControl w:val="0"/>
              <w:autoSpaceDE w:val="0"/>
              <w:autoSpaceDN w:val="0"/>
              <w:adjustRightInd/>
              <w:snapToGrid/>
              <w:spacing w:after="0" w:line="278" w:lineRule="auto"/>
              <w:contextualSpacing/>
              <w:jc w:val="both"/>
              <w:textAlignment w:val="baseline"/>
              <w:rPr>
                <w:rFonts w:eastAsiaTheme="minorEastAsia"/>
                <w:b/>
                <w:bCs/>
                <w:szCs w:val="21"/>
              </w:rPr>
            </w:pPr>
          </w:p>
        </w:tc>
      </w:tr>
    </w:tbl>
    <w:p w14:paraId="11FD4030">
      <w:pPr>
        <w:rPr>
          <w:rFonts w:eastAsia="等线"/>
        </w:rPr>
      </w:pPr>
    </w:p>
    <w:p w14:paraId="3B94370C">
      <w:pPr>
        <w:jc w:val="both"/>
        <w:rPr>
          <w:rFonts w:eastAsia="等线"/>
        </w:rPr>
      </w:pPr>
      <w:r>
        <w:rPr>
          <w:rFonts w:hint="eastAsia" w:eastAsia="等线"/>
        </w:rPr>
        <w:t>I</w:t>
      </w:r>
      <w:r>
        <w:rPr>
          <w:rFonts w:eastAsia="等线"/>
        </w:rPr>
        <w:t>n addition, several companies proposed to support only one option to reduce specification and operational complexity.</w:t>
      </w:r>
    </w:p>
    <w:p w14:paraId="40109762">
      <w:pPr>
        <w:rPr>
          <w:rFonts w:eastAsia="等线"/>
        </w:rPr>
      </w:pPr>
    </w:p>
    <w:p w14:paraId="18156BBD">
      <w:pPr>
        <w:pStyle w:val="4"/>
        <w:spacing w:after="120"/>
        <w:rPr>
          <w:rFonts w:eastAsia="等线"/>
        </w:rPr>
      </w:pPr>
      <w:r>
        <w:rPr>
          <w:rFonts w:eastAsia="等线"/>
        </w:rPr>
        <w:t>Maximum bandwidth for FR2-1</w:t>
      </w:r>
    </w:p>
    <w:p w14:paraId="08D2F1E1">
      <w:pPr>
        <w:rPr>
          <w:rFonts w:eastAsia="等线"/>
        </w:rPr>
      </w:pPr>
      <w:r>
        <w:rPr>
          <w:rFonts w:eastAsia="等线"/>
        </w:rPr>
        <w:t>The following agreement was made on the maximum channel bandwidth for FR2-1.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1D92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1F95EB67">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55749DC4">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75D54FC0">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13617A01">
            <w:pPr>
              <w:widowControl w:val="0"/>
              <w:numPr>
                <w:ilvl w:val="0"/>
                <w:numId w:val="17"/>
              </w:numPr>
              <w:autoSpaceDE w:val="0"/>
              <w:autoSpaceDN w:val="0"/>
              <w:adjustRightInd/>
              <w:snapToGrid/>
              <w:spacing w:after="0"/>
              <w:jc w:val="both"/>
              <w:rPr>
                <w:rFonts w:ascii="Times" w:hAnsi="Times" w:eastAsia="等线"/>
                <w:sz w:val="20"/>
              </w:rPr>
            </w:pPr>
            <w:r>
              <w:rPr>
                <w:rFonts w:hint="eastAsia" w:ascii="Times" w:hAnsi="Times" w:eastAsia="等线"/>
                <w:sz w:val="20"/>
              </w:rPr>
              <w:t>FFS: 800MHz or 400MHz at UE side.</w:t>
            </w:r>
          </w:p>
        </w:tc>
      </w:tr>
    </w:tbl>
    <w:p w14:paraId="0D9152CC">
      <w:pPr>
        <w:rPr>
          <w:rFonts w:eastAsia="等线"/>
        </w:rPr>
      </w:pPr>
    </w:p>
    <w:p w14:paraId="1B220519">
      <w:pPr>
        <w:spacing w:after="0"/>
        <w:rPr>
          <w:rFonts w:eastAsia="等线"/>
        </w:rPr>
      </w:pPr>
      <w:r>
        <w:rPr>
          <w:rFonts w:hint="eastAsia" w:eastAsia="等线"/>
        </w:rPr>
        <w:t>Co</w:t>
      </w:r>
      <w:r>
        <w:rPr>
          <w:rFonts w:eastAsia="等线"/>
        </w:rPr>
        <w:t>mpanies’ views on maximum channel bandwidth for FR2-1 are summarized below:</w:t>
      </w:r>
    </w:p>
    <w:p w14:paraId="032A5146">
      <w:pPr>
        <w:pStyle w:val="63"/>
        <w:numPr>
          <w:ilvl w:val="0"/>
          <w:numId w:val="18"/>
        </w:numPr>
        <w:spacing w:after="0"/>
        <w:rPr>
          <w:rFonts w:eastAsia="等线"/>
        </w:rPr>
      </w:pPr>
      <w:r>
        <w:rPr>
          <w:rFonts w:hint="eastAsia" w:eastAsia="等线"/>
        </w:rPr>
        <w:t>4</w:t>
      </w:r>
      <w:r>
        <w:rPr>
          <w:rFonts w:eastAsia="等线"/>
        </w:rPr>
        <w:t>00MHz</w:t>
      </w:r>
    </w:p>
    <w:p w14:paraId="097C9EF5">
      <w:pPr>
        <w:pStyle w:val="63"/>
        <w:numPr>
          <w:ilvl w:val="1"/>
          <w:numId w:val="19"/>
        </w:numPr>
        <w:spacing w:after="0"/>
        <w:rPr>
          <w:rFonts w:eastAsia="等线"/>
          <w:i/>
          <w:iCs/>
          <w:color w:val="C00000"/>
        </w:rPr>
      </w:pPr>
      <w:r>
        <w:rPr>
          <w:rFonts w:eastAsia="等线"/>
          <w:i/>
          <w:iCs/>
          <w:color w:val="C00000"/>
        </w:rPr>
        <w:t xml:space="preserve">Support: Spreadtrum (UE side), Huawei, HiSilicon, </w:t>
      </w:r>
      <w:r>
        <w:rPr>
          <w:rFonts w:hint="eastAsia" w:eastAsiaTheme="minorEastAsia"/>
          <w:i/>
          <w:iCs/>
          <w:color w:val="C00000"/>
        </w:rPr>
        <w:t>K</w:t>
      </w:r>
      <w:r>
        <w:rPr>
          <w:rFonts w:eastAsiaTheme="minorEastAsia"/>
          <w:i/>
          <w:iCs/>
          <w:color w:val="C00000"/>
        </w:rPr>
        <w:t>yocera, KT</w:t>
      </w:r>
    </w:p>
    <w:p w14:paraId="0CEADD26">
      <w:pPr>
        <w:pStyle w:val="63"/>
        <w:numPr>
          <w:ilvl w:val="0"/>
          <w:numId w:val="18"/>
        </w:numPr>
        <w:spacing w:after="0"/>
        <w:rPr>
          <w:rFonts w:eastAsia="等线"/>
        </w:rPr>
      </w:pPr>
      <w:r>
        <w:rPr>
          <w:rFonts w:hint="eastAsia" w:eastAsia="等线"/>
        </w:rPr>
        <w:t>8</w:t>
      </w:r>
      <w:r>
        <w:rPr>
          <w:rFonts w:eastAsia="等线"/>
        </w:rPr>
        <w:t>00MHz</w:t>
      </w:r>
    </w:p>
    <w:p w14:paraId="2932B17F">
      <w:pPr>
        <w:pStyle w:val="63"/>
        <w:numPr>
          <w:ilvl w:val="1"/>
          <w:numId w:val="19"/>
        </w:numPr>
        <w:spacing w:after="0"/>
        <w:rPr>
          <w:rFonts w:eastAsia="等线"/>
          <w:i/>
          <w:iCs/>
          <w:color w:val="C00000"/>
        </w:rPr>
      </w:pPr>
      <w:r>
        <w:rPr>
          <w:rFonts w:eastAsia="等线"/>
          <w:i/>
          <w:iCs/>
          <w:color w:val="C00000"/>
        </w:rPr>
        <w:t>Support: ZTE, CMCC, China Telecom, MediaTek (DL, FFS UL), DOCOMO</w:t>
      </w:r>
    </w:p>
    <w:p w14:paraId="18D01049">
      <w:pPr>
        <w:rPr>
          <w:rFonts w:eastAsia="等线"/>
        </w:rPr>
      </w:pPr>
    </w:p>
    <w:p w14:paraId="43EFE112">
      <w:pPr>
        <w:pStyle w:val="3"/>
        <w:spacing w:after="120"/>
        <w:rPr>
          <w:rFonts w:eastAsia="等线"/>
        </w:rPr>
      </w:pPr>
      <w:r>
        <w:rPr>
          <w:rFonts w:hint="eastAsia" w:eastAsia="等线"/>
        </w:rPr>
        <w:t>Discussion</w:t>
      </w:r>
    </w:p>
    <w:p w14:paraId="649A5105">
      <w:pPr>
        <w:pStyle w:val="4"/>
        <w:spacing w:after="120"/>
        <w:rPr>
          <w:rFonts w:eastAsia="等线"/>
        </w:rPr>
      </w:pPr>
      <w:r>
        <w:rPr>
          <w:rFonts w:eastAsia="等线"/>
        </w:rPr>
        <w:t>Proposal 3-1 [open]</w:t>
      </w:r>
    </w:p>
    <w:p w14:paraId="0F2312B9">
      <w:pPr>
        <w:jc w:val="both"/>
        <w:rPr>
          <w:rFonts w:eastAsia="等线"/>
          <w:b/>
          <w:bCs/>
        </w:rPr>
      </w:pPr>
      <w:r>
        <w:rPr>
          <w:rFonts w:eastAsia="等线"/>
          <w:b/>
          <w:bCs/>
        </w:rPr>
        <w:t>Proposed agreement</w:t>
      </w:r>
      <w:r>
        <w:rPr>
          <w:rFonts w:hint="eastAsia" w:eastAsia="等线"/>
          <w:b/>
          <w:bCs/>
        </w:rPr>
        <w:t xml:space="preserve">: </w:t>
      </w:r>
    </w:p>
    <w:p w14:paraId="4F91F7E2">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or the options agreed in RAN1#123 for support of 400MHz bandwidth at UE side, from RAN1 perspective,</w:t>
      </w:r>
    </w:p>
    <w:p w14:paraId="2DDF672E">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hint="eastAsia" w:eastAsia="宋体"/>
          <w:color w:val="000000"/>
          <w:szCs w:val="22"/>
          <w:lang w:val="en-GB"/>
        </w:rPr>
        <w:t>B</w:t>
      </w:r>
      <w:r>
        <w:rPr>
          <w:rFonts w:eastAsia="宋体"/>
          <w:color w:val="000000"/>
          <w:szCs w:val="22"/>
          <w:lang w:val="en-GB"/>
        </w:rPr>
        <w:t>oth Option 1 and Option 2 are 400MHz single cell/carrier operation.</w:t>
      </w:r>
    </w:p>
    <w:p w14:paraId="6E860D86">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 xml:space="preserve">Option 2 requires </w:t>
      </w:r>
      <w:r>
        <w:rPr>
          <w:rFonts w:hint="eastAsia" w:eastAsia="宋体"/>
          <w:color w:val="000000"/>
          <w:szCs w:val="22"/>
          <w:lang w:val="en-GB"/>
        </w:rPr>
        <w:t>R</w:t>
      </w:r>
      <w:r>
        <w:rPr>
          <w:rFonts w:eastAsia="宋体"/>
          <w:color w:val="000000"/>
          <w:szCs w:val="22"/>
          <w:lang w:val="en-GB"/>
        </w:rPr>
        <w:t>AN4 study on the feasibility and performance impact due to separate RF chains</w:t>
      </w:r>
    </w:p>
    <w:p w14:paraId="27C1C844">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Option 3, 4 and 5 are 2*200MHz carrier operation</w:t>
      </w:r>
    </w:p>
    <w:p w14:paraId="502C9279">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The two BB processors are completely separately</w:t>
      </w:r>
    </w:p>
    <w:p w14:paraId="58FC0785">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hint="eastAsia" w:eastAsiaTheme="minorEastAsia"/>
          <w:szCs w:val="21"/>
        </w:rPr>
        <w:t>A</w:t>
      </w:r>
      <w:r>
        <w:rPr>
          <w:rFonts w:eastAsiaTheme="minorEastAsia"/>
          <w:szCs w:val="21"/>
        </w:rPr>
        <w:t xml:space="preserve"> physical channel/signal does not go across 200MHz carrier boundary</w:t>
      </w:r>
    </w:p>
    <w:p w14:paraId="57B951CE">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hint="eastAsia" w:eastAsiaTheme="minor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7B843987">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hint="eastAsia" w:eastAsiaTheme="minorEastAsia"/>
          <w:szCs w:val="21"/>
        </w:rPr>
        <w:t>F</w:t>
      </w:r>
      <w:r>
        <w:rPr>
          <w:rFonts w:eastAsiaTheme="minorEastAsia"/>
          <w:szCs w:val="21"/>
        </w:rPr>
        <w:t>FS whether the two carriers can be associated with a same cell</w:t>
      </w:r>
    </w:p>
    <w:p w14:paraId="1A9FED40">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Strive to down-select to a single option</w:t>
      </w:r>
      <w:r>
        <w:rPr>
          <w:rFonts w:eastAsia="等线"/>
        </w:rPr>
        <w:t xml:space="preserve"> to reduce specification and operational complexity</w:t>
      </w:r>
    </w:p>
    <w:p w14:paraId="045D77CF">
      <w:pPr>
        <w:widowControl w:val="0"/>
        <w:numPr>
          <w:ilvl w:val="1"/>
          <w:numId w:val="7"/>
        </w:numPr>
        <w:shd w:val="clear" w:color="auto" w:fill="FFFFFF"/>
        <w:tabs>
          <w:tab w:val="left" w:pos="720"/>
        </w:tabs>
        <w:adjustRightInd/>
        <w:snapToGrid/>
        <w:spacing w:after="0"/>
        <w:jc w:val="both"/>
        <w:rPr>
          <w:rFonts w:eastAsia="宋体"/>
          <w:color w:val="000000"/>
          <w:szCs w:val="22"/>
          <w:lang w:val="en-GB" w:eastAsia="zh-CN"/>
        </w:rPr>
      </w:pPr>
      <w:r>
        <w:rPr>
          <w:rFonts w:hint="eastAsia" w:eastAsia="宋体"/>
          <w:color w:val="000000"/>
          <w:szCs w:val="22"/>
          <w:lang w:val="en-GB"/>
        </w:rPr>
        <w:t>U</w:t>
      </w:r>
      <w:r>
        <w:rPr>
          <w:rFonts w:eastAsia="宋体"/>
          <w:color w:val="000000"/>
          <w:szCs w:val="22"/>
          <w:lang w:val="en-GB"/>
        </w:rPr>
        <w:t>L and DL are discussed independently</w:t>
      </w:r>
    </w:p>
    <w:p w14:paraId="10CA0596">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Note: the NR concept of cell, carrier, CA are used above for discussion purpose only</w:t>
      </w:r>
    </w:p>
    <w:p w14:paraId="3145069D">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A87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01B7493">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8540670">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14:paraId="0862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B540EF4">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2CE88CC">
            <w:pPr>
              <w:widowControl w:val="0"/>
              <w:suppressAutoHyphens/>
              <w:spacing w:line="256" w:lineRule="auto"/>
              <w:rPr>
                <w:rFonts w:ascii="Times New Roman" w:hAnsi="Times New Roman" w:cs="Times New Roman" w:eastAsiaTheme="minorEastAsia"/>
                <w:b/>
                <w:bCs/>
                <w:szCs w:val="22"/>
                <w:lang w:val="en-GB"/>
              </w:rPr>
            </w:pPr>
            <w:r>
              <w:rPr>
                <w:rFonts w:ascii="Times New Roman" w:hAnsi="Times New Roman" w:eastAsia="宋体" w:cs="Times New Roman"/>
                <w:b/>
                <w:bCs/>
                <w:szCs w:val="22"/>
                <w:lang w:val="en-GB"/>
              </w:rPr>
              <w:t>Nokia, Ericsson</w:t>
            </w:r>
            <w:r>
              <w:rPr>
                <w:rFonts w:hint="eastAsia" w:ascii="Times New Roman" w:hAnsi="Times New Roman" w:eastAsia="MS Mincho" w:cs="Times New Roman"/>
                <w:b/>
                <w:bCs/>
                <w:szCs w:val="22"/>
                <w:lang w:val="en-GB" w:eastAsia="ja-JP"/>
              </w:rPr>
              <w:t>, DOCOMO</w:t>
            </w:r>
            <w:r>
              <w:rPr>
                <w:rFonts w:hint="eastAsia" w:ascii="Times New Roman" w:hAnsi="Times New Roman" w:eastAsia="宋体" w:cs="Times New Roman"/>
                <w:b/>
                <w:bCs/>
                <w:szCs w:val="22"/>
                <w:lang w:val="en-GB"/>
              </w:rPr>
              <w:t>, Lenovo</w:t>
            </w:r>
            <w:r>
              <w:rPr>
                <w:rFonts w:hint="eastAsia" w:ascii="Times New Roman" w:hAnsi="Times New Roman" w:eastAsia="MS Mincho" w:cs="Times New Roman"/>
                <w:b/>
                <w:bCs/>
                <w:szCs w:val="22"/>
                <w:lang w:val="en-GB" w:eastAsia="ja-JP"/>
              </w:rPr>
              <w:t>, Sharp</w:t>
            </w:r>
            <w:r>
              <w:rPr>
                <w:rFonts w:hint="eastAsia" w:ascii="Times New Roman" w:hAnsi="Times New Roman" w:cs="Times New Roman" w:eastAsiaTheme="minorEastAsia"/>
                <w:b/>
                <w:bCs/>
                <w:szCs w:val="22"/>
                <w:lang w:val="en-GB"/>
              </w:rPr>
              <w:t>, China Telecom</w:t>
            </w:r>
            <w:r>
              <w:rPr>
                <w:rFonts w:ascii="Times New Roman" w:hAnsi="Times New Roman" w:cs="Times New Roman" w:eastAsiaTheme="minorEastAsia"/>
                <w:b/>
                <w:bCs/>
                <w:szCs w:val="22"/>
                <w:lang w:val="en-GB"/>
              </w:rPr>
              <w:t>, Google</w:t>
            </w:r>
          </w:p>
        </w:tc>
      </w:tr>
      <w:tr w14:paraId="753A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21F2650">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100D9C83">
            <w:pPr>
              <w:widowControl w:val="0"/>
              <w:suppressAutoHyphens/>
              <w:spacing w:line="256" w:lineRule="auto"/>
              <w:jc w:val="both"/>
              <w:rPr>
                <w:rFonts w:ascii="Times New Roman" w:hAnsi="Times New Roman" w:eastAsia="PMingLiU" w:cs="Times New Roman"/>
                <w:b/>
                <w:bCs/>
                <w:szCs w:val="22"/>
                <w:lang w:val="en-GB" w:eastAsia="zh-TW"/>
              </w:rPr>
            </w:pPr>
            <w:r>
              <w:rPr>
                <w:rFonts w:hint="eastAsia" w:ascii="Times New Roman" w:hAnsi="Times New Roman" w:eastAsia="PMingLiU" w:cs="Times New Roman"/>
                <w:b/>
                <w:bCs/>
                <w:szCs w:val="22"/>
                <w:lang w:val="en-GB" w:eastAsia="zh-TW"/>
              </w:rPr>
              <w:t>M</w:t>
            </w:r>
            <w:r>
              <w:rPr>
                <w:rFonts w:ascii="Times New Roman" w:hAnsi="Times New Roman" w:eastAsia="PMingLiU" w:cs="Times New Roman"/>
                <w:b/>
                <w:bCs/>
                <w:szCs w:val="22"/>
                <w:lang w:val="en-GB" w:eastAsia="zh-TW"/>
              </w:rPr>
              <w:t>TK</w:t>
            </w:r>
          </w:p>
        </w:tc>
      </w:tr>
    </w:tbl>
    <w:p w14:paraId="4FD43D7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CA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C47D57B">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AD586D6">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76D3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D5F11B5">
            <w:pPr>
              <w:widowControl w:val="0"/>
              <w:suppressAutoHyphens/>
              <w:spacing w:line="256" w:lineRule="auto"/>
              <w:jc w:val="center"/>
              <w:rPr>
                <w:rFonts w:ascii="Times New Roman" w:hAnsi="Times New Roman" w:eastAsia="宋体" w:cs="Times New Roman"/>
                <w:szCs w:val="22"/>
                <w:lang w:val="en-GB"/>
              </w:rPr>
            </w:pPr>
            <w:r>
              <w:rPr>
                <w:rFonts w:hint="eastAsia" w:ascii="Times New Roman" w:hAnsi="Times New Roman" w:eastAsia="宋体" w:cs="Times New Roman"/>
                <w:szCs w:val="22"/>
                <w:lang w:val="en-GB"/>
              </w:rPr>
              <w:t>M</w:t>
            </w:r>
            <w:r>
              <w:rPr>
                <w:rFonts w:ascii="Times New Roman" w:hAnsi="Times New Roman" w:eastAsia="宋体" w:cs="Times New Roman"/>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03372D57">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w:t>
            </w:r>
            <w:r>
              <w:rPr>
                <w:rFonts w:ascii="Times New Roman" w:hAnsi="Times New Roman" w:eastAsia="宋体" w:cs="Times New Roman"/>
                <w:szCs w:val="22"/>
                <w:lang w:val="en-GB"/>
              </w:rPr>
              <w:t>he proposal intends to align companies’ understandings on Option 3/4/5 with two BB processors.</w:t>
            </w:r>
          </w:p>
        </w:tc>
      </w:tr>
      <w:tr w14:paraId="27E0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BC94C62">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148405D3">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We would like to note here, that Option 2 seems to be only working for DL (but not of UL transmission). Maybe the could be clarified when taking this proposal online. </w:t>
            </w:r>
          </w:p>
        </w:tc>
      </w:tr>
      <w:tr w14:paraId="1CC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D76D1BC">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3259093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14:paraId="2B0A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263E7FF">
            <w:pPr>
              <w:widowControl w:val="0"/>
              <w:suppressAutoHyphens/>
              <w:spacing w:line="256" w:lineRule="auto"/>
              <w:jc w:val="center"/>
              <w:rPr>
                <w:rFonts w:ascii="Calibri" w:hAnsi="Calibri" w:eastAsia="宋体" w:cs="Arial"/>
                <w:sz w:val="20"/>
                <w:szCs w:val="20"/>
                <w:lang w:val="en-GB"/>
              </w:rPr>
            </w:pPr>
            <w:r>
              <w:rPr>
                <w:rFonts w:ascii="Times New Roman" w:hAnsi="Times New Roman" w:eastAsia="宋体" w:cs="Times New Roman"/>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1C5B88FF">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5C695EFF">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516E44D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0E549F2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5F6ACFAB">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B</w:t>
            </w:r>
            <w:r>
              <w:rPr>
                <w:rFonts w:ascii="Calibri" w:hAnsi="Calibri" w:cs="Arial"/>
                <w:sz w:val="20"/>
                <w:szCs w:val="20"/>
                <w:lang w:val="en-GB" w:eastAsia="en-US"/>
              </w:rPr>
              <w:t>oth Option 1 and Option 2 are 400MHz single cell/carrier operation.</w:t>
            </w:r>
          </w:p>
          <w:p w14:paraId="1FADC2EB">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hint="eastAsia" w:ascii="Calibri" w:hAnsi="Calibri" w:cs="Arial"/>
                <w:sz w:val="20"/>
                <w:szCs w:val="20"/>
                <w:lang w:val="en-GB" w:eastAsia="en-US"/>
              </w:rPr>
              <w:t>R</w:t>
            </w:r>
            <w:r>
              <w:rPr>
                <w:rFonts w:ascii="Calibri" w:hAnsi="Calibri" w:cs="Arial"/>
                <w:sz w:val="20"/>
                <w:szCs w:val="20"/>
                <w:lang w:val="en-GB" w:eastAsia="en-US"/>
              </w:rPr>
              <w:t>AN4 study on the feasibility and performance impact due to separate RF chains</w:t>
            </w:r>
          </w:p>
          <w:p w14:paraId="681B6525">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7E0429FC">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00CB97D2">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1D8BFCBA">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1E6B3035">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11252EEC">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Times New Roman" w:hAnsi="Times New Roman" w:cs="Times New Roman"/>
                <w:color w:val="FF0000"/>
                <w:sz w:val="20"/>
                <w:szCs w:val="20"/>
                <w:lang w:val="en-GB" w:eastAsia="en-US"/>
              </w:rPr>
              <w:t>The two carriers can be associated with a same cell</w:t>
            </w:r>
          </w:p>
          <w:p w14:paraId="5A85BE68">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57E6737C">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3EE93A28">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1468EFC5">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Note: UL and DL are discussed independently at UE side</w:t>
            </w:r>
          </w:p>
          <w:p w14:paraId="6DC7F4E1">
            <w:pPr>
              <w:widowControl w:val="0"/>
              <w:suppressAutoHyphens/>
              <w:spacing w:line="256" w:lineRule="auto"/>
              <w:jc w:val="both"/>
              <w:rPr>
                <w:rFonts w:ascii="Calibri" w:hAnsi="Calibri" w:cs="Arial"/>
                <w:sz w:val="20"/>
                <w:szCs w:val="20"/>
                <w:lang w:val="en-GB" w:eastAsia="en-US"/>
              </w:rPr>
            </w:pPr>
          </w:p>
        </w:tc>
      </w:tr>
      <w:tr w14:paraId="45D5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7305CD1">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MS Mincho" w:cs="Times New Roman"/>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25659A17">
            <w:pPr>
              <w:widowControl w:val="0"/>
              <w:suppressAutoHyphens/>
              <w:spacing w:line="256" w:lineRule="auto"/>
              <w:jc w:val="both"/>
              <w:rPr>
                <w:rFonts w:ascii="Calibri" w:hAnsi="Calibri" w:cs="Arial"/>
                <w:sz w:val="20"/>
                <w:szCs w:val="20"/>
                <w:lang w:val="en-GB" w:eastAsia="en-US"/>
              </w:rPr>
            </w:pPr>
            <w:r>
              <w:rPr>
                <w:rFonts w:hint="eastAsia" w:ascii="Times New Roman" w:hAnsi="Times New Roman" w:eastAsia="MS Mincho" w:cs="Times New Roman"/>
                <w:kern w:val="2"/>
                <w:szCs w:val="22"/>
                <w:lang w:val="en-GB" w:eastAsia="ja-JP"/>
              </w:rPr>
              <w:t>OK to align the understanding</w:t>
            </w:r>
          </w:p>
        </w:tc>
      </w:tr>
      <w:tr w14:paraId="423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512B181">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220369F6">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 xml:space="preserve">We are fine with FL’s intention that we need to have clear consensus of understanding on options. </w:t>
            </w:r>
          </w:p>
          <w:p w14:paraId="29306FCA">
            <w:pPr>
              <w:widowControl w:val="0"/>
              <w:suppressAutoHyphens/>
              <w:spacing w:line="256" w:lineRule="auto"/>
              <w:jc w:val="both"/>
              <w:rPr>
                <w:rFonts w:ascii="Calibri" w:hAnsi="Calibri" w:eastAsia="MS Mincho" w:cs="Arial"/>
                <w:kern w:val="2"/>
                <w:szCs w:val="22"/>
                <w:lang w:val="en-GB" w:eastAsia="ja-JP"/>
              </w:rPr>
            </w:pPr>
            <w:r>
              <w:rPr>
                <w:rFonts w:ascii="Calibri" w:hAnsi="Calibri" w:eastAsia="Malgun Gothic"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14:paraId="588A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69EE2E2">
            <w:pPr>
              <w:widowControl w:val="0"/>
              <w:suppressAutoHyphens/>
              <w:spacing w:line="256" w:lineRule="auto"/>
              <w:jc w:val="center"/>
              <w:rPr>
                <w:rFonts w:ascii="Calibri" w:hAnsi="Calibri" w:eastAsia="Malgun Gothic" w:cs="Arial"/>
                <w:kern w:val="2"/>
                <w:szCs w:val="22"/>
                <w:lang w:eastAsia="ko-KR"/>
              </w:rPr>
            </w:pPr>
            <w:r>
              <w:rPr>
                <w:rFonts w:ascii="Times New Roman" w:hAnsi="Times New Roman" w:eastAsia="宋体" w:cs="Times New Roman"/>
                <w:szCs w:val="22"/>
                <w:lang w:val="en-GB"/>
              </w:rPr>
              <w:t>ZTE</w:t>
            </w:r>
          </w:p>
        </w:tc>
        <w:tc>
          <w:tcPr>
            <w:tcW w:w="3825" w:type="pct"/>
            <w:tcBorders>
              <w:top w:val="single" w:color="auto" w:sz="4" w:space="0"/>
              <w:left w:val="single" w:color="auto" w:sz="4" w:space="0"/>
              <w:bottom w:val="single" w:color="auto" w:sz="4" w:space="0"/>
              <w:right w:val="single" w:color="auto" w:sz="4" w:space="0"/>
            </w:tcBorders>
          </w:tcPr>
          <w:p w14:paraId="2872D610">
            <w:pPr>
              <w:widowControl w:val="0"/>
              <w:suppressAutoHyphens/>
              <w:spacing w:line="256" w:lineRule="auto"/>
              <w:jc w:val="both"/>
              <w:rPr>
                <w:rFonts w:ascii="Calibri" w:hAnsi="Calibri" w:eastAsia="Malgun Gothic" w:cs="Arial"/>
                <w:sz w:val="20"/>
                <w:szCs w:val="20"/>
                <w:lang w:val="en-GB" w:eastAsia="ko-KR"/>
              </w:rPr>
            </w:pPr>
            <w:r>
              <w:rPr>
                <w:rFonts w:ascii="Times New Roman" w:hAnsi="Times New Roman" w:eastAsia="宋体" w:cs="Times New Roman"/>
                <w:szCs w:val="22"/>
                <w:lang w:val="en-GB"/>
              </w:rPr>
              <w:t xml:space="preserve">For the option 3, 4 and 5, we suggest removing the FFS bullet since the details should be discussed in the spectrum utilization session. </w:t>
            </w:r>
          </w:p>
        </w:tc>
      </w:tr>
      <w:tr w14:paraId="25BF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E43772">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762FE05C">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w:t>
            </w:r>
            <w:r>
              <w:rPr>
                <w:rFonts w:hint="eastAsia" w:ascii="Calibri" w:hAnsi="Calibri" w:cs="Arial" w:eastAsiaTheme="minorEastAsia"/>
                <w:sz w:val="20"/>
                <w:szCs w:val="20"/>
                <w:lang w:val="en-GB"/>
              </w:rPr>
              <w:t xml:space="preserve">e agree with the main bullet. </w:t>
            </w:r>
            <w:r>
              <w:rPr>
                <w:rFonts w:ascii="Calibri" w:hAnsi="Calibri" w:cs="Arial" w:eastAsiaTheme="minorEastAsia"/>
                <w:sz w:val="20"/>
                <w:szCs w:val="20"/>
                <w:lang w:val="en-GB"/>
              </w:rPr>
              <w:t>B</w:t>
            </w:r>
            <w:r>
              <w:rPr>
                <w:rFonts w:hint="eastAsia" w:ascii="Calibri" w:hAnsi="Calibri" w:cs="Arial" w:eastAsiaTheme="minor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hint="eastAsia" w:ascii="Calibri" w:hAnsi="Calibri" w:cs="Arial" w:eastAsiaTheme="minorEastAsia"/>
                <w:sz w:val="20"/>
                <w:szCs w:val="20"/>
                <w:lang w:val="en-GB"/>
              </w:rPr>
              <w:t xml:space="preserve"> is supported, a physical channel/signal could go across 200MHz.</w:t>
            </w:r>
          </w:p>
        </w:tc>
      </w:tr>
      <w:tr w14:paraId="4E73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7699629">
            <w:pPr>
              <w:widowControl w:val="0"/>
              <w:suppressAutoHyphens/>
              <w:spacing w:line="256" w:lineRule="auto"/>
              <w:jc w:val="center"/>
              <w:rPr>
                <w:rFonts w:ascii="Calibri" w:hAnsi="Calibri" w:eastAsia="宋体" w:cs="Arial"/>
                <w:sz w:val="20"/>
                <w:szCs w:val="20"/>
              </w:rPr>
            </w:pPr>
            <w:r>
              <w:rPr>
                <w:rFonts w:hint="eastAsia" w:ascii="Calibri" w:hAnsi="Calibri" w:eastAsia="宋体" w:cs="Arial"/>
                <w:sz w:val="20"/>
                <w:szCs w:val="20"/>
              </w:rPr>
              <w:t>vivo</w:t>
            </w:r>
          </w:p>
        </w:tc>
        <w:tc>
          <w:tcPr>
            <w:tcW w:w="3825" w:type="pct"/>
          </w:tcPr>
          <w:p w14:paraId="08B292FE">
            <w:pPr>
              <w:pStyle w:val="34"/>
              <w:shd w:val="clear" w:color="auto" w:fill="FFFFFF"/>
              <w:rPr>
                <w:rFonts w:ascii="Times New Roman" w:hAnsi="Times New Roman" w:eastAsia="Helvetica" w:cs="Times New Roman"/>
                <w:color w:val="333333"/>
                <w:sz w:val="20"/>
                <w:szCs w:val="20"/>
              </w:rPr>
            </w:pPr>
            <w:r>
              <w:rPr>
                <w:rFonts w:ascii="Times New Roman" w:hAnsi="Times New Roman" w:eastAsia="Helvetica" w:cs="Times New Roman"/>
                <w:color w:val="333333"/>
                <w:sz w:val="20"/>
                <w:szCs w:val="20"/>
                <w:shd w:val="clear" w:color="auto" w:fill="FFFFFF"/>
              </w:rPr>
              <w:t xml:space="preserve">We </w:t>
            </w:r>
            <w:r>
              <w:rPr>
                <w:rFonts w:ascii="Times New Roman" w:hAnsi="Times New Roman" w:eastAsia="宋体" w:cs="Times New Roman"/>
                <w:color w:val="333333"/>
                <w:sz w:val="20"/>
                <w:szCs w:val="20"/>
                <w:shd w:val="clear" w:color="auto" w:fill="FFFFFF"/>
              </w:rPr>
              <w:t>have following suggestions</w:t>
            </w:r>
            <w:r>
              <w:rPr>
                <w:rFonts w:ascii="Times New Roman" w:hAnsi="Times New Roman" w:eastAsia="Helvetica" w:cs="Times New Roman"/>
                <w:color w:val="333333"/>
                <w:sz w:val="20"/>
                <w:szCs w:val="20"/>
                <w:shd w:val="clear" w:color="auto" w:fill="FFFFFF"/>
              </w:rPr>
              <w:t xml:space="preserve"> for the </w:t>
            </w:r>
            <w:r>
              <w:rPr>
                <w:rFonts w:ascii="Times New Roman" w:hAnsi="Times New Roman" w:eastAsia="宋体" w:cs="Times New Roman"/>
                <w:color w:val="333333"/>
                <w:sz w:val="20"/>
                <w:szCs w:val="20"/>
                <w:shd w:val="clear" w:color="auto" w:fill="FFFFFF"/>
              </w:rPr>
              <w:t xml:space="preserve">discussion on UE side maximum channel bandwidth for </w:t>
            </w:r>
            <w:r>
              <w:rPr>
                <w:rFonts w:ascii="Times New Roman" w:hAnsi="Times New Roman" w:eastAsia="Helvetica" w:cs="Times New Roman"/>
                <w:color w:val="333333"/>
                <w:sz w:val="20"/>
                <w:szCs w:val="20"/>
                <w:shd w:val="clear" w:color="auto" w:fill="FFFFFF"/>
              </w:rPr>
              <w:t>7 GHz:</w:t>
            </w:r>
          </w:p>
          <w:p w14:paraId="45BDC38F">
            <w:pPr>
              <w:pStyle w:val="63"/>
              <w:numPr>
                <w:ilvl w:val="0"/>
                <w:numId w:val="20"/>
              </w:numPr>
              <w:spacing w:after="0"/>
              <w:jc w:val="both"/>
              <w:rPr>
                <w:rFonts w:ascii="Times New Roman" w:hAnsi="Times New Roman" w:cs="Times New Roman"/>
                <w:sz w:val="20"/>
                <w:szCs w:val="20"/>
              </w:rPr>
            </w:pPr>
            <w:r>
              <w:rPr>
                <w:rStyle w:val="40"/>
                <w:rFonts w:ascii="Times New Roman" w:hAnsi="Times New Roman" w:eastAsia="Helvetica" w:cs="Times New Roman"/>
                <w:b w:val="0"/>
                <w:bCs w:val="0"/>
                <w:color w:val="000000"/>
                <w:sz w:val="20"/>
                <w:szCs w:val="20"/>
                <w:shd w:val="clear" w:color="auto" w:fill="FFFFFF"/>
              </w:rPr>
              <w:t>200 MHz must be the maximum mandatory channel bandwidth for the UE.</w:t>
            </w:r>
            <w:r>
              <w:rPr>
                <w:rFonts w:ascii="Times New Roman" w:hAnsi="Times New Roman" w:eastAsia="Helvetica"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pPr>
              <w:pStyle w:val="63"/>
              <w:numPr>
                <w:ilvl w:val="0"/>
                <w:numId w:val="20"/>
              </w:numPr>
              <w:spacing w:after="0"/>
              <w:jc w:val="both"/>
              <w:rPr>
                <w:rFonts w:ascii="Times New Roman" w:hAnsi="Times New Roman" w:eastAsia="宋体" w:cs="Times New Roman"/>
                <w:color w:val="333333"/>
                <w:sz w:val="20"/>
                <w:szCs w:val="20"/>
                <w:shd w:val="clear" w:color="auto" w:fill="FFFFFF"/>
              </w:rPr>
            </w:pPr>
            <w:r>
              <w:rPr>
                <w:rStyle w:val="40"/>
                <w:rFonts w:ascii="Times New Roman" w:hAnsi="Times New Roman" w:eastAsia="Helvetica" w:cs="Times New Roman"/>
                <w:b w:val="0"/>
                <w:bCs w:val="0"/>
                <w:color w:val="000000"/>
                <w:sz w:val="20"/>
                <w:szCs w:val="20"/>
                <w:shd w:val="clear" w:color="auto" w:fill="FFFFFF"/>
              </w:rPr>
              <w:t>Support for 400 MHz should be an optional UE capability.</w:t>
            </w:r>
            <w:r>
              <w:rPr>
                <w:rFonts w:ascii="Times New Roman" w:hAnsi="Times New Roman" w:eastAsia="Helvetica" w:cs="Times New Roman"/>
                <w:color w:val="333333"/>
                <w:sz w:val="20"/>
                <w:szCs w:val="20"/>
                <w:shd w:val="clear" w:color="auto" w:fill="FFFFFF"/>
              </w:rPr>
              <w:t xml:space="preserve"> Regarding </w:t>
            </w:r>
            <w:r>
              <w:rPr>
                <w:rFonts w:ascii="Times New Roman" w:hAnsi="Times New Roman" w:eastAsia="宋体" w:cs="Times New Roman"/>
                <w:color w:val="333333"/>
                <w:sz w:val="20"/>
                <w:szCs w:val="20"/>
                <w:shd w:val="clear" w:color="auto" w:fill="FFFFFF"/>
              </w:rPr>
              <w:t xml:space="preserve">the </w:t>
            </w:r>
            <w:r>
              <w:rPr>
                <w:rFonts w:ascii="Times New Roman" w:hAnsi="Times New Roman" w:eastAsia="Helvetica" w:cs="Times New Roman"/>
                <w:color w:val="333333"/>
                <w:sz w:val="20"/>
                <w:szCs w:val="20"/>
                <w:shd w:val="clear" w:color="auto" w:fill="FFFFFF"/>
              </w:rPr>
              <w:t xml:space="preserve">implementation path, </w:t>
            </w:r>
            <w:r>
              <w:rPr>
                <w:rFonts w:ascii="Times New Roman" w:hAnsi="Times New Roman" w:eastAsia="宋体" w:cs="Times New Roman"/>
                <w:color w:val="333333"/>
                <w:sz w:val="20"/>
                <w:szCs w:val="20"/>
                <w:shd w:val="clear" w:color="auto" w:fill="FFFFFF"/>
              </w:rPr>
              <w:t xml:space="preserve">we would like to </w:t>
            </w:r>
            <w:r>
              <w:rPr>
                <w:rFonts w:ascii="Times New Roman" w:hAnsi="Times New Roman" w:eastAsia="Helvetica"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Times New Roman" w:hAnsi="Times New Roman" w:eastAsia="宋体" w:cs="Times New Roman"/>
                <w:color w:val="333333"/>
                <w:sz w:val="20"/>
                <w:szCs w:val="20"/>
                <w:shd w:val="clear" w:color="auto" w:fill="FFFFFF"/>
              </w:rPr>
              <w:t xml:space="preserve">for </w:t>
            </w:r>
            <w:r>
              <w:rPr>
                <w:rFonts w:ascii="Times New Roman" w:hAnsi="Times New Roman" w:eastAsia="Helvetica" w:cs="Times New Roman"/>
                <w:color w:val="333333"/>
                <w:sz w:val="20"/>
                <w:szCs w:val="20"/>
                <w:shd w:val="clear" w:color="auto" w:fill="FFFFFF"/>
              </w:rPr>
              <w:t>non-CA options</w:t>
            </w:r>
            <w:r>
              <w:rPr>
                <w:rFonts w:ascii="Times New Roman" w:hAnsi="Times New Roman" w:eastAsia="宋体" w:cs="Times New Roman"/>
                <w:color w:val="333333"/>
                <w:sz w:val="20"/>
                <w:szCs w:val="20"/>
                <w:shd w:val="clear" w:color="auto" w:fill="FFFFFF"/>
              </w:rPr>
              <w:t xml:space="preserve">, </w:t>
            </w:r>
            <w:r>
              <w:rPr>
                <w:rFonts w:ascii="Times New Roman" w:hAnsi="Times New Roman" w:eastAsia="Helvetica" w:cs="Times New Roman"/>
                <w:color w:val="333333"/>
                <w:sz w:val="20"/>
                <w:szCs w:val="20"/>
                <w:shd w:val="clear" w:color="auto" w:fill="FFFFFF"/>
              </w:rPr>
              <w:t>Option 1, 2, 3, 4 and 5</w:t>
            </w:r>
            <w:r>
              <w:rPr>
                <w:rFonts w:ascii="Times New Roman" w:hAnsi="Times New Roman" w:eastAsia="宋体" w:cs="Times New Roman"/>
                <w:color w:val="333333"/>
                <w:sz w:val="20"/>
                <w:szCs w:val="20"/>
                <w:shd w:val="clear" w:color="auto" w:fill="FFFFFF"/>
              </w:rPr>
              <w:t xml:space="preserve">. </w:t>
            </w:r>
          </w:p>
          <w:p w14:paraId="6599977E">
            <w:pPr>
              <w:numPr>
                <w:ilvl w:val="255"/>
                <w:numId w:val="0"/>
              </w:numPr>
              <w:spacing w:after="0"/>
              <w:ind w:left="360"/>
              <w:jc w:val="both"/>
              <w:rPr>
                <w:rFonts w:ascii="Times New Roman" w:hAnsi="Times New Roman" w:eastAsia="Helvetica" w:cs="Times New Roman"/>
                <w:color w:val="333333"/>
                <w:sz w:val="20"/>
                <w:szCs w:val="20"/>
                <w:shd w:val="clear" w:color="auto" w:fill="FFFFFF"/>
              </w:rPr>
            </w:pPr>
          </w:p>
          <w:p w14:paraId="5055A4C6">
            <w:pPr>
              <w:pStyle w:val="63"/>
              <w:numPr>
                <w:ilvl w:val="0"/>
                <w:numId w:val="21"/>
              </w:numPr>
              <w:tabs>
                <w:tab w:val="left" w:pos="420"/>
              </w:tabs>
              <w:spacing w:after="0"/>
              <w:jc w:val="both"/>
              <w:rPr>
                <w:rFonts w:ascii="Times New Roman" w:hAnsi="Times New Roman" w:cs="Times New Roman"/>
                <w:sz w:val="20"/>
                <w:szCs w:val="20"/>
              </w:rPr>
            </w:pPr>
            <w:r>
              <w:rPr>
                <w:rFonts w:ascii="Times New Roman" w:hAnsi="Times New Roman" w:eastAsia="Helvetica" w:cs="Times New Roman"/>
                <w:color w:val="333333"/>
                <w:sz w:val="20"/>
                <w:szCs w:val="20"/>
                <w:shd w:val="clear" w:color="auto" w:fill="FFFFFF"/>
              </w:rPr>
              <w:t>The Option 1, 2, 3, 4 and 5 under current discussion are all additional options beyond CA Option 0.</w:t>
            </w:r>
            <w:r>
              <w:rPr>
                <w:rFonts w:ascii="Times New Roman" w:hAnsi="Times New Roman" w:eastAsia="宋体" w:cs="Times New Roman"/>
                <w:color w:val="333333"/>
                <w:sz w:val="20"/>
                <w:szCs w:val="20"/>
                <w:shd w:val="clear" w:color="auto" w:fill="FFFFFF"/>
              </w:rPr>
              <w:t xml:space="preserve"> </w:t>
            </w:r>
            <w:r>
              <w:rPr>
                <w:rFonts w:ascii="Times New Roman" w:hAnsi="Times New Roman" w:eastAsia="Helvetica" w:cs="Times New Roman"/>
                <w:color w:val="333333"/>
                <w:sz w:val="20"/>
                <w:szCs w:val="20"/>
                <w:shd w:val="clear" w:color="auto" w:fill="FFFFFF"/>
              </w:rPr>
              <w:t>In addition, the prior conclusion was to study whether and how to enable UEs to support 400MHz bandwidth</w:t>
            </w:r>
            <w:r>
              <w:rPr>
                <w:rFonts w:ascii="Times New Roman" w:hAnsi="Times New Roman" w:eastAsia="宋体" w:cs="Times New Roman"/>
                <w:color w:val="333333"/>
                <w:sz w:val="20"/>
                <w:szCs w:val="20"/>
                <w:shd w:val="clear" w:color="auto" w:fill="FFFFFF"/>
              </w:rPr>
              <w:t xml:space="preserve"> in single carrier</w:t>
            </w:r>
            <w:r>
              <w:rPr>
                <w:rFonts w:ascii="Times New Roman" w:hAnsi="Times New Roman" w:eastAsia="Helvetica" w:cs="Times New Roman"/>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09F1E45">
            <w:pPr>
              <w:pStyle w:val="63"/>
              <w:numPr>
                <w:ilvl w:val="0"/>
                <w:numId w:val="21"/>
              </w:numPr>
              <w:tabs>
                <w:tab w:val="left" w:pos="420"/>
              </w:tabs>
              <w:spacing w:after="0"/>
              <w:jc w:val="both"/>
              <w:rPr>
                <w:rFonts w:ascii="Times New Roman" w:hAnsi="Times New Roman" w:cs="Times New Roman"/>
                <w:sz w:val="20"/>
                <w:szCs w:val="20"/>
              </w:rPr>
            </w:pPr>
            <w:r>
              <w:rPr>
                <w:rFonts w:ascii="Times New Roman" w:hAnsi="Times New Roman" w:eastAsia="宋体" w:cs="Times New Roman"/>
                <w:color w:val="333333"/>
                <w:sz w:val="20"/>
                <w:szCs w:val="20"/>
                <w:shd w:val="clear" w:color="auto" w:fill="FFFFFF"/>
              </w:rPr>
              <w:t>Moreover</w:t>
            </w:r>
            <w:r>
              <w:rPr>
                <w:rFonts w:ascii="Times New Roman" w:hAnsi="Times New Roman" w:eastAsia="Helvetica" w:cs="Times New Roman"/>
                <w:color w:val="333333"/>
                <w:sz w:val="20"/>
                <w:szCs w:val="20"/>
                <w:shd w:val="clear" w:color="auto" w:fill="FFFFFF"/>
              </w:rPr>
              <w:t>, for any non-CA options (like Option 2/3/5), we must clarify their exact definitions. Specifically, we need explicit answers on: </w:t>
            </w:r>
            <w:r>
              <w:rPr>
                <w:rStyle w:val="40"/>
                <w:rFonts w:ascii="Times New Roman" w:hAnsi="Times New Roman" w:eastAsia="Helvetica" w:cs="Times New Roman"/>
                <w:b w:val="0"/>
                <w:bCs w:val="0"/>
                <w:color w:val="000000"/>
                <w:sz w:val="20"/>
                <w:szCs w:val="20"/>
                <w:shd w:val="clear" w:color="auto" w:fill="FFFFFF"/>
              </w:rPr>
              <w:t>Is a frequency gap required? Can a single Transport Block span across the 200MHz boundary?</w:t>
            </w:r>
            <w:r>
              <w:rPr>
                <w:rFonts w:ascii="Times New Roman" w:hAnsi="Times New Roman" w:eastAsia="Helvetica" w:cs="Times New Roman"/>
                <w:color w:val="333333"/>
                <w:sz w:val="20"/>
                <w:szCs w:val="20"/>
                <w:shd w:val="clear" w:color="auto" w:fill="FFFFFF"/>
              </w:rPr>
              <w:t> This clarification is a prerequisite for further discussion.</w:t>
            </w:r>
          </w:p>
          <w:p w14:paraId="7358E47A">
            <w:pPr>
              <w:tabs>
                <w:tab w:val="left" w:pos="420"/>
              </w:tabs>
              <w:spacing w:after="0"/>
              <w:jc w:val="both"/>
              <w:rPr>
                <w:rFonts w:ascii="Times New Roman" w:hAnsi="Times New Roman" w:cs="Times New Roman"/>
                <w:sz w:val="20"/>
                <w:szCs w:val="20"/>
              </w:rPr>
            </w:pPr>
            <w:r>
              <w:rPr>
                <w:rFonts w:ascii="Times New Roman" w:hAnsi="Times New Roman" w:cs="Times New Roman"/>
                <w:sz w:val="20"/>
                <w:szCs w:val="20"/>
              </w:rPr>
              <w:t xml:space="preserve"> </w:t>
            </w:r>
          </w:p>
          <w:p w14:paraId="34420AFE">
            <w:pPr>
              <w:tabs>
                <w:tab w:val="left" w:pos="420"/>
              </w:tabs>
              <w:spacing w:after="0"/>
              <w:jc w:val="both"/>
              <w:rPr>
                <w:rFonts w:ascii="Times New Roman" w:hAnsi="Times New Roman" w:eastAsia="Helvetica" w:cs="Times New Roman"/>
                <w:color w:val="333333"/>
                <w:sz w:val="20"/>
                <w:szCs w:val="20"/>
                <w:shd w:val="clear" w:color="auto" w:fill="FFFFFF"/>
              </w:rPr>
            </w:pPr>
            <w:r>
              <w:rPr>
                <w:rFonts w:ascii="Times New Roman" w:hAnsi="Times New Roman" w:cs="Times New Roman" w:eastAsiaTheme="minorEastAsia"/>
                <w:sz w:val="20"/>
                <w:szCs w:val="20"/>
              </w:rPr>
              <w:t xml:space="preserve">We suggest to add option 0 as </w:t>
            </w:r>
            <w:r>
              <w:rPr>
                <w:rFonts w:ascii="Times New Roman" w:hAnsi="Times New Roman" w:eastAsia="Helvetica"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pPr>
              <w:tabs>
                <w:tab w:val="left" w:pos="420"/>
              </w:tabs>
              <w:spacing w:after="0"/>
              <w:jc w:val="both"/>
              <w:rPr>
                <w:rFonts w:ascii="Times New Roman" w:hAnsi="Times New Roman" w:cs="Times New Roman" w:eastAsiaTheme="minorEastAsia"/>
                <w:sz w:val="20"/>
                <w:szCs w:val="20"/>
              </w:rPr>
            </w:pPr>
            <w:r>
              <w:rPr>
                <w:rFonts w:ascii="Times New Roman" w:hAnsi="Times New Roman" w:cs="Times New Roman" w:eastAsiaTheme="minorEastAsia"/>
                <w:sz w:val="20"/>
                <w:szCs w:val="20"/>
              </w:rPr>
              <w:t>Following update on the proposal is suggested.</w:t>
            </w:r>
          </w:p>
          <w:p w14:paraId="4826A1A0">
            <w:pPr>
              <w:tabs>
                <w:tab w:val="left" w:pos="420"/>
              </w:tabs>
              <w:spacing w:after="0"/>
              <w:jc w:val="both"/>
              <w:rPr>
                <w:rFonts w:ascii="Times New Roman" w:hAnsi="Times New Roman" w:cs="Times New Roman" w:eastAsiaTheme="minorEastAsia"/>
                <w:sz w:val="20"/>
                <w:szCs w:val="20"/>
              </w:rPr>
            </w:pPr>
          </w:p>
          <w:p w14:paraId="0D1347D4">
            <w:pPr>
              <w:numPr>
                <w:ilvl w:val="255"/>
                <w:numId w:val="0"/>
              </w:num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Proposed agreement: </w:t>
            </w:r>
          </w:p>
          <w:p w14:paraId="37B7352E">
            <w:pPr>
              <w:numPr>
                <w:ilvl w:val="255"/>
                <w:numId w:val="0"/>
              </w:numPr>
              <w:spacing w:after="0"/>
              <w:ind w:left="3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the options </w:t>
            </w:r>
            <w:r>
              <w:rPr>
                <w:rFonts w:ascii="Times New Roman" w:hAnsi="Times New Roman" w:cs="Times New Roman"/>
                <w:color w:val="FF0000"/>
                <w:sz w:val="20"/>
                <w:szCs w:val="20"/>
                <w:lang w:val="en-GB"/>
              </w:rPr>
              <w:t xml:space="preserve">(including CA option 0 and the options agreed in RAN1#123) </w:t>
            </w:r>
            <w:r>
              <w:rPr>
                <w:rFonts w:ascii="Times New Roman" w:hAnsi="Times New Roman" w:cs="Times New Roman"/>
                <w:sz w:val="20"/>
                <w:szCs w:val="20"/>
                <w:lang w:val="en-GB"/>
              </w:rPr>
              <w:t>for support of 400MHz bandwidth at UE side, from RAN1 perspective,</w:t>
            </w:r>
          </w:p>
          <w:p w14:paraId="0A800326">
            <w:pPr>
              <w:numPr>
                <w:ilvl w:val="0"/>
                <w:numId w:val="7"/>
              </w:numPr>
              <w:spacing w:after="0"/>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Option 0 is </w:t>
            </w:r>
            <w:r>
              <w:rPr>
                <w:rFonts w:ascii="Times New Roman" w:hAnsi="Times New Roman" w:cs="Times New Roman" w:eastAsiaTheme="minorEastAsia"/>
                <w:color w:val="FF0000"/>
                <w:sz w:val="20"/>
                <w:szCs w:val="20"/>
              </w:rPr>
              <w:t xml:space="preserve">as </w:t>
            </w:r>
            <w:r>
              <w:rPr>
                <w:rFonts w:ascii="Times New Roman" w:hAnsi="Times New Roman" w:eastAsia="Helvetica" w:cs="Times New Roman"/>
                <w:color w:val="FF0000"/>
                <w:sz w:val="20"/>
                <w:szCs w:val="20"/>
                <w:shd w:val="clear" w:color="auto" w:fill="FFFFFF"/>
              </w:rPr>
              <w:t>CA 200MHz*2 scheme for UE operation with 400MHz bandwidth</w:t>
            </w:r>
          </w:p>
          <w:p w14:paraId="6C058FAF">
            <w:pPr>
              <w:numPr>
                <w:ilvl w:val="0"/>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Both Option 1 and Option 2 are 400MHz single cell/carrier operation.</w:t>
            </w:r>
          </w:p>
          <w:p w14:paraId="2C662656">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Option 2 requires RAN4 study on the feasibility and performance impact due to separate RF chains</w:t>
            </w:r>
          </w:p>
          <w:p w14:paraId="65D96B29">
            <w:pPr>
              <w:numPr>
                <w:ilvl w:val="0"/>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Option 3, 4 and 5 are 2*200MHz carrier operation</w:t>
            </w:r>
          </w:p>
          <w:p w14:paraId="60F0ED64">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The two BB processors are completely separately</w:t>
            </w:r>
          </w:p>
          <w:p w14:paraId="15D00BF1">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rPr>
              <w:t>A physical channel/signal does not go across 200MHz carrier boundary</w:t>
            </w:r>
          </w:p>
          <w:p w14:paraId="6966E4A1">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rPr>
              <w:t xml:space="preserve">At least the two carriers can be two cells, i.e. </w:t>
            </w:r>
            <w:r>
              <w:rPr>
                <w:rFonts w:ascii="Times New Roman" w:hAnsi="Times New Roman" w:cs="Times New Roman"/>
                <w:sz w:val="20"/>
                <w:szCs w:val="20"/>
                <w:lang w:val="en-GB"/>
              </w:rPr>
              <w:t>2*200MHz</w:t>
            </w:r>
            <w:r>
              <w:rPr>
                <w:rFonts w:ascii="Times New Roman" w:hAnsi="Times New Roman" w:cs="Times New Roman"/>
                <w:sz w:val="20"/>
                <w:szCs w:val="20"/>
              </w:rPr>
              <w:t xml:space="preserve"> CA operation</w:t>
            </w:r>
          </w:p>
          <w:p w14:paraId="2B5DEAA7">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rPr>
              <w:t>FFS whether the two carriers can be associated with a same cell</w:t>
            </w:r>
          </w:p>
          <w:p w14:paraId="4CFFCD4D">
            <w:pPr>
              <w:numPr>
                <w:ilvl w:val="0"/>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Strive to down-select to a single option</w:t>
            </w:r>
            <w:r>
              <w:rPr>
                <w:rFonts w:ascii="Times New Roman" w:hAnsi="Times New Roman" w:cs="Times New Roman"/>
                <w:sz w:val="20"/>
                <w:szCs w:val="20"/>
              </w:rPr>
              <w:t xml:space="preserve"> </w:t>
            </w:r>
            <w:r>
              <w:rPr>
                <w:rFonts w:ascii="Times New Roman" w:hAnsi="Times New Roman" w:cs="Times New Roman"/>
                <w:color w:val="FF0000"/>
                <w:sz w:val="20"/>
                <w:szCs w:val="20"/>
              </w:rPr>
              <w:t>(among CA option 0 and non-CA options 1~5)</w:t>
            </w:r>
            <w:r>
              <w:rPr>
                <w:rFonts w:ascii="Times New Roman" w:hAnsi="Times New Roman" w:cs="Times New Roman"/>
                <w:sz w:val="20"/>
                <w:szCs w:val="20"/>
              </w:rPr>
              <w:t xml:space="preserve"> to reduce specification and operational complexity</w:t>
            </w:r>
          </w:p>
          <w:p w14:paraId="0C73EB80">
            <w:pPr>
              <w:numPr>
                <w:ilvl w:val="1"/>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UL and DL are discussed independently</w:t>
            </w:r>
          </w:p>
          <w:p w14:paraId="561E4FE3">
            <w:pPr>
              <w:numPr>
                <w:ilvl w:val="0"/>
                <w:numId w:val="7"/>
              </w:numPr>
              <w:spacing w:after="0"/>
              <w:jc w:val="both"/>
              <w:rPr>
                <w:rFonts w:ascii="Times New Roman" w:hAnsi="Times New Roman" w:cs="Times New Roman"/>
                <w:sz w:val="20"/>
                <w:szCs w:val="20"/>
                <w:lang w:val="en-GB"/>
              </w:rPr>
            </w:pPr>
            <w:r>
              <w:rPr>
                <w:rFonts w:ascii="Times New Roman" w:hAnsi="Times New Roman" w:cs="Times New Roman"/>
                <w:sz w:val="20"/>
                <w:szCs w:val="20"/>
                <w:lang w:val="en-GB"/>
              </w:rPr>
              <w:t>Note: the NR concept of cell, carrier, CA are used above for discussion purpose only</w:t>
            </w:r>
          </w:p>
          <w:p w14:paraId="63EB8EC1">
            <w:pPr>
              <w:numPr>
                <w:ilvl w:val="255"/>
                <w:numId w:val="0"/>
              </w:numPr>
              <w:spacing w:after="0"/>
              <w:ind w:left="360"/>
              <w:jc w:val="both"/>
              <w:rPr>
                <w:rFonts w:ascii="Times New Roman" w:hAnsi="Times New Roman" w:cs="Times New Roman"/>
                <w:sz w:val="20"/>
                <w:szCs w:val="20"/>
                <w:lang w:val="en-GB"/>
              </w:rPr>
            </w:pPr>
          </w:p>
          <w:p w14:paraId="5ED07367">
            <w:pPr>
              <w:spacing w:after="0"/>
              <w:ind w:left="720" w:hanging="360"/>
              <w:jc w:val="both"/>
              <w:rPr>
                <w:rFonts w:ascii="Times New Roman" w:hAnsi="Times New Roman" w:eastAsia="Helvetica" w:cs="Times New Roman"/>
                <w:color w:val="333333"/>
                <w:sz w:val="20"/>
                <w:szCs w:val="20"/>
                <w:shd w:val="clear" w:color="auto" w:fill="FFFFFF"/>
              </w:rPr>
            </w:pPr>
          </w:p>
          <w:p w14:paraId="7DE828D4">
            <w:pPr>
              <w:widowControl w:val="0"/>
              <w:suppressAutoHyphens/>
              <w:spacing w:line="256" w:lineRule="auto"/>
              <w:jc w:val="both"/>
              <w:rPr>
                <w:rFonts w:ascii="Times New Roman" w:hAnsi="Times New Roman" w:cs="Times New Roman" w:eastAsiaTheme="minorEastAsia"/>
                <w:sz w:val="20"/>
                <w:szCs w:val="20"/>
                <w:lang w:val="en-GB"/>
              </w:rPr>
            </w:pPr>
          </w:p>
        </w:tc>
      </w:tr>
      <w:tr w14:paraId="6E4F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E3F5798">
            <w:pPr>
              <w:widowControl w:val="0"/>
              <w:suppressAutoHyphens/>
              <w:spacing w:line="256" w:lineRule="auto"/>
              <w:jc w:val="center"/>
              <w:rPr>
                <w:rFonts w:ascii="Calibri" w:hAnsi="Calibri" w:eastAsia="宋体" w:cs="Arial"/>
                <w:sz w:val="20"/>
                <w:szCs w:val="20"/>
              </w:rPr>
            </w:pPr>
            <w:r>
              <w:rPr>
                <w:rFonts w:ascii="Times New Roman" w:hAnsi="Times New Roman" w:eastAsia="宋体" w:cs="Times New Roman"/>
                <w:sz w:val="20"/>
                <w:szCs w:val="20"/>
                <w:lang w:val="en-GB"/>
              </w:rPr>
              <w:t>CATT</w:t>
            </w:r>
          </w:p>
        </w:tc>
        <w:tc>
          <w:tcPr>
            <w:tcW w:w="3825" w:type="pct"/>
          </w:tcPr>
          <w:p w14:paraId="696AECFF">
            <w:pPr>
              <w:widowControl w:val="0"/>
              <w:suppressAutoHyphens/>
              <w:spacing w:line="256" w:lineRule="auto"/>
              <w:jc w:val="both"/>
              <w:rPr>
                <w:rFonts w:ascii="Times" w:hAnsi="Times" w:eastAsia="等线" w:cs="Arial"/>
                <w:sz w:val="20"/>
              </w:rPr>
            </w:pPr>
            <w:r>
              <w:rPr>
                <w:rFonts w:hint="eastAsia" w:ascii="Times" w:hAnsi="Times" w:eastAsia="等线" w:cs="Arial"/>
                <w:sz w:val="20"/>
              </w:rPr>
              <w:t>We are fine with this clarification in general. J</w:t>
            </w:r>
            <w:r>
              <w:rPr>
                <w:rFonts w:ascii="Times" w:hAnsi="Times" w:eastAsia="等线" w:cs="Arial"/>
                <w:sz w:val="20"/>
              </w:rPr>
              <w:t>u</w:t>
            </w:r>
            <w:r>
              <w:rPr>
                <w:rFonts w:hint="eastAsia" w:ascii="Times" w:hAnsi="Times" w:eastAsia="等线" w:cs="Arial"/>
                <w:sz w:val="20"/>
              </w:rPr>
              <w:t xml:space="preserve">st to mention, it is still </w:t>
            </w:r>
            <w:r>
              <w:rPr>
                <w:rFonts w:hint="eastAsia" w:ascii="Times" w:hAnsi="Times" w:eastAsia="等线" w:cs="Arial"/>
                <w:i/>
                <w:sz w:val="20"/>
              </w:rPr>
              <w:t>FFS which aspects of the BB processor in option 3 and 4 should be separated/</w:t>
            </w:r>
            <w:r>
              <w:rPr>
                <w:rFonts w:ascii="Times" w:hAnsi="Times" w:eastAsia="等线" w:cs="Arial"/>
                <w:i/>
                <w:sz w:val="20"/>
              </w:rPr>
              <w:t>paralleled</w:t>
            </w:r>
            <w:r>
              <w:rPr>
                <w:rFonts w:hint="eastAsia" w:ascii="Times" w:hAnsi="Times" w:eastAsia="等线" w:cs="Arial"/>
                <w:sz w:val="20"/>
              </w:rPr>
              <w:t xml:space="preserve">, so </w:t>
            </w:r>
            <w:r>
              <w:rPr>
                <w:rFonts w:ascii="Times" w:hAnsi="Times" w:eastAsia="等线" w:cs="Arial"/>
                <w:sz w:val="20"/>
              </w:rPr>
              <w:t>‘The two BB processors are completely separately’</w:t>
            </w:r>
            <w:r>
              <w:rPr>
                <w:rFonts w:hint="eastAsia" w:ascii="Times" w:hAnsi="Times" w:eastAsia="等线" w:cs="Arial"/>
                <w:sz w:val="20"/>
              </w:rPr>
              <w:t xml:space="preserve"> may not be 100% correct. </w:t>
            </w:r>
          </w:p>
          <w:p w14:paraId="3F1045B9">
            <w:pPr>
              <w:pStyle w:val="34"/>
              <w:shd w:val="clear" w:color="auto" w:fill="FFFFFF"/>
              <w:rPr>
                <w:rFonts w:ascii="Calibri" w:hAnsi="Calibri" w:eastAsia="Helvetica" w:cs="Arial"/>
                <w:color w:val="333333"/>
                <w:sz w:val="20"/>
                <w:szCs w:val="20"/>
                <w:shd w:val="clear" w:color="auto" w:fill="FFFFFF"/>
              </w:rPr>
            </w:pPr>
            <w:r>
              <w:rPr>
                <w:rFonts w:ascii="Times New Roman" w:hAnsi="Times New Roman" w:cs="Times New Roman" w:eastAsiaTheme="minorEastAsia"/>
                <w:sz w:val="20"/>
                <w:szCs w:val="20"/>
              </w:rPr>
              <w:t xml:space="preserve">Regarding down-selection, Option 1 will be the simplest option. </w:t>
            </w:r>
            <w:r>
              <w:rPr>
                <w:rFonts w:hint="eastAsia" w:ascii="Times New Roman" w:hAnsi="Times New Roman" w:cs="Times New Roman" w:eastAsiaTheme="minorEastAsia"/>
                <w:sz w:val="20"/>
                <w:szCs w:val="20"/>
              </w:rPr>
              <w:t xml:space="preserve">But we would like to hear more views from UE vendors and hopefully not make it an optional feature or UE capability issue. </w:t>
            </w:r>
          </w:p>
        </w:tc>
      </w:tr>
      <w:tr w14:paraId="450B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E29A7FB">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14799E5F">
            <w:pPr>
              <w:widowControl w:val="0"/>
              <w:suppressAutoHyphens/>
              <w:spacing w:line="256" w:lineRule="auto"/>
              <w:jc w:val="both"/>
              <w:rPr>
                <w:rFonts w:ascii="Calibri" w:hAnsi="Calibri" w:cs="Arial"/>
                <w:b/>
                <w:bCs/>
                <w:szCs w:val="22"/>
              </w:rPr>
            </w:pPr>
            <w:r>
              <w:rPr>
                <w:rFonts w:ascii="Calibri" w:hAnsi="Calibri" w:eastAsia="MS Mincho"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hAnsi="Calibri" w:eastAsia="MS Mincho" w:cs="Arial"/>
                <w:kern w:val="2"/>
                <w:szCs w:val="22"/>
                <w:lang w:val="en-GB" w:eastAsia="ja-JP"/>
              </w:rPr>
              <w:noBreakHyphen/>
            </w:r>
            <w:r>
              <w:rPr>
                <w:rFonts w:ascii="Calibri" w:hAnsi="Calibri" w:eastAsia="MS Mincho" w:cs="Arial"/>
                <w:kern w:val="2"/>
                <w:szCs w:val="22"/>
                <w:lang w:val="en-GB" w:eastAsia="ja-JP"/>
              </w:rPr>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7F1E3606">
            <w:pPr>
              <w:widowControl w:val="0"/>
              <w:suppressAutoHyphens/>
              <w:spacing w:line="256" w:lineRule="auto"/>
              <w:jc w:val="both"/>
              <w:rPr>
                <w:rFonts w:ascii="Times" w:hAnsi="Times" w:eastAsia="等线" w:cs="Arial"/>
                <w:sz w:val="20"/>
              </w:rPr>
            </w:pPr>
          </w:p>
        </w:tc>
      </w:tr>
      <w:tr w14:paraId="1229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A8AD66C">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3B50E08D">
            <w:pPr>
              <w:widowControl w:val="0"/>
              <w:suppressAutoHyphens/>
              <w:spacing w:line="254" w:lineRule="auto"/>
              <w:jc w:val="both"/>
              <w:rPr>
                <w:rFonts w:ascii="Times" w:hAnsi="Times" w:eastAsia="PMingLiU" w:cs="Arial"/>
                <w:sz w:val="20"/>
                <w:lang w:eastAsia="zh-TW"/>
              </w:rPr>
            </w:pPr>
            <w:r>
              <w:rPr>
                <w:rFonts w:ascii="Times" w:hAnsi="Times" w:eastAsia="PMingLiU" w:cs="Arial"/>
                <w:sz w:val="20"/>
                <w:lang w:eastAsia="zh-TW"/>
              </w:rPr>
              <w:t>We have some concerns on the proposal.</w:t>
            </w:r>
          </w:p>
          <w:p w14:paraId="28C349AE">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Both Option 1 and Option 2 are 400MHz single cell/carrier operation</w:t>
            </w:r>
            <w:r>
              <w:rPr>
                <w:rFonts w:ascii="Times" w:hAnsi="Times" w:eastAsia="PMingLiU" w:cs="Arial"/>
                <w:sz w:val="20"/>
                <w:lang w:eastAsia="zh-TW"/>
              </w:rPr>
              <w:t>”, we think Option 2 can be implemented with single cell with two carriers.</w:t>
            </w:r>
          </w:p>
          <w:p w14:paraId="66EE647C">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Option 2 requires RAN4 study on the feasibility and performance impact due to separate RF chains</w:t>
            </w:r>
            <w:r>
              <w:rPr>
                <w:rFonts w:ascii="Times" w:hAnsi="Times" w:eastAsia="PMingLiU" w:cs="Arial"/>
                <w:sz w:val="20"/>
                <w:lang w:eastAsia="zh-TW"/>
              </w:rPr>
              <w:t xml:space="preserve">”, Looking at the </w:t>
            </w:r>
            <w:r>
              <w:rPr>
                <w:rFonts w:ascii="Calibri" w:hAnsi="Calibri" w:eastAsia="宋体" w:cs="Arial"/>
                <w:sz w:val="20"/>
                <w:lang w:val="en-GB"/>
              </w:rPr>
              <w:t>“</w:t>
            </w:r>
            <w:r>
              <w:rPr>
                <w:rFonts w:ascii="Times" w:hAnsi="Times" w:eastAsia="PMingLiU" w:cs="Arial"/>
                <w:color w:val="00B050"/>
                <w:sz w:val="20"/>
                <w:lang w:eastAsia="zh-TW"/>
              </w:rPr>
              <w:t>RAN4 #117 agreement</w:t>
            </w:r>
            <w:r>
              <w:rPr>
                <w:rFonts w:ascii="Calibri" w:hAnsi="Calibri" w:eastAsia="PMingLiU" w:cs="Arial"/>
                <w:color w:val="00B050"/>
                <w:sz w:val="20"/>
                <w:lang w:eastAsia="zh-TW"/>
              </w:rPr>
              <w:t xml:space="preserve">: </w:t>
            </w:r>
            <w:r>
              <w:rPr>
                <w:rFonts w:ascii="Calibri" w:hAnsi="Calibri" w:eastAsia="宋体" w:cs="Arial"/>
                <w:color w:val="00B050"/>
                <w:sz w:val="20"/>
                <w:lang w:val="en-GB"/>
              </w:rPr>
              <w:t>Discuss the feasibility and necessity to support 400MHz either as single CC or CA for UE from RAN4 perspective</w:t>
            </w:r>
            <w:r>
              <w:rPr>
                <w:rFonts w:ascii="Calibri" w:hAnsi="Calibri" w:eastAsia="宋体" w:cs="Arial"/>
                <w:sz w:val="20"/>
                <w:lang w:val="en-GB"/>
              </w:rPr>
              <w:t>”, both Options 1 and 2 need further RAN4 study on feasibility, e.g. whether Option 1 can support high order QAM due to the inferior SINR. The sentence is hence not accurate.</w:t>
            </w:r>
          </w:p>
          <w:p w14:paraId="6291E5CD">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Strive to down-select to a single option to reduce specification and operational complexity</w:t>
            </w:r>
            <w:r>
              <w:rPr>
                <w:rFonts w:ascii="Times" w:hAnsi="Times" w:eastAsia="PMingLiU" w:cs="Arial"/>
                <w:sz w:val="20"/>
                <w:lang w:eastAsia="zh-TW"/>
              </w:rPr>
              <w:t>”, we think it is too early to set this restriction, e.g., maybe there can be allowed to be one basic option and one [optional] advanced option to achieve a more optimized system performance.</w:t>
            </w:r>
          </w:p>
        </w:tc>
      </w:tr>
      <w:tr w14:paraId="009E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4D4A520">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China Telecom</w:t>
            </w:r>
          </w:p>
        </w:tc>
        <w:tc>
          <w:tcPr>
            <w:tcW w:w="3825" w:type="pct"/>
          </w:tcPr>
          <w:p w14:paraId="3CCF87EE">
            <w:pPr>
              <w:widowControl w:val="0"/>
              <w:suppressAutoHyphens/>
              <w:spacing w:line="254" w:lineRule="auto"/>
              <w:jc w:val="both"/>
              <w:rPr>
                <w:rFonts w:ascii="Times" w:hAnsi="Times" w:eastAsia="PMingLiU" w:cs="Arial"/>
                <w:sz w:val="20"/>
                <w:lang w:eastAsia="zh-TW"/>
              </w:rPr>
            </w:pPr>
            <w:r>
              <w:rPr>
                <w:rFonts w:hint="eastAsia" w:ascii="Calibri" w:hAnsi="Calibri" w:eastAsia="宋体" w:cs="Arial"/>
                <w:kern w:val="2"/>
                <w:szCs w:val="22"/>
              </w:rPr>
              <w:t xml:space="preserve">We are fine with the proposal for clarifications. Regarding the down-selection, our first </w:t>
            </w:r>
            <w:r>
              <w:rPr>
                <w:rFonts w:ascii="Calibri" w:hAnsi="Calibri" w:eastAsia="宋体" w:cs="Arial"/>
                <w:kern w:val="2"/>
                <w:szCs w:val="22"/>
              </w:rPr>
              <w:t>preference</w:t>
            </w:r>
            <w:r>
              <w:rPr>
                <w:rFonts w:hint="eastAsia" w:ascii="Calibri" w:hAnsi="Calibri" w:eastAsia="宋体" w:cs="Arial"/>
                <w:kern w:val="2"/>
                <w:szCs w:val="22"/>
              </w:rPr>
              <w:t xml:space="preserve"> is Option 1 because it </w:t>
            </w:r>
            <w:r>
              <w:rPr>
                <w:rFonts w:ascii="Calibri" w:hAnsi="Calibri" w:eastAsia="宋体" w:cs="Arial"/>
                <w:kern w:val="2"/>
                <w:szCs w:val="22"/>
              </w:rPr>
              <w:t>offers significant advantages, including higher scheduling gain, minimized overhead from internal guard bands, and superior signal quality.</w:t>
            </w:r>
          </w:p>
        </w:tc>
      </w:tr>
      <w:tr w14:paraId="56F7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5E42465">
            <w:pPr>
              <w:widowControl w:val="0"/>
              <w:suppressAutoHyphens/>
              <w:spacing w:line="254" w:lineRule="auto"/>
              <w:jc w:val="center"/>
              <w:rPr>
                <w:rFonts w:ascii="Calibri" w:hAnsi="Calibri" w:eastAsia="宋体" w:cs="Arial"/>
                <w:kern w:val="2"/>
                <w:szCs w:val="22"/>
                <w:lang w:val="en-GB"/>
              </w:rPr>
            </w:pPr>
            <w:r>
              <w:rPr>
                <w:rFonts w:ascii="Times New Roman" w:hAnsi="Times New Roman" w:cs="Times New Roman"/>
                <w:sz w:val="20"/>
                <w:szCs w:val="20"/>
                <w:lang w:val="en-GB" w:eastAsia="en-US"/>
              </w:rPr>
              <w:t>Google</w:t>
            </w:r>
          </w:p>
        </w:tc>
        <w:tc>
          <w:tcPr>
            <w:tcW w:w="3825" w:type="pct"/>
          </w:tcPr>
          <w:p w14:paraId="78B2A6DC">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2C551447">
            <w:pPr>
              <w:widowControl w:val="0"/>
              <w:suppressAutoHyphens/>
              <w:spacing w:line="254" w:lineRule="auto"/>
              <w:jc w:val="both"/>
              <w:rPr>
                <w:rFonts w:hint="eastAsia" w:ascii="Calibri" w:hAnsi="Calibri" w:eastAsia="宋体" w:cs="Arial"/>
                <w:kern w:val="2"/>
                <w:szCs w:val="22"/>
              </w:rPr>
            </w:pPr>
            <w:r>
              <w:rPr>
                <w:rFonts w:ascii="Times New Roman" w:hAnsi="Times New Roman" w:cs="Times New Roman"/>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bl>
    <w:p w14:paraId="326D501A">
      <w:pPr>
        <w:spacing w:before="120"/>
        <w:rPr>
          <w:rFonts w:eastAsiaTheme="minorEastAsia"/>
        </w:rPr>
      </w:pPr>
    </w:p>
    <w:p w14:paraId="26A6BF1A">
      <w:pPr>
        <w:spacing w:before="120"/>
        <w:rPr>
          <w:rFonts w:eastAsiaTheme="minorEastAsia"/>
          <w:lang w:val="en-GB"/>
        </w:rPr>
      </w:pPr>
    </w:p>
    <w:p w14:paraId="65FE1120">
      <w:pPr>
        <w:pStyle w:val="2"/>
        <w:spacing w:after="120"/>
        <w:rPr>
          <w:rFonts w:eastAsiaTheme="minorEastAsia"/>
          <w:lang w:val="en-GB"/>
        </w:rPr>
      </w:pPr>
      <w:r>
        <w:rPr>
          <w:rFonts w:eastAsiaTheme="minorEastAsia"/>
          <w:lang w:val="en-GB"/>
        </w:rPr>
        <w:t>Numerology and frame structure</w:t>
      </w:r>
    </w:p>
    <w:p w14:paraId="5EE3D9CE">
      <w:pPr>
        <w:pStyle w:val="3"/>
        <w:spacing w:after="120"/>
        <w:rPr>
          <w:rFonts w:eastAsia="等线"/>
        </w:rPr>
      </w:pPr>
      <w:r>
        <w:rPr>
          <w:rFonts w:hint="eastAsia" w:eastAsia="等线"/>
        </w:rPr>
        <w:t>R</w:t>
      </w:r>
      <w:r>
        <w:rPr>
          <w:rFonts w:eastAsia="等线"/>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6357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6627A43A">
            <w:pPr>
              <w:widowControl w:val="0"/>
              <w:autoSpaceDE w:val="0"/>
              <w:autoSpaceDN w:val="0"/>
              <w:adjustRightInd/>
              <w:snapToGrid/>
              <w:spacing w:after="180"/>
              <w:jc w:val="both"/>
              <w:rPr>
                <w:rFonts w:ascii="Times" w:hAnsi="Times" w:eastAsia="等线"/>
                <w:sz w:val="20"/>
                <w:highlight w:val="green"/>
                <w:lang w:val="en-GB"/>
              </w:rPr>
            </w:pPr>
            <w:r>
              <w:rPr>
                <w:rFonts w:eastAsia="等线"/>
                <w:sz w:val="20"/>
                <w:szCs w:val="20"/>
                <w:highlight w:val="green"/>
                <w:lang w:val="en-GB"/>
              </w:rPr>
              <w:t>Agreement (RAN1#122)</w:t>
            </w:r>
          </w:p>
          <w:p w14:paraId="19D43098">
            <w:pPr>
              <w:widowControl w:val="0"/>
              <w:numPr>
                <w:ilvl w:val="0"/>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6GR takes the following SCS as start point for discussion for all the signals/channels except PRACH. </w:t>
            </w:r>
          </w:p>
          <w:p w14:paraId="7C5903CB">
            <w:pPr>
              <w:widowControl w:val="0"/>
              <w:numPr>
                <w:ilvl w:val="1"/>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sub 6GHz</w:t>
            </w:r>
          </w:p>
          <w:p w14:paraId="7DF37502">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is at least supported</w:t>
            </w:r>
          </w:p>
          <w:p w14:paraId="7FDCCE13">
            <w:pPr>
              <w:widowControl w:val="0"/>
              <w:numPr>
                <w:ilvl w:val="3"/>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15kHz SCS for FDD, 30kHz SCS for TDD</w:t>
            </w:r>
          </w:p>
          <w:p w14:paraId="54DAB4F3">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30kHz SCS for FDD for around e.g., 1-2.5GHz</w:t>
            </w:r>
          </w:p>
          <w:p w14:paraId="655CA677">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7.5kHz SCS for sub1GHz (FDD)</w:t>
            </w:r>
          </w:p>
          <w:p w14:paraId="2E6B1B6B">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the FFS will be subject to RANP decision.</w:t>
            </w:r>
          </w:p>
          <w:p w14:paraId="5E0798D5">
            <w:pPr>
              <w:widowControl w:val="0"/>
              <w:numPr>
                <w:ilvl w:val="1"/>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around 7GHz</w:t>
            </w:r>
          </w:p>
          <w:p w14:paraId="647F0FB9">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798B1F12">
            <w:pPr>
              <w:widowControl w:val="0"/>
              <w:numPr>
                <w:ilvl w:val="3"/>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30kHz, 60kHz</w:t>
            </w:r>
          </w:p>
          <w:p w14:paraId="6933E0D6">
            <w:pPr>
              <w:widowControl w:val="0"/>
              <w:numPr>
                <w:ilvl w:val="1"/>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For around 15GHz</w:t>
            </w:r>
          </w:p>
          <w:p w14:paraId="06454FC8">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2C125D8F">
            <w:pPr>
              <w:widowControl w:val="0"/>
              <w:numPr>
                <w:ilvl w:val="3"/>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30kHz, 60kHz, 120kHz </w:t>
            </w:r>
          </w:p>
          <w:p w14:paraId="579C0FBD">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it will be subject to RANP decision</w:t>
            </w:r>
          </w:p>
          <w:p w14:paraId="1914A8DE">
            <w:pPr>
              <w:widowControl w:val="0"/>
              <w:numPr>
                <w:ilvl w:val="1"/>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between 24.25GHz - 52.6GHz</w:t>
            </w:r>
          </w:p>
          <w:p w14:paraId="489F1302">
            <w:pPr>
              <w:widowControl w:val="0"/>
              <w:numPr>
                <w:ilvl w:val="2"/>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Subcarrier spacing 120kHz is supported</w:t>
            </w:r>
          </w:p>
          <w:p w14:paraId="19A8FCB6">
            <w:pPr>
              <w:widowControl w:val="0"/>
              <w:numPr>
                <w:ilvl w:val="1"/>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whether to allow using additional subcarrier spacing for SSB</w:t>
            </w:r>
          </w:p>
          <w:p w14:paraId="02F38273">
            <w:pPr>
              <w:widowControl w:val="0"/>
              <w:numPr>
                <w:ilvl w:val="0"/>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subcarrier spacing for PRACH and up to initial access discussion.</w:t>
            </w:r>
          </w:p>
          <w:p w14:paraId="52E02F52">
            <w:pPr>
              <w:widowControl w:val="0"/>
              <w:autoSpaceDE w:val="0"/>
              <w:autoSpaceDN w:val="0"/>
              <w:adjustRightInd/>
              <w:snapToGrid/>
              <w:spacing w:after="180"/>
              <w:jc w:val="both"/>
              <w:rPr>
                <w:rFonts w:eastAsia="等线"/>
                <w:sz w:val="20"/>
                <w:szCs w:val="20"/>
                <w:highlight w:val="cyan"/>
                <w:lang w:val="en-GB"/>
              </w:rPr>
            </w:pPr>
          </w:p>
          <w:p w14:paraId="7D8449CF">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Conclusion (RAN1#122)</w:t>
            </w:r>
          </w:p>
          <w:p w14:paraId="5710860E">
            <w:pPr>
              <w:widowControl w:val="0"/>
              <w:numPr>
                <w:ilvl w:val="0"/>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Numerologies for sensing is up to sensing agenda discussion.</w:t>
            </w:r>
          </w:p>
          <w:p w14:paraId="2FF3AAAB">
            <w:pPr>
              <w:widowControl w:val="0"/>
              <w:autoSpaceDE w:val="0"/>
              <w:autoSpaceDN w:val="0"/>
              <w:adjustRightInd/>
              <w:snapToGrid/>
              <w:spacing w:after="180"/>
              <w:jc w:val="both"/>
              <w:rPr>
                <w:rFonts w:eastAsia="等线"/>
                <w:sz w:val="20"/>
                <w:highlight w:val="cyan"/>
                <w:lang w:val="en-GB"/>
              </w:rPr>
            </w:pPr>
          </w:p>
          <w:p w14:paraId="31E724F5">
            <w:pPr>
              <w:widowControl w:val="0"/>
              <w:autoSpaceDE w:val="0"/>
              <w:autoSpaceDN w:val="0"/>
              <w:adjustRightInd/>
              <w:snapToGrid/>
              <w:spacing w:after="180"/>
              <w:jc w:val="both"/>
              <w:rPr>
                <w:rFonts w:eastAsia="等线"/>
                <w:sz w:val="20"/>
                <w:szCs w:val="20"/>
                <w:highlight w:val="green"/>
                <w:lang w:val="en-GB"/>
              </w:rPr>
            </w:pPr>
            <w:r>
              <w:rPr>
                <w:rFonts w:eastAsia="等线"/>
                <w:sz w:val="20"/>
                <w:szCs w:val="20"/>
                <w:highlight w:val="green"/>
                <w:lang w:val="en-GB"/>
              </w:rPr>
              <w:t>Agreement (RAN1#122)</w:t>
            </w:r>
          </w:p>
          <w:p w14:paraId="0B81A5BF">
            <w:pPr>
              <w:widowControl w:val="0"/>
              <w:numPr>
                <w:ilvl w:val="0"/>
                <w:numId w:val="23"/>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6GR supports normal cyclic prefix, i.e., same as the normal CP defined in NR.</w:t>
            </w:r>
          </w:p>
          <w:p w14:paraId="07C04298">
            <w:pPr>
              <w:widowControl w:val="0"/>
              <w:numPr>
                <w:ilvl w:val="1"/>
                <w:numId w:val="23"/>
              </w:numPr>
              <w:autoSpaceDE w:val="0"/>
              <w:autoSpaceDN w:val="0"/>
              <w:adjustRightInd/>
              <w:snapToGrid/>
              <w:spacing w:after="0"/>
              <w:jc w:val="both"/>
              <w:rPr>
                <w:rFonts w:ascii="Times" w:hAnsi="Times" w:eastAsia="等线"/>
                <w:bCs/>
                <w:sz w:val="20"/>
                <w:szCs w:val="20"/>
                <w:lang w:val="en-GB"/>
              </w:rPr>
            </w:pPr>
            <w:r>
              <w:rPr>
                <w:rFonts w:eastAsia="等线"/>
                <w:bCs/>
                <w:sz w:val="20"/>
                <w:szCs w:val="20"/>
                <w:lang w:val="en-GB"/>
              </w:rPr>
              <w:t>FFS p</w:t>
            </w:r>
            <w:r>
              <w:rPr>
                <w:rFonts w:eastAsia="等线"/>
                <w:bCs/>
                <w:sz w:val="20"/>
                <w:szCs w:val="20"/>
                <w:lang w:val="en-GB" w:eastAsia="zh-CN"/>
              </w:rPr>
              <w:t xml:space="preserve">otential </w:t>
            </w:r>
            <w:r>
              <w:rPr>
                <w:rFonts w:eastAsia="等线"/>
                <w:bCs/>
                <w:sz w:val="20"/>
                <w:szCs w:val="20"/>
                <w:lang w:val="en-GB"/>
              </w:rPr>
              <w:t>need for</w:t>
            </w:r>
            <w:r>
              <w:rPr>
                <w:rFonts w:eastAsia="等线"/>
                <w:bCs/>
                <w:sz w:val="20"/>
                <w:szCs w:val="20"/>
                <w:lang w:val="en-GB" w:eastAsia="zh-CN"/>
              </w:rPr>
              <w:t xml:space="preserve"> </w:t>
            </w:r>
            <w:r>
              <w:rPr>
                <w:rFonts w:eastAsia="等线"/>
                <w:bCs/>
                <w:sz w:val="20"/>
                <w:szCs w:val="20"/>
                <w:lang w:val="en-GB"/>
              </w:rPr>
              <w:t xml:space="preserve">other </w:t>
            </w:r>
            <w:r>
              <w:rPr>
                <w:rFonts w:eastAsia="等线"/>
                <w:bCs/>
                <w:sz w:val="20"/>
                <w:szCs w:val="20"/>
                <w:lang w:val="en-GB" w:eastAsia="zh-CN"/>
              </w:rPr>
              <w:t>CP</w:t>
            </w:r>
          </w:p>
          <w:p w14:paraId="75C76927">
            <w:pPr>
              <w:widowControl w:val="0"/>
              <w:autoSpaceDE w:val="0"/>
              <w:autoSpaceDN w:val="0"/>
              <w:adjustRightInd/>
              <w:snapToGrid/>
              <w:spacing w:after="0"/>
              <w:ind w:left="880"/>
              <w:jc w:val="both"/>
              <w:rPr>
                <w:rFonts w:ascii="Times" w:hAnsi="Times" w:eastAsia="等线"/>
                <w:bCs/>
                <w:sz w:val="20"/>
                <w:szCs w:val="20"/>
                <w:lang w:val="en-GB"/>
              </w:rPr>
            </w:pPr>
          </w:p>
          <w:p w14:paraId="7E19F640">
            <w:pPr>
              <w:widowControl w:val="0"/>
              <w:autoSpaceDE w:val="0"/>
              <w:autoSpaceDN w:val="0"/>
              <w:adjustRightInd/>
              <w:snapToGrid/>
              <w:spacing w:after="160" w:line="278" w:lineRule="auto"/>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508E378">
            <w:pPr>
              <w:widowControl w:val="0"/>
              <w:autoSpaceDE w:val="0"/>
              <w:autoSpaceDN w:val="0"/>
              <w:adjustRightInd/>
              <w:snapToGrid/>
              <w:spacing w:after="160"/>
              <w:jc w:val="both"/>
              <w:rPr>
                <w:rFonts w:eastAsia="等线"/>
                <w:sz w:val="20"/>
                <w:szCs w:val="20"/>
              </w:rPr>
            </w:pPr>
            <w:r>
              <w:rPr>
                <w:rFonts w:hint="eastAsia" w:eastAsia="等线"/>
                <w:sz w:val="20"/>
                <w:szCs w:val="20"/>
              </w:rPr>
              <w:t>For communication, 6GR considers NR</w:t>
            </w:r>
            <w:r>
              <w:rPr>
                <w:rFonts w:eastAsia="等线"/>
                <w:sz w:val="20"/>
                <w:szCs w:val="20"/>
              </w:rPr>
              <w:t xml:space="preserve"> frame structure used as a starting point </w:t>
            </w:r>
            <w:r>
              <w:rPr>
                <w:rFonts w:hint="eastAsia" w:eastAsia="等线"/>
                <w:sz w:val="20"/>
                <w:szCs w:val="20"/>
              </w:rPr>
              <w:t>for</w:t>
            </w:r>
            <w:r>
              <w:rPr>
                <w:rFonts w:eastAsia="等线"/>
                <w:sz w:val="20"/>
                <w:szCs w:val="20"/>
              </w:rPr>
              <w:t xml:space="preserve"> </w:t>
            </w:r>
            <w:r>
              <w:rPr>
                <w:rFonts w:hint="eastAsia" w:eastAsia="等线"/>
                <w:sz w:val="20"/>
                <w:szCs w:val="20"/>
              </w:rPr>
              <w:t>the study item,</w:t>
            </w:r>
          </w:p>
          <w:p w14:paraId="010B53EE">
            <w:pPr>
              <w:widowControl w:val="0"/>
              <w:numPr>
                <w:ilvl w:val="1"/>
                <w:numId w:val="12"/>
              </w:numPr>
              <w:autoSpaceDE w:val="0"/>
              <w:autoSpaceDN w:val="0"/>
              <w:adjustRightInd/>
              <w:snapToGrid/>
              <w:spacing w:after="160"/>
              <w:jc w:val="both"/>
              <w:rPr>
                <w:rFonts w:ascii="Times" w:hAnsi="Times" w:eastAsia="等线"/>
                <w:sz w:val="20"/>
              </w:rPr>
            </w:pPr>
            <w:r>
              <w:rPr>
                <w:rFonts w:ascii="Times" w:hAnsi="Times" w:eastAsia="等线"/>
                <w:sz w:val="20"/>
              </w:rPr>
              <w:t xml:space="preserve">Resource defined by one subcarrier and one symbol is called as resource element (RE). </w:t>
            </w:r>
          </w:p>
          <w:p w14:paraId="2A9F8311">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 xml:space="preserve">Resource block (RB) is defined </w:t>
            </w:r>
            <w:r>
              <w:rPr>
                <w:rFonts w:ascii="Times" w:hAnsi="Times" w:eastAsia="等线"/>
                <w:sz w:val="20"/>
              </w:rPr>
              <w:t xml:space="preserve">where the number of </w:t>
            </w:r>
            <w:r>
              <w:rPr>
                <w:rFonts w:hint="eastAsia" w:ascii="Times" w:hAnsi="Times" w:eastAsia="等线"/>
                <w:sz w:val="20"/>
              </w:rPr>
              <w:t xml:space="preserve">consecutive </w:t>
            </w:r>
            <w:r>
              <w:rPr>
                <w:rFonts w:ascii="Times" w:hAnsi="Times" w:eastAsia="等线"/>
                <w:sz w:val="20"/>
              </w:rPr>
              <w:t>subcarriers per RB is the same for all numerologies</w:t>
            </w:r>
            <w:r>
              <w:rPr>
                <w:rFonts w:hint="eastAsia" w:ascii="Times" w:hAnsi="Times" w:eastAsia="等线"/>
                <w:sz w:val="20"/>
              </w:rPr>
              <w:t xml:space="preserve"> and</w:t>
            </w:r>
            <w:r>
              <w:rPr>
                <w:rFonts w:ascii="Times" w:hAnsi="Times" w:eastAsia="等线"/>
                <w:sz w:val="20"/>
              </w:rPr>
              <w:t xml:space="preserve"> the number of subcarriers per RB is 12</w:t>
            </w:r>
          </w:p>
          <w:p w14:paraId="4473E018">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Radio Frame length is 10ms</w:t>
            </w:r>
          </w:p>
          <w:p w14:paraId="2C68D18C">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E</w:t>
            </w:r>
            <w:r>
              <w:rPr>
                <w:rFonts w:ascii="Times" w:hAnsi="Times" w:eastAsia="Batang"/>
                <w:sz w:val="20"/>
                <w:lang w:val="en-GB" w:eastAsia="zh-CN"/>
              </w:rPr>
              <w:t xml:space="preserve">ach </w:t>
            </w:r>
            <w:r>
              <w:rPr>
                <w:rFonts w:ascii="Times" w:hAnsi="Times" w:eastAsia="Batang" w:cs="等线"/>
                <w:sz w:val="20"/>
                <w:szCs w:val="21"/>
                <w:lang w:val="en-GB" w:eastAsia="zh-CN"/>
              </w:rPr>
              <w:t>radio frame</w:t>
            </w:r>
            <w:r>
              <w:rPr>
                <w:rFonts w:ascii="Times" w:hAnsi="Times" w:eastAsia="Batang"/>
                <w:sz w:val="20"/>
                <w:lang w:val="en-GB" w:eastAsia="zh-CN"/>
              </w:rPr>
              <w:t xml:space="preserve"> is split into 10 subframes, each with a duration of 1 ms</w:t>
            </w:r>
          </w:p>
          <w:p w14:paraId="4C3BBB54">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lang w:val="en-GB"/>
              </w:rPr>
              <w:t>For given SCS and for given symbol, the symbol duration, normal CP length and boundary is same as NR design.</w:t>
            </w:r>
          </w:p>
          <w:p w14:paraId="2A8E6CB2">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cs="等线"/>
                <w:sz w:val="20"/>
                <w:szCs w:val="21"/>
                <w:lang w:val="en-GB"/>
              </w:rPr>
              <w:t xml:space="preserve">A slot is defined as supporting </w:t>
            </w:r>
            <w:r>
              <w:rPr>
                <w:rFonts w:ascii="Times" w:hAnsi="Times" w:eastAsia="Batang" w:cs="等线"/>
                <w:sz w:val="20"/>
                <w:szCs w:val="21"/>
                <w:lang w:val="en-GB" w:eastAsia="zh-CN"/>
              </w:rPr>
              <w:t xml:space="preserve">14 </w:t>
            </w:r>
            <w:r>
              <w:rPr>
                <w:rFonts w:hint="eastAsia" w:ascii="Times" w:hAnsi="Times" w:eastAsia="等线" w:cs="等线"/>
                <w:sz w:val="20"/>
                <w:szCs w:val="21"/>
                <w:lang w:val="en-GB"/>
              </w:rPr>
              <w:t xml:space="preserve">consecutive </w:t>
            </w:r>
            <w:r>
              <w:rPr>
                <w:rFonts w:ascii="Times" w:hAnsi="Times" w:eastAsia="Batang" w:cs="等线"/>
                <w:sz w:val="20"/>
                <w:szCs w:val="21"/>
                <w:lang w:val="en-GB" w:eastAsia="zh-CN"/>
              </w:rPr>
              <w:t>s</w:t>
            </w:r>
            <w:r>
              <w:rPr>
                <w:rFonts w:ascii="Times" w:hAnsi="Times" w:eastAsia="等线" w:cs="等线"/>
                <w:sz w:val="20"/>
                <w:szCs w:val="21"/>
                <w:lang w:val="en-GB"/>
              </w:rPr>
              <w:t>ymbol</w:t>
            </w:r>
            <w:r>
              <w:rPr>
                <w:rFonts w:hint="eastAsia" w:ascii="Times" w:hAnsi="Times" w:eastAsia="等线" w:cs="等线"/>
                <w:sz w:val="20"/>
                <w:szCs w:val="21"/>
                <w:lang w:val="en-GB"/>
              </w:rPr>
              <w:t>s</w:t>
            </w:r>
            <w:r>
              <w:rPr>
                <w:rFonts w:ascii="Times" w:hAnsi="Times" w:eastAsia="等线" w:cs="等线"/>
                <w:sz w:val="20"/>
                <w:szCs w:val="21"/>
                <w:lang w:val="en-GB"/>
              </w:rPr>
              <w:t xml:space="preserve"> </w:t>
            </w:r>
            <w:r>
              <w:rPr>
                <w:rFonts w:hint="eastAsia" w:ascii="Times" w:hAnsi="Times" w:eastAsia="等线" w:cs="等线"/>
                <w:sz w:val="20"/>
                <w:szCs w:val="21"/>
                <w:lang w:val="en-GB"/>
              </w:rPr>
              <w:t xml:space="preserve">for </w:t>
            </w:r>
            <w:r>
              <w:rPr>
                <w:rFonts w:hint="eastAsia" w:ascii="Times" w:hAnsi="Times" w:eastAsia="Malgun Gothic" w:cs="等线"/>
                <w:sz w:val="20"/>
                <w:szCs w:val="21"/>
                <w:lang w:val="en-GB" w:eastAsia="ko-KR"/>
              </w:rPr>
              <w:t>normal CP case and all subcarrier spacings</w:t>
            </w:r>
            <w:r>
              <w:rPr>
                <w:rFonts w:hint="eastAsia" w:ascii="Times" w:hAnsi="Times" w:eastAsia="等线" w:cs="等线"/>
                <w:sz w:val="20"/>
                <w:szCs w:val="21"/>
                <w:lang w:val="en-GB"/>
              </w:rPr>
              <w:t>.</w:t>
            </w:r>
          </w:p>
          <w:p w14:paraId="34ECA0B6">
            <w:pPr>
              <w:widowControl w:val="0"/>
              <w:autoSpaceDE w:val="0"/>
              <w:autoSpaceDN w:val="0"/>
              <w:adjustRightInd/>
              <w:snapToGrid/>
              <w:spacing w:after="18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74DE3ADC">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6GR study assumes same SCS between 6GR Sync signals and other</w:t>
            </w:r>
            <w:r>
              <w:rPr>
                <w:rFonts w:hint="eastAsia" w:eastAsia="MS Mincho"/>
                <w:sz w:val="20"/>
                <w:szCs w:val="20"/>
                <w:lang w:val="en-GB" w:eastAsia="en-US"/>
              </w:rPr>
              <w:t xml:space="preserve"> channels/signals (except P</w:t>
            </w:r>
            <w:r>
              <w:rPr>
                <w:rFonts w:hint="eastAsia" w:eastAsia="等线"/>
                <w:sz w:val="20"/>
                <w:szCs w:val="20"/>
                <w:lang w:val="en-GB"/>
              </w:rPr>
              <w:t>RACH)</w:t>
            </w:r>
            <w:r>
              <w:rPr>
                <w:rFonts w:eastAsia="MS Mincho"/>
                <w:sz w:val="20"/>
                <w:szCs w:val="20"/>
                <w:lang w:val="en-GB" w:eastAsia="en-US"/>
              </w:rPr>
              <w:t xml:space="preserve"> </w:t>
            </w:r>
            <w:r>
              <w:rPr>
                <w:rFonts w:hint="eastAsia" w:eastAsia="等线"/>
                <w:sz w:val="20"/>
                <w:szCs w:val="20"/>
                <w:lang w:val="en-GB"/>
              </w:rPr>
              <w:t>for a given band</w:t>
            </w:r>
            <w:r>
              <w:rPr>
                <w:rFonts w:hint="eastAsia" w:eastAsia="MS Mincho"/>
                <w:sz w:val="20"/>
                <w:szCs w:val="20"/>
                <w:lang w:val="en-GB" w:eastAsia="en-US"/>
              </w:rPr>
              <w:t xml:space="preserve">. </w:t>
            </w:r>
          </w:p>
          <w:p w14:paraId="0C84F479">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eastAsia="zh-CN"/>
              </w:rPr>
            </w:pPr>
            <w:r>
              <w:rPr>
                <w:rFonts w:hint="eastAsia" w:ascii="Times" w:hAnsi="Times" w:eastAsia="等线"/>
                <w:sz w:val="20"/>
                <w:szCs w:val="20"/>
              </w:rPr>
              <w:t xml:space="preserve">FFS: same/different SCS between </w:t>
            </w:r>
            <w:r>
              <w:rPr>
                <w:rFonts w:ascii="Times" w:hAnsi="Times" w:eastAsia="Batang"/>
                <w:sz w:val="21"/>
                <w:szCs w:val="21"/>
              </w:rPr>
              <w:t>6GR sync signal</w:t>
            </w:r>
            <w:r>
              <w:rPr>
                <w:rFonts w:hint="eastAsia" w:ascii="Times" w:hAnsi="Times" w:eastAsia="等线"/>
                <w:sz w:val="20"/>
                <w:szCs w:val="20"/>
              </w:rPr>
              <w:t xml:space="preserve"> and other </w:t>
            </w:r>
            <w:r>
              <w:rPr>
                <w:rFonts w:hint="eastAsia" w:ascii="Times" w:hAnsi="Times" w:eastAsia="Batang"/>
                <w:sz w:val="20"/>
                <w:szCs w:val="20"/>
                <w:lang w:val="en-GB" w:eastAsia="zh-CN"/>
              </w:rPr>
              <w:t>channels/signals (except P</w:t>
            </w:r>
            <w:r>
              <w:rPr>
                <w:rFonts w:hint="eastAsia" w:ascii="Times" w:hAnsi="Times" w:eastAsia="等线"/>
                <w:sz w:val="20"/>
                <w:szCs w:val="20"/>
                <w:lang w:val="en-GB"/>
              </w:rPr>
              <w:t>RACH)</w:t>
            </w:r>
            <w:r>
              <w:rPr>
                <w:rFonts w:hint="eastAsia" w:ascii="Times" w:hAnsi="Times" w:eastAsia="等线"/>
                <w:sz w:val="20"/>
                <w:szCs w:val="20"/>
              </w:rPr>
              <w:t xml:space="preserve"> for </w:t>
            </w:r>
            <w:r>
              <w:rPr>
                <w:rFonts w:hint="eastAsia" w:ascii="Times" w:hAnsi="Times" w:eastAsia="等线"/>
                <w:sz w:val="20"/>
                <w:szCs w:val="20"/>
                <w:lang w:val="en-GB"/>
              </w:rPr>
              <w:t>FR2-1</w:t>
            </w:r>
            <w:r>
              <w:rPr>
                <w:rFonts w:hint="eastAsia" w:ascii="Times" w:hAnsi="Times" w:eastAsia="Batang"/>
                <w:sz w:val="20"/>
                <w:szCs w:val="20"/>
                <w:lang w:val="en-GB" w:eastAsia="zh-CN"/>
              </w:rPr>
              <w:t>.</w:t>
            </w:r>
          </w:p>
          <w:p w14:paraId="63A384D2">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eastAsia="zh-CN"/>
              </w:rPr>
            </w:pPr>
            <w:r>
              <w:rPr>
                <w:rFonts w:hint="eastAsia" w:ascii="Times" w:hAnsi="Times" w:eastAsia="等线"/>
                <w:sz w:val="20"/>
                <w:szCs w:val="20"/>
                <w:lang w:val="en-GB"/>
              </w:rPr>
              <w:t>Note</w:t>
            </w:r>
            <w:r>
              <w:rPr>
                <w:rFonts w:hint="eastAsia" w:ascii="Times" w:hAnsi="Times" w:eastAsia="Batang"/>
                <w:sz w:val="20"/>
                <w:szCs w:val="20"/>
                <w:lang w:val="en-GB" w:eastAsia="zh-CN"/>
              </w:rPr>
              <w:t>:</w:t>
            </w:r>
            <w:r>
              <w:rPr>
                <w:rFonts w:hint="eastAsia" w:ascii="Times" w:hAnsi="Times" w:eastAsia="等线"/>
                <w:sz w:val="20"/>
                <w:szCs w:val="20"/>
                <w:lang w:val="en-GB"/>
              </w:rPr>
              <w:t xml:space="preserve"> ISAC is </w:t>
            </w:r>
            <w:r>
              <w:rPr>
                <w:rFonts w:ascii="Times" w:hAnsi="Times" w:eastAsia="等线"/>
                <w:sz w:val="20"/>
                <w:szCs w:val="20"/>
                <w:lang w:val="en-GB"/>
              </w:rPr>
              <w:t>separate</w:t>
            </w:r>
            <w:r>
              <w:rPr>
                <w:rFonts w:hint="eastAsia" w:ascii="Times" w:hAnsi="Times" w:eastAsia="等线"/>
                <w:sz w:val="20"/>
                <w:szCs w:val="20"/>
              </w:rPr>
              <w:t>ly</w:t>
            </w:r>
            <w:r>
              <w:rPr>
                <w:rFonts w:hint="eastAsia" w:ascii="Times" w:hAnsi="Times" w:eastAsia="等线"/>
                <w:sz w:val="20"/>
                <w:szCs w:val="20"/>
                <w:lang w:val="en-GB"/>
              </w:rPr>
              <w:t xml:space="preserve"> discussed in ISAC session.</w:t>
            </w:r>
          </w:p>
          <w:p w14:paraId="132B5557">
            <w:pPr>
              <w:widowControl w:val="0"/>
              <w:autoSpaceDE w:val="0"/>
              <w:autoSpaceDN w:val="0"/>
              <w:adjustRightInd/>
              <w:snapToGrid/>
              <w:spacing w:after="180"/>
              <w:jc w:val="both"/>
              <w:rPr>
                <w:rFonts w:eastAsia="等线"/>
                <w:sz w:val="20"/>
                <w:szCs w:val="20"/>
              </w:rPr>
            </w:pPr>
          </w:p>
          <w:p w14:paraId="0075B769">
            <w:pPr>
              <w:widowControl w:val="0"/>
              <w:autoSpaceDE w:val="0"/>
              <w:autoSpaceDN w:val="0"/>
              <w:adjustRightInd/>
              <w:snapToGrid/>
              <w:spacing w:after="16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3F09F197">
            <w:pPr>
              <w:widowControl w:val="0"/>
              <w:numPr>
                <w:ilvl w:val="0"/>
                <w:numId w:val="12"/>
              </w:numPr>
              <w:autoSpaceDE w:val="0"/>
              <w:autoSpaceDN w:val="0"/>
              <w:adjustRightInd/>
              <w:snapToGrid/>
              <w:spacing w:after="160"/>
              <w:jc w:val="both"/>
              <w:rPr>
                <w:rFonts w:eastAsia="等线"/>
                <w:sz w:val="21"/>
                <w:szCs w:val="21"/>
                <w:lang w:val="en-GB"/>
              </w:rPr>
            </w:pPr>
            <w:r>
              <w:rPr>
                <w:rFonts w:eastAsia="等线"/>
                <w:sz w:val="21"/>
                <w:szCs w:val="21"/>
                <w:lang w:val="en-GB"/>
              </w:rPr>
              <w:t xml:space="preserve">RAN1 </w:t>
            </w:r>
            <w:r>
              <w:rPr>
                <w:rFonts w:hint="eastAsia" w:eastAsia="等线"/>
                <w:sz w:val="21"/>
                <w:szCs w:val="21"/>
                <w:lang w:val="en-GB"/>
              </w:rPr>
              <w:t xml:space="preserve">assumes </w:t>
            </w:r>
            <w:r>
              <w:rPr>
                <w:rFonts w:hint="eastAsia" w:eastAsia="等线"/>
                <w:sz w:val="21"/>
                <w:szCs w:val="21"/>
              </w:rPr>
              <w:t xml:space="preserve">400MHz </w:t>
            </w:r>
            <w:r>
              <w:rPr>
                <w:rFonts w:eastAsia="等线"/>
                <w:sz w:val="21"/>
                <w:szCs w:val="21"/>
                <w:lang w:val="en-GB"/>
              </w:rPr>
              <w:t>maximum channel bandwidth</w:t>
            </w:r>
            <w:r>
              <w:rPr>
                <w:rFonts w:hint="eastAsia" w:eastAsia="等线"/>
                <w:sz w:val="21"/>
                <w:szCs w:val="21"/>
              </w:rPr>
              <w:t xml:space="preserve"> </w:t>
            </w:r>
            <w:r>
              <w:rPr>
                <w:rFonts w:hint="eastAsia" w:eastAsia="等线"/>
                <w:sz w:val="21"/>
                <w:szCs w:val="21"/>
                <w:lang w:val="en-GB"/>
              </w:rPr>
              <w:t>at network side</w:t>
            </w:r>
            <w:r>
              <w:rPr>
                <w:rFonts w:hint="eastAsia" w:eastAsia="等线"/>
                <w:sz w:val="21"/>
                <w:szCs w:val="21"/>
              </w:rPr>
              <w:t xml:space="preserve"> and 30kHz SCS</w:t>
            </w:r>
            <w:r>
              <w:rPr>
                <w:rFonts w:eastAsia="等线"/>
                <w:sz w:val="21"/>
                <w:szCs w:val="21"/>
                <w:lang w:val="en-GB"/>
              </w:rPr>
              <w:t xml:space="preserve"> </w:t>
            </w:r>
            <w:r>
              <w:rPr>
                <w:rFonts w:hint="eastAsia" w:eastAsia="等线"/>
                <w:sz w:val="21"/>
                <w:szCs w:val="21"/>
              </w:rPr>
              <w:t>around 7GHz</w:t>
            </w:r>
            <w:r>
              <w:rPr>
                <w:rFonts w:eastAsia="等线"/>
                <w:sz w:val="21"/>
                <w:szCs w:val="21"/>
                <w:lang w:val="en-GB"/>
              </w:rPr>
              <w:t xml:space="preserve"> </w:t>
            </w:r>
          </w:p>
          <w:p w14:paraId="7B85FB67">
            <w:pPr>
              <w:widowControl w:val="0"/>
              <w:numPr>
                <w:ilvl w:val="0"/>
                <w:numId w:val="13"/>
              </w:numPr>
              <w:autoSpaceDE w:val="0"/>
              <w:autoSpaceDN w:val="0"/>
              <w:adjustRightInd/>
              <w:snapToGrid/>
              <w:spacing w:after="180"/>
              <w:jc w:val="both"/>
              <w:rPr>
                <w:rFonts w:eastAsia="等线"/>
                <w:sz w:val="21"/>
                <w:szCs w:val="21"/>
              </w:rPr>
            </w:pPr>
            <w:r>
              <w:rPr>
                <w:rFonts w:eastAsia="等线"/>
                <w:sz w:val="20"/>
                <w:szCs w:val="20"/>
              </w:rPr>
              <w:t>S</w:t>
            </w:r>
            <w:r>
              <w:rPr>
                <w:rFonts w:hint="eastAsia" w:eastAsia="等线"/>
                <w:sz w:val="20"/>
                <w:szCs w:val="20"/>
              </w:rPr>
              <w:t xml:space="preserve">tudy whether and how to enable UE to support 400MHz bandwidth </w:t>
            </w:r>
          </w:p>
          <w:p w14:paraId="5E0AAA02">
            <w:pPr>
              <w:widowControl w:val="0"/>
              <w:autoSpaceDE w:val="0"/>
              <w:autoSpaceDN w:val="0"/>
              <w:adjustRightInd/>
              <w:snapToGrid/>
              <w:spacing w:after="180"/>
              <w:jc w:val="both"/>
              <w:rPr>
                <w:rFonts w:eastAsia="等线"/>
                <w:sz w:val="20"/>
                <w:szCs w:val="20"/>
              </w:rPr>
            </w:pPr>
          </w:p>
          <w:p w14:paraId="5A28F7DA">
            <w:pPr>
              <w:widowControl w:val="0"/>
              <w:autoSpaceDE w:val="0"/>
              <w:autoSpaceDN w:val="0"/>
              <w:adjustRightInd/>
              <w:snapToGrid/>
              <w:spacing w:after="180"/>
              <w:jc w:val="both"/>
              <w:rPr>
                <w:rFonts w:eastAsia="等线"/>
                <w:sz w:val="20"/>
                <w:szCs w:val="20"/>
              </w:rPr>
            </w:pPr>
            <w:r>
              <w:rPr>
                <w:rFonts w:hint="eastAsia" w:eastAsia="等线"/>
                <w:sz w:val="20"/>
                <w:szCs w:val="20"/>
              </w:rPr>
              <w:t>Conclusion</w:t>
            </w:r>
            <w:r>
              <w:rPr>
                <w:rFonts w:eastAsia="等线"/>
                <w:sz w:val="20"/>
                <w:szCs w:val="20"/>
              </w:rPr>
              <w:t xml:space="preserve"> (RAN1#123)</w:t>
            </w:r>
          </w:p>
          <w:p w14:paraId="70B939F6">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 xml:space="preserve">Extended CP </w:t>
            </w:r>
            <w:r>
              <w:rPr>
                <w:rFonts w:hint="eastAsia" w:eastAsia="等线"/>
                <w:sz w:val="20"/>
                <w:szCs w:val="20"/>
                <w:lang w:val="en-GB"/>
              </w:rPr>
              <w:t>will not be</w:t>
            </w:r>
            <w:r>
              <w:rPr>
                <w:rFonts w:eastAsia="等线"/>
                <w:sz w:val="20"/>
                <w:szCs w:val="20"/>
                <w:lang w:val="en-GB"/>
              </w:rPr>
              <w:t xml:space="preserve"> </w:t>
            </w:r>
            <w:r>
              <w:rPr>
                <w:rFonts w:hint="eastAsia" w:eastAsia="等线"/>
                <w:sz w:val="20"/>
                <w:szCs w:val="20"/>
                <w:lang w:val="en-GB"/>
              </w:rPr>
              <w:t>further studied for TN communication.</w:t>
            </w:r>
          </w:p>
          <w:p w14:paraId="0CF1956C">
            <w:pPr>
              <w:widowControl w:val="0"/>
              <w:autoSpaceDE w:val="0"/>
              <w:autoSpaceDN w:val="0"/>
              <w:adjustRightInd/>
              <w:snapToGrid/>
              <w:spacing w:after="180"/>
              <w:jc w:val="both"/>
              <w:rPr>
                <w:rFonts w:eastAsia="等线"/>
                <w:sz w:val="20"/>
                <w:szCs w:val="20"/>
                <w:lang w:val="en-GB"/>
              </w:rPr>
            </w:pPr>
          </w:p>
          <w:p w14:paraId="2AFDF7E0">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C</w:t>
            </w:r>
            <w:r>
              <w:rPr>
                <w:rFonts w:eastAsia="等线"/>
                <w:sz w:val="20"/>
                <w:szCs w:val="20"/>
                <w:lang w:val="en-GB"/>
              </w:rPr>
              <w:t>onclusion (RAN#110)</w:t>
            </w:r>
          </w:p>
          <w:p w14:paraId="6C1B0338">
            <w:pPr>
              <w:widowControl w:val="0"/>
              <w:autoSpaceDE w:val="0"/>
              <w:autoSpaceDN w:val="0"/>
              <w:jc w:val="both"/>
              <w:rPr>
                <w:rFonts w:eastAsia="等线"/>
              </w:rPr>
            </w:pPr>
            <w:r>
              <w:rPr>
                <w:rFonts w:eastAsia="MS Mincho"/>
                <w:color w:val="000000"/>
                <w:sz w:val="20"/>
                <w:szCs w:val="20"/>
                <w:lang w:val="en-GB" w:eastAsia="en-US"/>
              </w:rPr>
              <w:t>SCS of 30kHz for mid-band (1-2.xGHz) FDD is not supported in 6G</w:t>
            </w:r>
          </w:p>
        </w:tc>
      </w:tr>
    </w:tbl>
    <w:p w14:paraId="2DF1FE32">
      <w:pPr>
        <w:rPr>
          <w:rFonts w:eastAsia="等线"/>
        </w:rPr>
      </w:pPr>
    </w:p>
    <w:p w14:paraId="37B183DB">
      <w:pPr>
        <w:pStyle w:val="3"/>
        <w:spacing w:after="120"/>
        <w:rPr>
          <w:rFonts w:eastAsia="等线"/>
        </w:rPr>
      </w:pPr>
      <w:bookmarkStart w:id="6" w:name="_Ref221354049"/>
      <w:r>
        <w:rPr>
          <w:rFonts w:hint="eastAsia" w:eastAsia="等线"/>
        </w:rPr>
        <w:t>Companies</w:t>
      </w:r>
      <w:r>
        <w:rPr>
          <w:rFonts w:eastAsia="等线"/>
        </w:rPr>
        <w:t>’</w:t>
      </w:r>
      <w:r>
        <w:rPr>
          <w:rFonts w:hint="eastAsia" w:eastAsia="等线"/>
        </w:rPr>
        <w:t xml:space="preserve"> views</w:t>
      </w:r>
      <w:bookmarkEnd w:id="6"/>
    </w:p>
    <w:p w14:paraId="301C2B2C">
      <w:pPr>
        <w:pStyle w:val="4"/>
        <w:spacing w:after="120"/>
        <w:rPr>
          <w:rFonts w:eastAsia="等线"/>
        </w:rPr>
      </w:pPr>
      <w:r>
        <w:rPr>
          <w:rFonts w:hint="eastAsia" w:eastAsia="等线"/>
        </w:rPr>
        <w:t>N</w:t>
      </w:r>
      <w:r>
        <w:rPr>
          <w:rFonts w:eastAsia="等线"/>
        </w:rPr>
        <w:t>umerology</w:t>
      </w:r>
    </w:p>
    <w:p w14:paraId="43B0FCD1">
      <w:pPr>
        <w:rPr>
          <w:rFonts w:eastAsia="等线"/>
          <w:b/>
          <w:bCs/>
          <w:u w:val="single"/>
        </w:rPr>
      </w:pPr>
      <w:r>
        <w:rPr>
          <w:rFonts w:hint="eastAsia" w:eastAsia="等线"/>
          <w:b/>
          <w:bCs/>
          <w:u w:val="single"/>
        </w:rPr>
        <w:t>S</w:t>
      </w:r>
      <w:r>
        <w:rPr>
          <w:rFonts w:eastAsia="等线"/>
          <w:b/>
          <w:bCs/>
          <w:u w:val="single"/>
        </w:rPr>
        <w:t>CS for around 15GHz</w:t>
      </w:r>
    </w:p>
    <w:p w14:paraId="77DFC2DA">
      <w:pPr>
        <w:spacing w:after="0"/>
        <w:jc w:val="both"/>
        <w:rPr>
          <w:rFonts w:eastAsia="等线"/>
        </w:rPr>
      </w:pPr>
      <w:r>
        <w:rPr>
          <w:rFonts w:hint="eastAsia" w:eastAsia="等线"/>
        </w:rPr>
        <w:t>F</w:t>
      </w:r>
      <w:r>
        <w:rPr>
          <w:rFonts w:eastAsia="等线"/>
        </w:rPr>
        <w:t>or determination of SCS around 15GHz, the following aspects are mentioned by companies to be considered.</w:t>
      </w:r>
    </w:p>
    <w:p w14:paraId="5E4318BC">
      <w:pPr>
        <w:pStyle w:val="63"/>
        <w:numPr>
          <w:ilvl w:val="0"/>
          <w:numId w:val="24"/>
        </w:numPr>
        <w:spacing w:after="0"/>
        <w:jc w:val="both"/>
        <w:rPr>
          <w:rFonts w:eastAsia="等线"/>
        </w:rPr>
      </w:pPr>
      <w:r>
        <w:rPr>
          <w:rFonts w:hint="eastAsia" w:eastAsia="等线"/>
        </w:rPr>
        <w:t>L</w:t>
      </w:r>
      <w:r>
        <w:rPr>
          <w:rFonts w:eastAsia="等线"/>
        </w:rPr>
        <w:t xml:space="preserve">ink performance </w:t>
      </w:r>
    </w:p>
    <w:p w14:paraId="4F18C1BB">
      <w:pPr>
        <w:pStyle w:val="63"/>
        <w:numPr>
          <w:ilvl w:val="0"/>
          <w:numId w:val="24"/>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03CD102F">
      <w:pPr>
        <w:pStyle w:val="63"/>
        <w:numPr>
          <w:ilvl w:val="0"/>
          <w:numId w:val="24"/>
        </w:numPr>
        <w:spacing w:after="0"/>
        <w:jc w:val="both"/>
        <w:rPr>
          <w:rFonts w:eastAsia="等线"/>
        </w:rPr>
      </w:pPr>
      <w:r>
        <w:rPr>
          <w:rFonts w:eastAsia="等线"/>
        </w:rPr>
        <w:t>Categorization of frequency range [OPPO, China Telecom]</w:t>
      </w:r>
    </w:p>
    <w:p w14:paraId="6CF2881B">
      <w:pPr>
        <w:pStyle w:val="63"/>
        <w:numPr>
          <w:ilvl w:val="0"/>
          <w:numId w:val="24"/>
        </w:numPr>
        <w:spacing w:after="0"/>
        <w:jc w:val="both"/>
        <w:rPr>
          <w:rFonts w:eastAsia="等线"/>
        </w:rPr>
      </w:pPr>
      <w:r>
        <w:rPr>
          <w:rFonts w:eastAsia="等线"/>
        </w:rPr>
        <w:t xml:space="preserve">Deployment scenarios/architecture (e.g. BS beamforming type) [Nokia, China Telecom, DOCOMO] </w:t>
      </w:r>
    </w:p>
    <w:p w14:paraId="2F5C5405">
      <w:pPr>
        <w:spacing w:before="120" w:beforeLines="50" w:after="0"/>
        <w:jc w:val="both"/>
        <w:rPr>
          <w:rFonts w:eastAsia="等线"/>
        </w:rPr>
      </w:pPr>
      <w:r>
        <w:rPr>
          <w:rFonts w:hint="eastAsia" w:eastAsia="等线"/>
        </w:rPr>
        <w:t>N</w:t>
      </w:r>
      <w:r>
        <w:rPr>
          <w:rFonts w:eastAsia="等线"/>
        </w:rPr>
        <w:t xml:space="preserve">okia, InterDigital, MediaTek, </w:t>
      </w:r>
      <w:r>
        <w:rPr>
          <w:rFonts w:hint="eastAsia" w:eastAsiaTheme="minorEastAsia"/>
        </w:rPr>
        <w:t>K</w:t>
      </w:r>
      <w:r>
        <w:rPr>
          <w:rFonts w:eastAsiaTheme="minorEastAsia"/>
        </w:rPr>
        <w:t>yocera, DOCOMO have</w:t>
      </w:r>
      <w:r>
        <w:rPr>
          <w:rFonts w:eastAsia="等线"/>
        </w:rPr>
        <w:t xml:space="preserve"> provided link-level evaluations in their contributions.</w:t>
      </w:r>
    </w:p>
    <w:p w14:paraId="040FFFFD">
      <w:pPr>
        <w:jc w:val="both"/>
        <w:rPr>
          <w:rFonts w:eastAsia="等线"/>
        </w:rPr>
      </w:pPr>
    </w:p>
    <w:p w14:paraId="74DC3AEA">
      <w:pPr>
        <w:spacing w:afterLines="50"/>
        <w:jc w:val="both"/>
        <w:rPr>
          <w:rFonts w:eastAsia="等线"/>
        </w:rPr>
      </w:pPr>
      <w:r>
        <w:rPr>
          <w:rFonts w:eastAsia="等线"/>
        </w:rPr>
        <w:t>Companies’ views on preferred SCS for 15GHz are summarized as follows.</w:t>
      </w:r>
    </w:p>
    <w:p w14:paraId="3FCD1114">
      <w:pPr>
        <w:pStyle w:val="63"/>
        <w:numPr>
          <w:ilvl w:val="0"/>
          <w:numId w:val="25"/>
        </w:numPr>
        <w:spacing w:after="0"/>
        <w:rPr>
          <w:rFonts w:eastAsia="等线"/>
        </w:rPr>
      </w:pPr>
      <w:r>
        <w:rPr>
          <w:rFonts w:hint="eastAsia" w:eastAsia="等线"/>
        </w:rPr>
        <w:t>3</w:t>
      </w:r>
      <w:r>
        <w:rPr>
          <w:rFonts w:eastAsia="等线"/>
        </w:rPr>
        <w:t>0kHz</w:t>
      </w:r>
    </w:p>
    <w:p w14:paraId="3914FFA9">
      <w:pPr>
        <w:pStyle w:val="63"/>
        <w:numPr>
          <w:ilvl w:val="1"/>
          <w:numId w:val="25"/>
        </w:numPr>
        <w:spacing w:after="0"/>
        <w:rPr>
          <w:rFonts w:eastAsia="等线"/>
          <w:i/>
          <w:iCs/>
          <w:color w:val="C00000"/>
        </w:rPr>
      </w:pPr>
      <w:r>
        <w:rPr>
          <w:rFonts w:eastAsia="等线"/>
          <w:i/>
          <w:iCs/>
          <w:color w:val="C00000"/>
        </w:rPr>
        <w:t>Support: Spreadtrum, NVIDIA, MTK (slightly preferred)</w:t>
      </w:r>
    </w:p>
    <w:p w14:paraId="75A0D699">
      <w:pPr>
        <w:pStyle w:val="63"/>
        <w:numPr>
          <w:ilvl w:val="0"/>
          <w:numId w:val="25"/>
        </w:numPr>
        <w:spacing w:after="0"/>
        <w:rPr>
          <w:rFonts w:eastAsia="等线"/>
        </w:rPr>
      </w:pPr>
      <w:r>
        <w:rPr>
          <w:rFonts w:hint="eastAsia" w:eastAsia="等线"/>
        </w:rPr>
        <w:t>6</w:t>
      </w:r>
      <w:r>
        <w:rPr>
          <w:rFonts w:eastAsia="等线"/>
        </w:rPr>
        <w:t>0kHz</w:t>
      </w:r>
    </w:p>
    <w:p w14:paraId="3655B47A">
      <w:pPr>
        <w:pStyle w:val="63"/>
        <w:numPr>
          <w:ilvl w:val="1"/>
          <w:numId w:val="25"/>
        </w:numPr>
        <w:spacing w:after="0"/>
        <w:rPr>
          <w:rFonts w:eastAsia="等线"/>
          <w:i/>
          <w:iCs/>
          <w:color w:val="C00000"/>
        </w:rPr>
      </w:pPr>
      <w:r>
        <w:rPr>
          <w:rFonts w:eastAsia="等线"/>
          <w:i/>
          <w:iCs/>
          <w:color w:val="C00000"/>
        </w:rPr>
        <w:t>Support: Lenovo, Samsung, IDC, ETRI, KT</w:t>
      </w:r>
    </w:p>
    <w:p w14:paraId="10F980C5">
      <w:pPr>
        <w:pStyle w:val="63"/>
        <w:numPr>
          <w:ilvl w:val="0"/>
          <w:numId w:val="25"/>
        </w:numPr>
        <w:spacing w:after="0"/>
        <w:rPr>
          <w:rFonts w:eastAsia="等线"/>
        </w:rPr>
      </w:pPr>
      <w:r>
        <w:rPr>
          <w:rFonts w:hint="eastAsia" w:eastAsia="等线"/>
        </w:rPr>
        <w:t>1</w:t>
      </w:r>
      <w:r>
        <w:rPr>
          <w:rFonts w:eastAsia="等线"/>
        </w:rPr>
        <w:t>20kHz</w:t>
      </w:r>
    </w:p>
    <w:p w14:paraId="4ECDADE1">
      <w:pPr>
        <w:pStyle w:val="63"/>
        <w:numPr>
          <w:ilvl w:val="1"/>
          <w:numId w:val="25"/>
        </w:numPr>
        <w:spacing w:after="0"/>
        <w:rPr>
          <w:rFonts w:eastAsia="等线"/>
          <w:i/>
          <w:iCs/>
          <w:color w:val="C00000"/>
        </w:rPr>
      </w:pPr>
      <w:r>
        <w:rPr>
          <w:rFonts w:eastAsia="等线"/>
          <w:i/>
          <w:iCs/>
          <w:color w:val="C00000"/>
        </w:rPr>
        <w:t>Support: OPPO (baseline, Extend FR1 to 8.4GHz and define a separate mid-high band (8.4-24.25GHz))</w:t>
      </w:r>
    </w:p>
    <w:p w14:paraId="43945FF0">
      <w:pPr>
        <w:pStyle w:val="63"/>
        <w:numPr>
          <w:ilvl w:val="0"/>
          <w:numId w:val="25"/>
        </w:numPr>
        <w:spacing w:after="0"/>
        <w:rPr>
          <w:rFonts w:eastAsia="等线"/>
        </w:rPr>
      </w:pPr>
      <w:r>
        <w:rPr>
          <w:rFonts w:eastAsia="等线"/>
        </w:rPr>
        <w:t>30kHz or 120kHz</w:t>
      </w:r>
    </w:p>
    <w:p w14:paraId="2E3153CE">
      <w:pPr>
        <w:pStyle w:val="63"/>
        <w:numPr>
          <w:ilvl w:val="1"/>
          <w:numId w:val="25"/>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3568C29B">
      <w:pPr>
        <w:rPr>
          <w:rFonts w:eastAsia="等线"/>
        </w:rPr>
      </w:pPr>
    </w:p>
    <w:p w14:paraId="0EFE73B4">
      <w:pPr>
        <w:rPr>
          <w:rFonts w:eastAsia="等线"/>
        </w:rPr>
      </w:pPr>
      <w:r>
        <w:rPr>
          <w:rFonts w:hint="eastAsia" w:eastAsia="等线"/>
        </w:rPr>
        <w:t>Z</w:t>
      </w:r>
      <w:r>
        <w:rPr>
          <w:rFonts w:eastAsia="等线"/>
        </w:rPr>
        <w:t xml:space="preserve">TE proposed that if 15GHz is to be studied from now, include both around 10GHz and around 15GHz. </w:t>
      </w:r>
    </w:p>
    <w:p w14:paraId="52A96721">
      <w:pPr>
        <w:rPr>
          <w:rFonts w:eastAsia="等线"/>
        </w:rPr>
      </w:pPr>
      <w:r>
        <w:rPr>
          <w:rFonts w:hint="eastAsia" w:eastAsia="等线"/>
        </w:rPr>
        <w:t>C</w:t>
      </w:r>
      <w:r>
        <w:rPr>
          <w:rFonts w:eastAsia="等线"/>
        </w:rPr>
        <w:t>hina Telecom proposed that the decision should be postponed until more information is collected.</w:t>
      </w:r>
    </w:p>
    <w:p w14:paraId="47E6334E">
      <w:pPr>
        <w:rPr>
          <w:rFonts w:eastAsia="等线"/>
        </w:rPr>
      </w:pPr>
    </w:p>
    <w:p w14:paraId="654B1AC4">
      <w:pPr>
        <w:rPr>
          <w:rFonts w:eastAsia="等线"/>
          <w:b/>
          <w:bCs/>
          <w:u w:val="single"/>
        </w:rPr>
      </w:pPr>
      <w:r>
        <w:rPr>
          <w:rFonts w:eastAsia="等线"/>
          <w:b/>
          <w:bCs/>
          <w:u w:val="single"/>
        </w:rPr>
        <w:t>Sync signal SCS for FR2-1</w:t>
      </w:r>
    </w:p>
    <w:p w14:paraId="0D4EAC78">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1E3B3437">
      <w:pPr>
        <w:spacing w:after="0"/>
        <w:rPr>
          <w:rFonts w:eastAsia="等线"/>
          <w:szCs w:val="22"/>
        </w:rPr>
      </w:pPr>
      <w:r>
        <w:rPr>
          <w:rFonts w:hint="eastAsia" w:eastAsia="等线"/>
          <w:szCs w:val="22"/>
        </w:rPr>
        <w:t>B</w:t>
      </w:r>
      <w:r>
        <w:rPr>
          <w:rFonts w:eastAsia="等线"/>
          <w:szCs w:val="22"/>
        </w:rPr>
        <w:t>ased on the contributions under agenda item 10.5.0 and 10.5.1.1, companies’ views are summarized below.</w:t>
      </w:r>
    </w:p>
    <w:p w14:paraId="604ED36E">
      <w:pPr>
        <w:pStyle w:val="63"/>
        <w:numPr>
          <w:ilvl w:val="0"/>
          <w:numId w:val="26"/>
        </w:numPr>
        <w:spacing w:after="0"/>
        <w:rPr>
          <w:rFonts w:eastAsia="等线"/>
          <w:szCs w:val="22"/>
        </w:rPr>
      </w:pPr>
      <w:r>
        <w:rPr>
          <w:rFonts w:eastAsia="等线"/>
          <w:szCs w:val="22"/>
        </w:rPr>
        <w:t>SCS between 6GR sync signal and other channels/signals (except PRACH) for FR2-1 is the same, i.e. only 120kHz</w:t>
      </w:r>
    </w:p>
    <w:p w14:paraId="4B121EAB">
      <w:pPr>
        <w:pStyle w:val="63"/>
        <w:numPr>
          <w:ilvl w:val="1"/>
          <w:numId w:val="26"/>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112F5BB1">
      <w:pPr>
        <w:pStyle w:val="63"/>
        <w:numPr>
          <w:ilvl w:val="0"/>
          <w:numId w:val="26"/>
        </w:numPr>
        <w:spacing w:after="0"/>
        <w:rPr>
          <w:rFonts w:eastAsia="等线"/>
          <w:szCs w:val="22"/>
        </w:rPr>
      </w:pPr>
      <w:r>
        <w:rPr>
          <w:rFonts w:eastAsia="等线"/>
          <w:szCs w:val="22"/>
        </w:rPr>
        <w:t>SCS between 6GR sync signal and other channels/signals (except PRACH) for FR2-1 can be different</w:t>
      </w:r>
    </w:p>
    <w:p w14:paraId="60DD5969">
      <w:pPr>
        <w:pStyle w:val="63"/>
        <w:numPr>
          <w:ilvl w:val="1"/>
          <w:numId w:val="26"/>
        </w:numPr>
        <w:spacing w:after="0"/>
        <w:rPr>
          <w:rFonts w:eastAsia="等线"/>
          <w:i/>
          <w:iCs/>
          <w:color w:val="C00000"/>
          <w:szCs w:val="22"/>
        </w:rPr>
      </w:pPr>
      <w:r>
        <w:rPr>
          <w:rFonts w:eastAsia="等线"/>
          <w:i/>
          <w:iCs/>
          <w:color w:val="C00000"/>
          <w:szCs w:val="22"/>
        </w:rPr>
        <w:t>Support: Samsung (240kHz SCS for 6GR sync signal), Nokia</w:t>
      </w:r>
    </w:p>
    <w:p w14:paraId="26BBEF42">
      <w:pPr>
        <w:spacing w:before="120"/>
        <w:rPr>
          <w:rFonts w:eastAsia="等线"/>
        </w:rPr>
      </w:pPr>
    </w:p>
    <w:p w14:paraId="12D66FDA">
      <w:pPr>
        <w:spacing w:before="120"/>
        <w:rPr>
          <w:rFonts w:eastAsia="等线"/>
          <w:b/>
          <w:bCs/>
          <w:u w:val="single"/>
        </w:rPr>
      </w:pPr>
      <w:r>
        <w:rPr>
          <w:rFonts w:eastAsia="等线"/>
          <w:b/>
          <w:bCs/>
          <w:u w:val="single"/>
        </w:rPr>
        <w:t>CP</w:t>
      </w:r>
    </w:p>
    <w:p w14:paraId="478DAC80">
      <w:pPr>
        <w:spacing w:before="120"/>
        <w:rPr>
          <w:rFonts w:eastAsia="等线"/>
        </w:rPr>
      </w:pPr>
      <w:r>
        <w:rPr>
          <w:rFonts w:hint="eastAsia" w:eastAsia="等线"/>
        </w:rPr>
        <w:t>T</w:t>
      </w:r>
      <w:r>
        <w:rPr>
          <w:rFonts w:eastAsia="等线"/>
        </w:rPr>
        <w:t>ejas proposed to study the short cyclic prefix (CP) configurations integrated with extended slot duration (or multi-slot aggregation).</w:t>
      </w:r>
    </w:p>
    <w:p w14:paraId="211F8E15">
      <w:pPr>
        <w:rPr>
          <w:rFonts w:eastAsia="等线"/>
        </w:rPr>
      </w:pPr>
    </w:p>
    <w:p w14:paraId="529A7E77">
      <w:pPr>
        <w:pStyle w:val="4"/>
        <w:spacing w:after="120"/>
        <w:rPr>
          <w:rFonts w:eastAsia="等线"/>
        </w:rPr>
      </w:pPr>
      <w:r>
        <w:rPr>
          <w:rFonts w:hint="eastAsia" w:eastAsia="等线"/>
        </w:rPr>
        <w:t>F</w:t>
      </w:r>
      <w:r>
        <w:rPr>
          <w:rFonts w:eastAsia="等线"/>
        </w:rPr>
        <w:t>rame structure</w:t>
      </w:r>
    </w:p>
    <w:p w14:paraId="0BF275F9">
      <w:pPr>
        <w:spacing w:before="120"/>
        <w:rPr>
          <w:rFonts w:eastAsia="等线"/>
          <w:b/>
          <w:bCs/>
          <w:u w:val="single"/>
        </w:rPr>
      </w:pPr>
      <w:r>
        <w:rPr>
          <w:rFonts w:hint="eastAsia" w:eastAsia="等线"/>
          <w:b/>
          <w:bCs/>
          <w:u w:val="single"/>
        </w:rPr>
        <w:t>T</w:t>
      </w:r>
      <w:r>
        <w:rPr>
          <w:rFonts w:eastAsia="等线"/>
          <w:b/>
          <w:bCs/>
          <w:u w:val="single"/>
        </w:rPr>
        <w:t>DD pattern concatenation</w:t>
      </w:r>
    </w:p>
    <w:p w14:paraId="6FA483A8">
      <w:pPr>
        <w:jc w:val="both"/>
        <w:rPr>
          <w:rFonts w:eastAsia="等线"/>
        </w:rPr>
      </w:pPr>
      <w:r>
        <w:rPr>
          <w:rFonts w:hint="eastAsia" w:eastAsia="等线"/>
        </w:rPr>
        <w:t>O</w:t>
      </w:r>
      <w:r>
        <w:rPr>
          <w:rFonts w:eastAsia="等线"/>
        </w:rPr>
        <w:t>PPO, Spreadtrum, ZTE, CATT, CMCC, China Telecom, DOCOMO proposed to support TDD pattern concatenation/combination.</w:t>
      </w:r>
    </w:p>
    <w:p w14:paraId="155BB8B3">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7AC95775">
      <w:pPr>
        <w:jc w:val="both"/>
        <w:rPr>
          <w:rFonts w:eastAsia="等线"/>
        </w:rPr>
      </w:pPr>
      <w:r>
        <w:rPr>
          <w:rFonts w:hint="eastAsia" w:eastAsia="等线"/>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2D18B2">
      <w:pPr>
        <w:jc w:val="both"/>
        <w:rPr>
          <w:rFonts w:eastAsia="等线"/>
        </w:rPr>
      </w:pPr>
    </w:p>
    <w:p w14:paraId="72191B6F">
      <w:pPr>
        <w:spacing w:before="120"/>
        <w:rPr>
          <w:rFonts w:eastAsia="等线"/>
          <w:b/>
          <w:bCs/>
          <w:u w:val="single"/>
        </w:rPr>
      </w:pPr>
      <w:r>
        <w:rPr>
          <w:rFonts w:hint="eastAsia" w:eastAsia="等线"/>
          <w:b/>
          <w:bCs/>
          <w:u w:val="single"/>
        </w:rPr>
        <w:t>C</w:t>
      </w:r>
      <w:r>
        <w:rPr>
          <w:rFonts w:eastAsia="等线"/>
          <w:b/>
          <w:bCs/>
          <w:u w:val="single"/>
        </w:rPr>
        <w:t>ell-specific/UE specific TDD configuration</w:t>
      </w:r>
    </w:p>
    <w:p w14:paraId="483E690F">
      <w:pPr>
        <w:spacing w:after="0"/>
        <w:jc w:val="both"/>
        <w:rPr>
          <w:rFonts w:eastAsia="等线"/>
        </w:rPr>
      </w:pPr>
      <w:r>
        <w:rPr>
          <w:rFonts w:eastAsia="等线"/>
        </w:rPr>
        <w:t>Companies have different views on whether to support UE-specific TDD configuration.</w:t>
      </w:r>
    </w:p>
    <w:p w14:paraId="1D51487B">
      <w:pPr>
        <w:pStyle w:val="63"/>
        <w:numPr>
          <w:ilvl w:val="0"/>
          <w:numId w:val="27"/>
        </w:numPr>
        <w:spacing w:after="0"/>
        <w:ind w:hanging="357"/>
        <w:jc w:val="both"/>
        <w:rPr>
          <w:rFonts w:eastAsia="等线"/>
        </w:rPr>
      </w:pPr>
      <w:r>
        <w:rPr>
          <w:rFonts w:eastAsia="等线"/>
        </w:rPr>
        <w:t>Support cell-specific TDD configuration</w:t>
      </w:r>
      <w:r>
        <w:rPr>
          <w:rFonts w:eastAsia="等线"/>
        </w:rPr>
        <w:tab/>
      </w:r>
    </w:p>
    <w:p w14:paraId="52565CF7">
      <w:pPr>
        <w:pStyle w:val="63"/>
        <w:numPr>
          <w:ilvl w:val="1"/>
          <w:numId w:val="27"/>
        </w:numPr>
        <w:spacing w:after="0"/>
        <w:ind w:hanging="357"/>
        <w:jc w:val="both"/>
        <w:rPr>
          <w:rFonts w:eastAsia="等线"/>
          <w:i/>
          <w:iCs/>
          <w:color w:val="C00000"/>
        </w:rPr>
      </w:pPr>
      <w:r>
        <w:rPr>
          <w:rFonts w:hint="eastAsia" w:eastAsia="等线"/>
          <w:i/>
          <w:iCs/>
          <w:color w:val="C00000"/>
        </w:rPr>
        <w:t>S</w:t>
      </w:r>
      <w:r>
        <w:rPr>
          <w:rFonts w:eastAsia="等线"/>
          <w:i/>
          <w:iCs/>
          <w:color w:val="C00000"/>
        </w:rPr>
        <w:t>upport: Nokia, Spreadtrum (FFS UE-specific configuration), Xiaomi, DOCOMO, QC</w:t>
      </w:r>
    </w:p>
    <w:p w14:paraId="5639581B">
      <w:pPr>
        <w:pStyle w:val="63"/>
        <w:numPr>
          <w:ilvl w:val="2"/>
          <w:numId w:val="27"/>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0F5DE9E">
      <w:pPr>
        <w:pStyle w:val="63"/>
        <w:numPr>
          <w:ilvl w:val="2"/>
          <w:numId w:val="27"/>
        </w:numPr>
        <w:spacing w:after="0"/>
        <w:ind w:hanging="357"/>
        <w:jc w:val="both"/>
        <w:rPr>
          <w:rFonts w:eastAsia="等线"/>
        </w:rPr>
      </w:pPr>
      <w:r>
        <w:rPr>
          <w:rFonts w:eastAsia="宋体"/>
          <w:szCs w:val="22"/>
        </w:rPr>
        <w:t>The CLI brought by UE specific RRC configuration [Spreadtrum, Xiaomi, DOCOMO, QC]</w:t>
      </w:r>
    </w:p>
    <w:p w14:paraId="236A594C">
      <w:pPr>
        <w:pStyle w:val="63"/>
        <w:numPr>
          <w:ilvl w:val="2"/>
          <w:numId w:val="27"/>
        </w:numPr>
        <w:spacing w:after="0"/>
        <w:ind w:hanging="357"/>
        <w:jc w:val="both"/>
        <w:rPr>
          <w:rFonts w:eastAsia="等线"/>
        </w:rPr>
      </w:pPr>
      <w:r>
        <w:rPr>
          <w:rFonts w:eastAsia="宋体"/>
          <w:lang w:val="zh-CN"/>
        </w:rPr>
        <w:t>Not commercialized [Xiaomi]</w:t>
      </w:r>
    </w:p>
    <w:p w14:paraId="41F082DD">
      <w:pPr>
        <w:pStyle w:val="63"/>
        <w:numPr>
          <w:ilvl w:val="2"/>
          <w:numId w:val="27"/>
        </w:numPr>
        <w:spacing w:after="0"/>
        <w:ind w:hanging="357"/>
        <w:jc w:val="both"/>
        <w:rPr>
          <w:rFonts w:eastAsia="等线"/>
        </w:rPr>
      </w:pPr>
      <w:r>
        <w:rPr>
          <w:rFonts w:eastAsia="宋体"/>
          <w:lang w:val="zh-CN"/>
        </w:rPr>
        <w:t>T</w:t>
      </w:r>
      <w:r>
        <w:rPr>
          <w:rFonts w:hint="eastAsia" w:eastAsia="宋体"/>
          <w:lang w:val="zh-CN"/>
        </w:rPr>
        <w:t>oo long latency for RRC reconfiguration to adapt UE</w:t>
      </w:r>
      <w:r>
        <w:rPr>
          <w:rFonts w:eastAsia="宋体"/>
          <w:lang w:val="zh-CN"/>
        </w:rPr>
        <w:t>’</w:t>
      </w:r>
      <w:r>
        <w:rPr>
          <w:rFonts w:hint="eastAsia" w:eastAsia="宋体"/>
          <w:lang w:val="zh-CN"/>
        </w:rPr>
        <w:t>s traffic fluctuation</w:t>
      </w:r>
      <w:r>
        <w:rPr>
          <w:rFonts w:eastAsia="宋体"/>
          <w:lang w:val="zh-CN"/>
        </w:rPr>
        <w:t xml:space="preserve"> [Xiaomi]</w:t>
      </w:r>
    </w:p>
    <w:p w14:paraId="42D93259">
      <w:pPr>
        <w:pStyle w:val="63"/>
        <w:numPr>
          <w:ilvl w:val="0"/>
          <w:numId w:val="27"/>
        </w:numPr>
        <w:spacing w:after="0"/>
        <w:ind w:hanging="357"/>
        <w:jc w:val="both"/>
        <w:rPr>
          <w:rFonts w:eastAsia="等线"/>
        </w:rPr>
      </w:pPr>
      <w:r>
        <w:rPr>
          <w:rFonts w:hint="eastAsia" w:eastAsia="等线"/>
        </w:rPr>
        <w:t>S</w:t>
      </w:r>
      <w:r>
        <w:rPr>
          <w:rFonts w:eastAsia="等线"/>
        </w:rPr>
        <w:t>upport both cell-specific and UE-specific TDD configurations</w:t>
      </w:r>
    </w:p>
    <w:p w14:paraId="216D66E9">
      <w:pPr>
        <w:pStyle w:val="63"/>
        <w:numPr>
          <w:ilvl w:val="1"/>
          <w:numId w:val="27"/>
        </w:numPr>
        <w:spacing w:after="0"/>
        <w:ind w:hanging="357"/>
        <w:jc w:val="both"/>
        <w:rPr>
          <w:rFonts w:eastAsia="等线"/>
          <w:i/>
          <w:iCs/>
          <w:color w:val="C00000"/>
        </w:rPr>
      </w:pPr>
      <w:r>
        <w:rPr>
          <w:rFonts w:hint="eastAsia" w:eastAsia="等线"/>
          <w:i/>
          <w:iCs/>
          <w:color w:val="C00000"/>
        </w:rPr>
        <w:t>S</w:t>
      </w:r>
      <w:r>
        <w:rPr>
          <w:rFonts w:eastAsia="等线"/>
          <w:i/>
          <w:iCs/>
          <w:color w:val="C00000"/>
        </w:rPr>
        <w:t xml:space="preserve">upport: Huawei, ZTE, CATT, </w:t>
      </w:r>
      <w:r>
        <w:rPr>
          <w:rFonts w:hint="eastAsia" w:eastAsia="等线"/>
          <w:i/>
          <w:iCs/>
          <w:color w:val="C00000"/>
        </w:rPr>
        <w:t>CMCC</w:t>
      </w:r>
      <w:r>
        <w:rPr>
          <w:rFonts w:eastAsia="等线"/>
          <w:i/>
          <w:iCs/>
          <w:color w:val="C00000"/>
        </w:rPr>
        <w:t>, vivo, InterDigital, Google</w:t>
      </w:r>
    </w:p>
    <w:p w14:paraId="7D11C5AB">
      <w:pPr>
        <w:pStyle w:val="63"/>
        <w:numPr>
          <w:ilvl w:val="2"/>
          <w:numId w:val="27"/>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2DD926D6">
      <w:pPr>
        <w:pStyle w:val="63"/>
        <w:numPr>
          <w:ilvl w:val="2"/>
          <w:numId w:val="27"/>
        </w:numPr>
        <w:spacing w:after="0"/>
        <w:ind w:hanging="357"/>
        <w:jc w:val="both"/>
        <w:rPr>
          <w:rFonts w:eastAsia="等线"/>
        </w:rPr>
      </w:pPr>
      <w:r>
        <w:t>No additional complexity added by supporting semi-static UL/DL configuration by UE specific RRC signaling [vivo]</w:t>
      </w:r>
    </w:p>
    <w:p w14:paraId="7EB3A100">
      <w:pPr>
        <w:pStyle w:val="63"/>
        <w:numPr>
          <w:ilvl w:val="2"/>
          <w:numId w:val="27"/>
        </w:numPr>
        <w:spacing w:after="0"/>
        <w:ind w:hanging="357"/>
        <w:jc w:val="both"/>
        <w:rPr>
          <w:rFonts w:eastAsia="等线"/>
        </w:rPr>
      </w:pPr>
      <w:r>
        <w:rPr>
          <w:rFonts w:cs="Times"/>
          <w:color w:val="000000"/>
        </w:rPr>
        <w:t>Greater reliability, reduced</w:t>
      </w:r>
      <w:r>
        <w:rPr>
          <w:rFonts w:hint="eastAsia" w:cs="Times"/>
          <w:color w:val="000000"/>
        </w:rPr>
        <w:t xml:space="preserve"> complexity</w:t>
      </w:r>
      <w:r>
        <w:rPr>
          <w:rFonts w:cs="Times"/>
          <w:color w:val="000000"/>
        </w:rPr>
        <w:t>,</w:t>
      </w:r>
      <w:r>
        <w:rPr>
          <w:rFonts w:hint="eastAsia" w:cs="Times"/>
          <w:color w:val="000000"/>
        </w:rPr>
        <w:t xml:space="preserve"> and </w:t>
      </w:r>
      <w:r>
        <w:rPr>
          <w:rFonts w:cs="Times"/>
          <w:color w:val="000000"/>
        </w:rPr>
        <w:t>lower</w:t>
      </w:r>
      <w:r>
        <w:rPr>
          <w:rFonts w:hint="eastAsia" w:cs="Times"/>
          <w:color w:val="000000"/>
        </w:rPr>
        <w:t xml:space="preserve"> overhead</w:t>
      </w:r>
      <w:r>
        <w:rPr>
          <w:rFonts w:cs="Times"/>
          <w:color w:val="000000"/>
        </w:rPr>
        <w:t xml:space="preserve"> compared to dynamic TDD [vivo]</w:t>
      </w:r>
    </w:p>
    <w:p w14:paraId="4C348538">
      <w:pPr>
        <w:jc w:val="both"/>
        <w:rPr>
          <w:rFonts w:eastAsia="等线"/>
        </w:rPr>
      </w:pPr>
    </w:p>
    <w:p w14:paraId="15E797E1">
      <w:pPr>
        <w:spacing w:before="120"/>
        <w:rPr>
          <w:rFonts w:eastAsia="等线"/>
          <w:b/>
          <w:bCs/>
          <w:u w:val="single"/>
        </w:rPr>
      </w:pPr>
      <w:r>
        <w:rPr>
          <w:rFonts w:eastAsia="等线"/>
          <w:b/>
          <w:bCs/>
          <w:u w:val="single"/>
        </w:rPr>
        <w:t xml:space="preserve">Dynamic </w:t>
      </w:r>
      <w:r>
        <w:rPr>
          <w:rFonts w:hint="eastAsia" w:eastAsia="等线"/>
          <w:b/>
          <w:bCs/>
          <w:u w:val="single"/>
        </w:rPr>
        <w:t>S</w:t>
      </w:r>
      <w:r>
        <w:rPr>
          <w:rFonts w:eastAsia="等线"/>
          <w:b/>
          <w:bCs/>
          <w:u w:val="single"/>
        </w:rPr>
        <w:t>FI</w:t>
      </w:r>
    </w:p>
    <w:p w14:paraId="70BA40BE">
      <w:pPr>
        <w:spacing w:after="0"/>
        <w:rPr>
          <w:rFonts w:eastAsia="等线"/>
        </w:rPr>
      </w:pPr>
      <w:r>
        <w:rPr>
          <w:rFonts w:hint="eastAsia" w:eastAsia="等线"/>
        </w:rPr>
        <w:t>C</w:t>
      </w:r>
      <w:r>
        <w:rPr>
          <w:rFonts w:eastAsia="等线"/>
        </w:rPr>
        <w:t>ompanies’ views on support of dynamic SFI are summarized below.</w:t>
      </w:r>
    </w:p>
    <w:p w14:paraId="3452A718">
      <w:pPr>
        <w:pStyle w:val="63"/>
        <w:numPr>
          <w:ilvl w:val="0"/>
          <w:numId w:val="28"/>
        </w:numPr>
        <w:spacing w:after="0"/>
        <w:rPr>
          <w:rFonts w:eastAsia="等线"/>
        </w:rPr>
      </w:pPr>
      <w:r>
        <w:rPr>
          <w:rFonts w:eastAsia="等线"/>
        </w:rPr>
        <w:t>Deprioritize/</w:t>
      </w:r>
      <w:r>
        <w:rPr>
          <w:rFonts w:hint="eastAsia" w:eastAsia="等线"/>
        </w:rPr>
        <w:t>D</w:t>
      </w:r>
      <w:r>
        <w:rPr>
          <w:rFonts w:eastAsia="等线"/>
        </w:rPr>
        <w:t>o not support SFI</w:t>
      </w:r>
    </w:p>
    <w:p w14:paraId="61E1171D">
      <w:pPr>
        <w:pStyle w:val="63"/>
        <w:numPr>
          <w:ilvl w:val="1"/>
          <w:numId w:val="27"/>
        </w:numPr>
        <w:spacing w:after="0"/>
        <w:rPr>
          <w:rFonts w:eastAsia="等线"/>
          <w:i/>
          <w:iCs/>
          <w:color w:val="C00000"/>
        </w:rPr>
      </w:pPr>
      <w:r>
        <w:rPr>
          <w:rFonts w:eastAsia="等线"/>
          <w:i/>
          <w:iCs/>
          <w:color w:val="C00000"/>
        </w:rPr>
        <w:t xml:space="preserve">Support: Spreadtrum, ZTE, CATT, vivo, Ericsson, QC, </w:t>
      </w:r>
      <w:r>
        <w:rPr>
          <w:rFonts w:hint="eastAsia" w:eastAsia="等线"/>
          <w:i/>
          <w:iCs/>
          <w:color w:val="C00000"/>
        </w:rPr>
        <w:t>CE</w:t>
      </w:r>
      <w:r>
        <w:rPr>
          <w:rFonts w:eastAsia="等线"/>
          <w:i/>
          <w:iCs/>
          <w:color w:val="C00000"/>
        </w:rPr>
        <w:t>WiT</w:t>
      </w:r>
    </w:p>
    <w:p w14:paraId="134093BF">
      <w:pPr>
        <w:pStyle w:val="63"/>
        <w:numPr>
          <w:ilvl w:val="2"/>
          <w:numId w:val="27"/>
        </w:numPr>
        <w:spacing w:after="0"/>
        <w:rPr>
          <w:rFonts w:eastAsia="等线"/>
          <w:i/>
          <w:iCs/>
        </w:rPr>
      </w:pPr>
      <w:r>
        <w:rPr>
          <w:rFonts w:eastAsia="宋体"/>
          <w:szCs w:val="22"/>
        </w:rPr>
        <w:t>High UE implementation complexity [Spreadtrum, Ericsson, Qualcomm]</w:t>
      </w:r>
    </w:p>
    <w:p w14:paraId="2F70C28E">
      <w:pPr>
        <w:pStyle w:val="63"/>
        <w:numPr>
          <w:ilvl w:val="2"/>
          <w:numId w:val="27"/>
        </w:numPr>
        <w:spacing w:after="0"/>
        <w:rPr>
          <w:rFonts w:eastAsia="等线"/>
          <w:i/>
          <w:iCs/>
        </w:rPr>
      </w:pPr>
      <w:r>
        <w:rPr>
          <w:rFonts w:eastAsia="宋体"/>
          <w:szCs w:val="22"/>
        </w:rPr>
        <w:t>Occupy UE PDCCH monitoring capability [ZTE, CATT]</w:t>
      </w:r>
    </w:p>
    <w:p w14:paraId="13E495F5">
      <w:pPr>
        <w:pStyle w:val="63"/>
        <w:numPr>
          <w:ilvl w:val="2"/>
          <w:numId w:val="27"/>
        </w:numPr>
        <w:spacing w:after="0"/>
        <w:rPr>
          <w:rFonts w:eastAsia="等线"/>
          <w:i/>
          <w:iCs/>
        </w:rPr>
      </w:pPr>
      <w:r>
        <w:rPr>
          <w:rFonts w:eastAsia="宋体"/>
          <w:szCs w:val="22"/>
        </w:rPr>
        <w:t>No deployment in commercial network [Spreadtrum, ZTE, CATT]</w:t>
      </w:r>
    </w:p>
    <w:p w14:paraId="43599FB6">
      <w:pPr>
        <w:pStyle w:val="63"/>
        <w:numPr>
          <w:ilvl w:val="2"/>
          <w:numId w:val="27"/>
        </w:numPr>
        <w:spacing w:after="0"/>
        <w:rPr>
          <w:rFonts w:eastAsia="等线"/>
          <w:i/>
          <w:iCs/>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r>
        <w:rPr>
          <w:rFonts w:eastAsiaTheme="minorEastAsia"/>
        </w:rPr>
        <w:t xml:space="preserve"> [CATT, QC]</w:t>
      </w:r>
    </w:p>
    <w:p w14:paraId="6050DC70">
      <w:pPr>
        <w:pStyle w:val="63"/>
        <w:numPr>
          <w:ilvl w:val="2"/>
          <w:numId w:val="27"/>
        </w:numPr>
        <w:spacing w:after="0"/>
        <w:rPr>
          <w:rFonts w:eastAsia="等线"/>
          <w:i/>
          <w:iCs/>
        </w:rPr>
      </w:pPr>
      <w:r>
        <w:rPr>
          <w:rFonts w:hint="eastAsia" w:eastAsiaTheme="minorEastAsia"/>
        </w:rPr>
        <w:t>S</w:t>
      </w:r>
      <w:r>
        <w:rPr>
          <w:rFonts w:eastAsiaTheme="minorEastAsia"/>
        </w:rPr>
        <w:t>pec complexity [CATT]</w:t>
      </w:r>
    </w:p>
    <w:p w14:paraId="19258DEE">
      <w:pPr>
        <w:pStyle w:val="63"/>
        <w:numPr>
          <w:ilvl w:val="2"/>
          <w:numId w:val="27"/>
        </w:numPr>
        <w:spacing w:after="0"/>
        <w:rPr>
          <w:rFonts w:eastAsia="等线"/>
          <w:i/>
          <w:iCs/>
        </w:rPr>
      </w:pPr>
      <w:r>
        <w:t>SFI is carried in group common PDCCH, which is not as flexible as dynamic scheduling by scheduling DCI [vivo]</w:t>
      </w:r>
    </w:p>
    <w:p w14:paraId="50C2A3C0">
      <w:pPr>
        <w:pStyle w:val="63"/>
        <w:numPr>
          <w:ilvl w:val="2"/>
          <w:numId w:val="27"/>
        </w:numPr>
        <w:spacing w:after="0"/>
        <w:rPr>
          <w:rFonts w:eastAsia="等线"/>
          <w:i/>
          <w:iCs/>
        </w:rPr>
      </w:pPr>
      <w:r>
        <w:t>SFI and dynamic scheduling provide similar functionality for slot format change, so it is a duplicated function [vivo]</w:t>
      </w:r>
    </w:p>
    <w:p w14:paraId="5610D0BE">
      <w:pPr>
        <w:pStyle w:val="63"/>
        <w:numPr>
          <w:ilvl w:val="2"/>
          <w:numId w:val="27"/>
        </w:numPr>
        <w:spacing w:after="0"/>
        <w:rPr>
          <w:rFonts w:eastAsia="等线"/>
          <w:i/>
          <w:iCs/>
        </w:rPr>
      </w:pPr>
      <w:r>
        <w:rPr>
          <w:rFonts w:hint="eastAsia" w:eastAsiaTheme="minorEastAsia"/>
        </w:rPr>
        <w:t>S</w:t>
      </w:r>
      <w:r>
        <w:rPr>
          <w:rFonts w:eastAsiaTheme="minorEastAsia"/>
        </w:rPr>
        <w:t>FI is optional in NR [vivo]</w:t>
      </w:r>
    </w:p>
    <w:p w14:paraId="5E24FA9D">
      <w:pPr>
        <w:pStyle w:val="63"/>
        <w:numPr>
          <w:ilvl w:val="2"/>
          <w:numId w:val="27"/>
        </w:numPr>
        <w:spacing w:after="0"/>
        <w:rPr>
          <w:rFonts w:eastAsia="等线"/>
          <w:i/>
          <w:iCs/>
        </w:rPr>
      </w:pPr>
      <w:r>
        <w:rPr>
          <w:rFonts w:hint="eastAsia" w:eastAsiaTheme="minorEastAsia"/>
        </w:rPr>
        <w:t>H</w:t>
      </w:r>
      <w:r>
        <w:rPr>
          <w:rFonts w:eastAsiaTheme="minorEastAsia"/>
        </w:rPr>
        <w:t>igher UE power consumption [vivo]</w:t>
      </w:r>
    </w:p>
    <w:p w14:paraId="4BAF40F6">
      <w:pPr>
        <w:pStyle w:val="63"/>
        <w:numPr>
          <w:ilvl w:val="0"/>
          <w:numId w:val="28"/>
        </w:numPr>
        <w:spacing w:after="0"/>
        <w:rPr>
          <w:rFonts w:eastAsia="等线"/>
        </w:rPr>
      </w:pPr>
      <w:r>
        <w:rPr>
          <w:rFonts w:hint="eastAsia" w:eastAsia="等线"/>
        </w:rPr>
        <w:t>S</w:t>
      </w:r>
      <w:r>
        <w:rPr>
          <w:rFonts w:eastAsia="等线"/>
        </w:rPr>
        <w:t xml:space="preserve">implify SFI design </w:t>
      </w:r>
    </w:p>
    <w:p w14:paraId="1D5BF4BC">
      <w:pPr>
        <w:pStyle w:val="63"/>
        <w:numPr>
          <w:ilvl w:val="1"/>
          <w:numId w:val="27"/>
        </w:numPr>
        <w:spacing w:after="0"/>
        <w:rPr>
          <w:rFonts w:eastAsia="等线"/>
          <w:i/>
          <w:iCs/>
          <w:color w:val="C00000"/>
        </w:rPr>
      </w:pPr>
      <w:r>
        <w:rPr>
          <w:rFonts w:eastAsia="等线"/>
          <w:i/>
          <w:iCs/>
          <w:color w:val="C00000"/>
        </w:rPr>
        <w:t>Support: Huawei, InterDigital</w:t>
      </w:r>
    </w:p>
    <w:p w14:paraId="6BC8A231">
      <w:pPr>
        <w:pStyle w:val="63"/>
        <w:numPr>
          <w:ilvl w:val="2"/>
          <w:numId w:val="27"/>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pPr>
        <w:pStyle w:val="63"/>
        <w:numPr>
          <w:ilvl w:val="2"/>
          <w:numId w:val="27"/>
        </w:numPr>
        <w:spacing w:after="0"/>
        <w:rPr>
          <w:rFonts w:eastAsia="等线"/>
          <w:i/>
          <w:iCs/>
        </w:rPr>
      </w:pPr>
      <w:r>
        <w:rPr>
          <w:szCs w:val="22"/>
        </w:rPr>
        <w:t>indicating a frame pattern from a limited number of patterns [InterDigital]</w:t>
      </w:r>
    </w:p>
    <w:p w14:paraId="11F320F2">
      <w:pPr>
        <w:pStyle w:val="63"/>
        <w:numPr>
          <w:ilvl w:val="0"/>
          <w:numId w:val="28"/>
        </w:numPr>
        <w:spacing w:after="0"/>
        <w:rPr>
          <w:rFonts w:eastAsia="等线"/>
        </w:rPr>
      </w:pPr>
      <w:r>
        <w:rPr>
          <w:rFonts w:eastAsia="等线"/>
        </w:rPr>
        <w:t>Re-evaluate dynamic SFI</w:t>
      </w:r>
    </w:p>
    <w:p w14:paraId="3743B0CB">
      <w:pPr>
        <w:pStyle w:val="63"/>
        <w:numPr>
          <w:ilvl w:val="1"/>
          <w:numId w:val="27"/>
        </w:numPr>
        <w:spacing w:after="0"/>
        <w:rPr>
          <w:rFonts w:eastAsia="等线"/>
          <w:i/>
          <w:iCs/>
          <w:color w:val="C00000"/>
        </w:rPr>
      </w:pPr>
      <w:r>
        <w:rPr>
          <w:rFonts w:eastAsia="等线"/>
          <w:i/>
          <w:iCs/>
          <w:color w:val="C00000"/>
        </w:rPr>
        <w:t>Support: CMCC</w:t>
      </w:r>
    </w:p>
    <w:p w14:paraId="3AE21D29">
      <w:pPr>
        <w:jc w:val="both"/>
        <w:rPr>
          <w:rFonts w:eastAsia="等线"/>
        </w:rPr>
      </w:pPr>
    </w:p>
    <w:p w14:paraId="0F857754">
      <w:pPr>
        <w:spacing w:before="120"/>
        <w:rPr>
          <w:rFonts w:eastAsia="等线"/>
          <w:b/>
          <w:bCs/>
          <w:u w:val="single"/>
        </w:rPr>
      </w:pPr>
      <w:r>
        <w:rPr>
          <w:rFonts w:eastAsia="等线"/>
          <w:b/>
          <w:bCs/>
          <w:u w:val="single"/>
        </w:rPr>
        <w:t>Frame structure for SBFD</w:t>
      </w:r>
    </w:p>
    <w:p w14:paraId="0E3F854B">
      <w:pPr>
        <w:jc w:val="both"/>
        <w:rPr>
          <w:rFonts w:eastAsia="等线"/>
        </w:rPr>
      </w:pPr>
      <w:r>
        <w:rPr>
          <w:rFonts w:hint="eastAsia" w:eastAsia="等线"/>
        </w:rPr>
        <w:t>N</w:t>
      </w:r>
      <w:r>
        <w:rPr>
          <w:rFonts w:eastAsia="等线"/>
        </w:rPr>
        <w:t xml:space="preserve">okia, Huawei, </w:t>
      </w:r>
      <w:r>
        <w:rPr>
          <w:rFonts w:hint="eastAsia" w:eastAsia="等线"/>
        </w:rPr>
        <w:t>OPPO</w:t>
      </w:r>
      <w:r>
        <w:rPr>
          <w:rFonts w:eastAsia="等线"/>
        </w:rPr>
        <w:t>, ZTE, LGE, China Telecom, InterDigital proposed to study frame structure to support SBFD and/or discussed how to support SBFD.</w:t>
      </w:r>
    </w:p>
    <w:p w14:paraId="35E9556E">
      <w:pPr>
        <w:spacing w:before="120"/>
        <w:rPr>
          <w:rFonts w:eastAsia="等线"/>
          <w:b/>
          <w:bCs/>
          <w:u w:val="single"/>
        </w:rPr>
      </w:pPr>
    </w:p>
    <w:p w14:paraId="537F25DE">
      <w:pPr>
        <w:spacing w:before="120"/>
        <w:rPr>
          <w:rFonts w:eastAsia="等线"/>
          <w:b/>
          <w:bCs/>
          <w:u w:val="single"/>
        </w:rPr>
      </w:pPr>
      <w:r>
        <w:rPr>
          <w:rFonts w:eastAsia="等线"/>
          <w:b/>
          <w:bCs/>
          <w:u w:val="single"/>
        </w:rPr>
        <w:t>Resource/symbol type</w:t>
      </w:r>
    </w:p>
    <w:p w14:paraId="4FDC855F">
      <w:pPr>
        <w:spacing w:after="0"/>
        <w:rPr>
          <w:rFonts w:eastAsia="等线"/>
        </w:rPr>
      </w:pPr>
      <w:r>
        <w:rPr>
          <w:rFonts w:hint="eastAsia" w:eastAsia="等线"/>
        </w:rPr>
        <w:t>I</w:t>
      </w:r>
      <w:r>
        <w:rPr>
          <w:rFonts w:eastAsia="等线"/>
        </w:rPr>
        <w:t>n addition to DL symbol and UL symbols, companies support the following symbol type(s):</w:t>
      </w:r>
    </w:p>
    <w:p w14:paraId="59F5718A">
      <w:pPr>
        <w:pStyle w:val="63"/>
        <w:numPr>
          <w:ilvl w:val="0"/>
          <w:numId w:val="27"/>
        </w:numPr>
        <w:spacing w:after="0"/>
        <w:rPr>
          <w:rFonts w:eastAsia="等线"/>
        </w:rPr>
      </w:pPr>
      <w:r>
        <w:rPr>
          <w:rFonts w:eastAsia="等线"/>
        </w:rPr>
        <w:t>Flexible symbol</w:t>
      </w:r>
    </w:p>
    <w:p w14:paraId="3811A7C8">
      <w:pPr>
        <w:pStyle w:val="63"/>
        <w:numPr>
          <w:ilvl w:val="1"/>
          <w:numId w:val="27"/>
        </w:numPr>
        <w:spacing w:after="0"/>
        <w:rPr>
          <w:rFonts w:eastAsia="等线"/>
          <w:i/>
          <w:iCs/>
          <w:color w:val="C00000"/>
        </w:rPr>
      </w:pPr>
      <w:r>
        <w:rPr>
          <w:rFonts w:eastAsia="等线"/>
          <w:i/>
          <w:iCs/>
          <w:color w:val="C00000"/>
        </w:rPr>
        <w:t>Support: Nokia, Huawei, ZTE, CATT, CMCC, TCL, Ericsson (mixed UL/</w:t>
      </w:r>
      <w:r>
        <w:rPr>
          <w:rFonts w:hint="eastAsia" w:eastAsia="等线"/>
          <w:i/>
          <w:iCs/>
          <w:color w:val="C00000"/>
        </w:rPr>
        <w:t>DL</w:t>
      </w:r>
      <w:r>
        <w:rPr>
          <w:rFonts w:eastAsia="等线"/>
          <w:i/>
          <w:iCs/>
          <w:color w:val="C00000"/>
        </w:rPr>
        <w:t>), China Telecom, Fujitsu, QC, CEWiT</w:t>
      </w:r>
    </w:p>
    <w:p w14:paraId="185E65AC">
      <w:pPr>
        <w:pStyle w:val="63"/>
        <w:numPr>
          <w:ilvl w:val="2"/>
          <w:numId w:val="27"/>
        </w:numPr>
        <w:spacing w:after="0"/>
        <w:rPr>
          <w:rFonts w:eastAsia="等线"/>
        </w:rPr>
      </w:pPr>
      <w:r>
        <w:rPr>
          <w:rFonts w:eastAsia="等线"/>
        </w:rPr>
        <w:t>For forward compatibility [Nokia]</w:t>
      </w:r>
    </w:p>
    <w:p w14:paraId="786F2BEE">
      <w:pPr>
        <w:pStyle w:val="63"/>
        <w:numPr>
          <w:ilvl w:val="2"/>
          <w:numId w:val="27"/>
        </w:numPr>
        <w:spacing w:after="0"/>
        <w:rPr>
          <w:rFonts w:eastAsia="等线"/>
        </w:rPr>
      </w:pPr>
      <w:r>
        <w:rPr>
          <w:rFonts w:eastAsiaTheme="minorEastAsia"/>
        </w:rPr>
        <w:t>N</w:t>
      </w:r>
      <w:r>
        <w:rPr>
          <w:rFonts w:hint="eastAsia" w:eastAsiaTheme="minorEastAsia"/>
        </w:rPr>
        <w:t xml:space="preserve">eeds of guard period/transition period in TDD operation and SBFD operation, and the different requirements of TDD/SBFD operation with </w:t>
      </w:r>
      <w:r>
        <w:rPr>
          <w:rFonts w:eastAsiaTheme="minorEastAsia"/>
        </w:rPr>
        <w:t>different</w:t>
      </w:r>
      <w:r>
        <w:rPr>
          <w:rFonts w:hint="eastAsia" w:eastAsiaTheme="minorEastAsia"/>
        </w:rPr>
        <w:t xml:space="preserve"> SCS</w:t>
      </w:r>
      <w:r>
        <w:rPr>
          <w:rFonts w:eastAsiaTheme="minorEastAsia"/>
        </w:rPr>
        <w:t xml:space="preserve"> [CATT]</w:t>
      </w:r>
    </w:p>
    <w:p w14:paraId="5BF54F5B">
      <w:pPr>
        <w:pStyle w:val="63"/>
        <w:numPr>
          <w:ilvl w:val="2"/>
          <w:numId w:val="27"/>
        </w:numPr>
        <w:spacing w:after="0"/>
        <w:rPr>
          <w:rFonts w:eastAsia="等线"/>
        </w:rPr>
      </w:pPr>
      <w:r>
        <w:rPr>
          <w:rFonts w:eastAsiaTheme="minorEastAsia"/>
        </w:rPr>
        <w:t>Support of dynamic TDD [CMCC]</w:t>
      </w:r>
    </w:p>
    <w:p w14:paraId="6CF246AC">
      <w:pPr>
        <w:pStyle w:val="63"/>
        <w:numPr>
          <w:ilvl w:val="2"/>
          <w:numId w:val="27"/>
        </w:numPr>
        <w:spacing w:after="0"/>
        <w:rPr>
          <w:rFonts w:eastAsia="等线"/>
        </w:rPr>
      </w:pPr>
      <w:r>
        <w:rPr>
          <w:rFonts w:hint="eastAsia" w:eastAsia="等线"/>
        </w:rPr>
        <w:t>‘</w:t>
      </w:r>
      <w:r>
        <w:rPr>
          <w:rFonts w:eastAsia="等线"/>
        </w:rPr>
        <w:t>X’ symbol for F or SBFD depending on the presence of SBFD subband configuration [QC]</w:t>
      </w:r>
    </w:p>
    <w:p w14:paraId="258E34EA">
      <w:pPr>
        <w:pStyle w:val="63"/>
        <w:numPr>
          <w:ilvl w:val="0"/>
          <w:numId w:val="27"/>
        </w:numPr>
        <w:spacing w:after="0"/>
        <w:rPr>
          <w:rFonts w:eastAsia="等线"/>
        </w:rPr>
      </w:pPr>
      <w:r>
        <w:rPr>
          <w:rFonts w:hint="eastAsia" w:eastAsia="等线"/>
        </w:rPr>
        <w:t>S</w:t>
      </w:r>
      <w:r>
        <w:rPr>
          <w:rFonts w:eastAsia="等线"/>
        </w:rPr>
        <w:t>BFD symbol</w:t>
      </w:r>
    </w:p>
    <w:p w14:paraId="5B90B55F">
      <w:pPr>
        <w:pStyle w:val="63"/>
        <w:numPr>
          <w:ilvl w:val="1"/>
          <w:numId w:val="27"/>
        </w:numPr>
        <w:spacing w:after="0"/>
        <w:rPr>
          <w:rFonts w:eastAsia="等线"/>
          <w:i/>
          <w:iCs/>
          <w:color w:val="C00000"/>
        </w:rPr>
      </w:pPr>
      <w:r>
        <w:rPr>
          <w:rFonts w:hint="eastAsia" w:eastAsia="等线"/>
          <w:i/>
          <w:iCs/>
          <w:color w:val="C00000"/>
        </w:rPr>
        <w:t>S</w:t>
      </w:r>
      <w:r>
        <w:rPr>
          <w:rFonts w:eastAsia="等线"/>
          <w:i/>
          <w:iCs/>
          <w:color w:val="C00000"/>
        </w:rPr>
        <w:t>upport: Huawei, OPPO, ZTE, CATT, CMCC, TCL, Fujitsu, QC</w:t>
      </w:r>
    </w:p>
    <w:p w14:paraId="598AD879">
      <w:pPr>
        <w:pStyle w:val="63"/>
        <w:numPr>
          <w:ilvl w:val="2"/>
          <w:numId w:val="27"/>
        </w:numPr>
        <w:spacing w:after="0"/>
        <w:rPr>
          <w:rFonts w:eastAsia="等线"/>
        </w:rPr>
      </w:pPr>
      <w:r>
        <w:rPr>
          <w:rFonts w:eastAsia="等线"/>
        </w:rPr>
        <w:t>Native support SBFD [CATT, CMCC]</w:t>
      </w:r>
    </w:p>
    <w:p w14:paraId="3E9F876D">
      <w:pPr>
        <w:pStyle w:val="63"/>
        <w:numPr>
          <w:ilvl w:val="2"/>
          <w:numId w:val="27"/>
        </w:numPr>
        <w:spacing w:after="0"/>
        <w:rPr>
          <w:rFonts w:eastAsia="等线"/>
        </w:rPr>
      </w:pPr>
      <w:r>
        <w:rPr>
          <w:rFonts w:eastAsia="等线"/>
        </w:rPr>
        <w:t>Simplify signaling design [CATT]</w:t>
      </w:r>
    </w:p>
    <w:p w14:paraId="091B48E7">
      <w:pPr>
        <w:pStyle w:val="63"/>
        <w:numPr>
          <w:ilvl w:val="2"/>
          <w:numId w:val="27"/>
        </w:numPr>
        <w:spacing w:after="0"/>
        <w:rPr>
          <w:rFonts w:eastAsia="等线"/>
        </w:rPr>
      </w:pPr>
      <w:r>
        <w:rPr>
          <w:rFonts w:hint="eastAsia" w:eastAsia="等线"/>
        </w:rPr>
        <w:t xml:space="preserve"> ‘</w:t>
      </w:r>
      <w:r>
        <w:rPr>
          <w:rFonts w:eastAsia="等线"/>
        </w:rPr>
        <w:t>X’ symbol for F or SBFD depending on the presence of SBFD subband configuration [QC]</w:t>
      </w:r>
    </w:p>
    <w:p w14:paraId="76C87365">
      <w:pPr>
        <w:pStyle w:val="63"/>
        <w:numPr>
          <w:ilvl w:val="0"/>
          <w:numId w:val="27"/>
        </w:numPr>
        <w:spacing w:after="0"/>
        <w:rPr>
          <w:rFonts w:eastAsia="等线"/>
        </w:rPr>
      </w:pPr>
      <w:r>
        <w:rPr>
          <w:rFonts w:hint="eastAsia" w:eastAsia="等线"/>
        </w:rPr>
        <w:t>G</w:t>
      </w:r>
      <w:r>
        <w:rPr>
          <w:rFonts w:eastAsia="等线"/>
        </w:rPr>
        <w:t>uard or reserved resource</w:t>
      </w:r>
    </w:p>
    <w:p w14:paraId="02FFF3B7">
      <w:pPr>
        <w:pStyle w:val="63"/>
        <w:numPr>
          <w:ilvl w:val="1"/>
          <w:numId w:val="27"/>
        </w:numPr>
        <w:spacing w:after="0"/>
        <w:rPr>
          <w:rFonts w:eastAsia="等线"/>
          <w:i/>
          <w:iCs/>
          <w:color w:val="C00000"/>
        </w:rPr>
      </w:pPr>
      <w:r>
        <w:rPr>
          <w:rFonts w:hint="eastAsia" w:eastAsia="等线"/>
          <w:i/>
          <w:iCs/>
          <w:color w:val="C00000"/>
        </w:rPr>
        <w:t>S</w:t>
      </w:r>
      <w:r>
        <w:rPr>
          <w:rFonts w:eastAsia="等线"/>
          <w:i/>
          <w:iCs/>
          <w:color w:val="C00000"/>
        </w:rPr>
        <w:t>upport: Nokia, CMCC, LGE, Ericsson, Fujitsu</w:t>
      </w:r>
    </w:p>
    <w:p w14:paraId="30355713">
      <w:pPr>
        <w:pStyle w:val="63"/>
        <w:numPr>
          <w:ilvl w:val="2"/>
          <w:numId w:val="27"/>
        </w:numPr>
        <w:spacing w:after="0"/>
        <w:rPr>
          <w:rFonts w:eastAsia="等线"/>
          <w:iCs/>
        </w:rPr>
      </w:pPr>
      <w:r>
        <w:rPr>
          <w:rFonts w:eastAsia="宋体"/>
          <w:bCs/>
          <w:iCs/>
        </w:rPr>
        <w:t>For the purposes of at least UE UL-DL transition periods, SBFD UL-DL subband separation, and gNB mono-static sensing [Nokia]</w:t>
      </w:r>
    </w:p>
    <w:p w14:paraId="095A3219">
      <w:pPr>
        <w:pStyle w:val="63"/>
        <w:numPr>
          <w:ilvl w:val="2"/>
          <w:numId w:val="27"/>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6440AA6B">
      <w:pPr>
        <w:jc w:val="both"/>
        <w:rPr>
          <w:rFonts w:eastAsia="等线"/>
        </w:rPr>
      </w:pPr>
    </w:p>
    <w:p w14:paraId="1FD6B3B3">
      <w:pPr>
        <w:spacing w:before="120"/>
        <w:rPr>
          <w:rFonts w:eastAsia="等线"/>
          <w:b/>
          <w:bCs/>
          <w:u w:val="single"/>
        </w:rPr>
      </w:pPr>
      <w:r>
        <w:rPr>
          <w:rFonts w:hint="eastAsia" w:eastAsia="等线"/>
          <w:b/>
          <w:bCs/>
          <w:u w:val="single"/>
        </w:rPr>
        <w:t>N</w:t>
      </w:r>
      <w:r>
        <w:rPr>
          <w:rFonts w:eastAsia="等线"/>
          <w:b/>
          <w:bCs/>
          <w:u w:val="single"/>
        </w:rPr>
        <w:t>TN specific frame structure</w:t>
      </w:r>
    </w:p>
    <w:p w14:paraId="0AB891ED">
      <w:pPr>
        <w:jc w:val="both"/>
        <w:rPr>
          <w:rFonts w:eastAsia="等线"/>
        </w:rPr>
      </w:pPr>
      <w:r>
        <w:rPr>
          <w:rFonts w:eastAsia="等线"/>
        </w:rPr>
        <w:t>Nokia proposed that aspects related to the TDD operation in NTN should be discussed in the NTN Agenda Item.</w:t>
      </w:r>
    </w:p>
    <w:p w14:paraId="65C2F7E7">
      <w:pPr>
        <w:jc w:val="both"/>
        <w:rPr>
          <w:rFonts w:eastAsia="等线"/>
        </w:rPr>
      </w:pPr>
      <w:r>
        <w:rPr>
          <w:rFonts w:hint="eastAsia" w:eastAsia="等线"/>
        </w:rPr>
        <w:t>C</w:t>
      </w:r>
      <w:r>
        <w:rPr>
          <w:rFonts w:eastAsia="等线"/>
        </w:rPr>
        <w:t>MCC, TCL, vivo discussed frame structure supporting TDD NTN.</w:t>
      </w:r>
    </w:p>
    <w:p w14:paraId="03AD4BB6">
      <w:pPr>
        <w:jc w:val="both"/>
        <w:rPr>
          <w:rFonts w:eastAsia="等线"/>
        </w:rPr>
      </w:pPr>
      <w:r>
        <w:rPr>
          <w:rFonts w:hint="eastAsia" w:eastAsia="等线"/>
        </w:rPr>
        <w:t>M</w:t>
      </w:r>
      <w:r>
        <w:rPr>
          <w:rFonts w:eastAsia="等线"/>
        </w:rPr>
        <w:t>oderator would like to clarify that NTN specific numerology and frame structure designs are up to NTN agenda discussions.</w:t>
      </w:r>
    </w:p>
    <w:p w14:paraId="2A3E4316">
      <w:pPr>
        <w:rPr>
          <w:rFonts w:eastAsia="等线"/>
        </w:rPr>
      </w:pPr>
    </w:p>
    <w:p w14:paraId="31A05EC9">
      <w:pPr>
        <w:pStyle w:val="3"/>
        <w:spacing w:after="120"/>
        <w:rPr>
          <w:rFonts w:eastAsia="等线"/>
        </w:rPr>
      </w:pPr>
      <w:r>
        <w:rPr>
          <w:rFonts w:hint="eastAsia" w:eastAsia="等线"/>
        </w:rPr>
        <w:t>Discussion</w:t>
      </w:r>
    </w:p>
    <w:p w14:paraId="70611CE8">
      <w:pPr>
        <w:pStyle w:val="4"/>
        <w:spacing w:after="120"/>
        <w:rPr>
          <w:rFonts w:eastAsia="等线"/>
        </w:rPr>
      </w:pPr>
      <w:r>
        <w:rPr>
          <w:rFonts w:eastAsia="等线"/>
        </w:rPr>
        <w:t>Proposal 4-1 [open]</w:t>
      </w:r>
    </w:p>
    <w:p w14:paraId="589EF2F4">
      <w:pPr>
        <w:jc w:val="both"/>
        <w:rPr>
          <w:rFonts w:eastAsia="等线"/>
          <w:b/>
          <w:bCs/>
        </w:rPr>
      </w:pPr>
      <w:r>
        <w:rPr>
          <w:rFonts w:eastAsia="等线"/>
          <w:b/>
          <w:bCs/>
        </w:rPr>
        <w:t>Proposed agreement</w:t>
      </w:r>
      <w:r>
        <w:rPr>
          <w:rFonts w:hint="eastAsia" w:eastAsia="等线"/>
          <w:b/>
          <w:bCs/>
        </w:rPr>
        <w:t xml:space="preserve">: </w:t>
      </w:r>
    </w:p>
    <w:p w14:paraId="64DB7273">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14:paraId="51C290A0">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The System performance impact, e.g., BLER, system overhead, latency</w:t>
      </w:r>
    </w:p>
    <w:p w14:paraId="303324B7">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 xml:space="preserve">Impact from </w:t>
      </w:r>
    </w:p>
    <w:p w14:paraId="35144B1C">
      <w:pPr>
        <w:widowControl w:val="0"/>
        <w:numPr>
          <w:ilvl w:val="1"/>
          <w:numId w:val="7"/>
        </w:numPr>
        <w:shd w:val="clear" w:color="auto" w:fill="FFFFFF"/>
        <w:tabs>
          <w:tab w:val="left" w:pos="720"/>
        </w:tabs>
        <w:adjustRightInd/>
        <w:snapToGrid/>
        <w:spacing w:after="0"/>
        <w:jc w:val="both"/>
        <w:rPr>
          <w:rFonts w:eastAsia="宋体"/>
          <w:szCs w:val="22"/>
          <w:lang w:val="en-GB" w:eastAsia="zh-CN"/>
        </w:rPr>
      </w:pPr>
      <w:r>
        <w:rPr>
          <w:rFonts w:eastAsia="宋体"/>
          <w:szCs w:val="22"/>
          <w:lang w:val="en-GB" w:eastAsia="zh-CN"/>
        </w:rPr>
        <w:t>UE speed</w:t>
      </w:r>
    </w:p>
    <w:p w14:paraId="669247B6">
      <w:pPr>
        <w:widowControl w:val="0"/>
        <w:numPr>
          <w:ilvl w:val="1"/>
          <w:numId w:val="7"/>
        </w:numPr>
        <w:shd w:val="clear" w:color="auto" w:fill="FFFFFF"/>
        <w:tabs>
          <w:tab w:val="left" w:pos="720"/>
        </w:tabs>
        <w:adjustRightInd/>
        <w:snapToGrid/>
        <w:spacing w:after="0"/>
        <w:jc w:val="both"/>
        <w:rPr>
          <w:rFonts w:eastAsia="宋体"/>
          <w:szCs w:val="22"/>
          <w:lang w:val="en-GB" w:eastAsia="zh-CN"/>
        </w:rPr>
      </w:pPr>
      <w:r>
        <w:rPr>
          <w:rFonts w:eastAsia="宋体"/>
          <w:szCs w:val="22"/>
          <w:lang w:val="en-GB" w:eastAsia="zh-CN"/>
        </w:rPr>
        <w:t>Channel delay spread</w:t>
      </w:r>
    </w:p>
    <w:p w14:paraId="14D60974">
      <w:pPr>
        <w:widowControl w:val="0"/>
        <w:numPr>
          <w:ilvl w:val="1"/>
          <w:numId w:val="7"/>
        </w:numPr>
        <w:shd w:val="clear" w:color="auto" w:fill="FFFFFF"/>
        <w:tabs>
          <w:tab w:val="left" w:pos="720"/>
        </w:tabs>
        <w:adjustRightInd/>
        <w:snapToGrid/>
        <w:spacing w:after="0"/>
        <w:jc w:val="both"/>
        <w:rPr>
          <w:rFonts w:eastAsia="宋体"/>
          <w:szCs w:val="22"/>
          <w:lang w:val="en-GB" w:eastAsia="zh-CN"/>
        </w:rPr>
      </w:pPr>
      <w:r>
        <w:rPr>
          <w:rFonts w:eastAsia="宋体"/>
          <w:szCs w:val="22"/>
          <w:lang w:val="en-GB" w:eastAsia="zh-CN"/>
        </w:rPr>
        <w:t>UE and BS impairment, e.g., phase noise, carrier frequency offset</w:t>
      </w:r>
    </w:p>
    <w:p w14:paraId="7235760A">
      <w:pPr>
        <w:widowControl w:val="0"/>
        <w:numPr>
          <w:ilvl w:val="1"/>
          <w:numId w:val="7"/>
        </w:numPr>
        <w:shd w:val="clear" w:color="auto" w:fill="FFFFFF"/>
        <w:tabs>
          <w:tab w:val="left" w:pos="720"/>
        </w:tabs>
        <w:adjustRightInd/>
        <w:snapToGrid/>
        <w:spacing w:after="0"/>
        <w:jc w:val="both"/>
        <w:rPr>
          <w:rFonts w:eastAsia="宋体"/>
          <w:szCs w:val="22"/>
          <w:lang w:val="en-GB" w:eastAsia="zh-CN"/>
        </w:rPr>
      </w:pPr>
      <w:r>
        <w:rPr>
          <w:rFonts w:eastAsia="宋体"/>
          <w:szCs w:val="22"/>
          <w:lang w:val="en-GB" w:eastAsia="zh-CN"/>
        </w:rPr>
        <w:t>Coexistence and synergies with other deployments and implementations</w:t>
      </w:r>
    </w:p>
    <w:p w14:paraId="07FE41BE">
      <w:pPr>
        <w:widowControl w:val="0"/>
        <w:numPr>
          <w:ilvl w:val="1"/>
          <w:numId w:val="7"/>
        </w:numPr>
        <w:shd w:val="clear" w:color="auto" w:fill="FFFFFF"/>
        <w:tabs>
          <w:tab w:val="left" w:pos="720"/>
        </w:tabs>
        <w:adjustRightInd/>
        <w:snapToGrid/>
        <w:spacing w:after="0"/>
        <w:jc w:val="both"/>
        <w:rPr>
          <w:rFonts w:eastAsia="宋体"/>
          <w:szCs w:val="22"/>
          <w:lang w:val="nb-NO" w:eastAsia="zh-CN"/>
        </w:rPr>
      </w:pPr>
      <w:r>
        <w:rPr>
          <w:rFonts w:eastAsia="宋体"/>
          <w:szCs w:val="22"/>
          <w:lang w:val="nb-NO" w:eastAsia="zh-CN"/>
        </w:rPr>
        <w:t>BS beamforming type, e.g., hybrid beamforming, analogue beamforming</w:t>
      </w:r>
    </w:p>
    <w:p w14:paraId="402CBCE9">
      <w:pPr>
        <w:widowControl w:val="0"/>
        <w:numPr>
          <w:ilvl w:val="1"/>
          <w:numId w:val="7"/>
        </w:numPr>
        <w:shd w:val="clear" w:color="auto" w:fill="FFFFFF"/>
        <w:tabs>
          <w:tab w:val="left" w:pos="720"/>
        </w:tabs>
        <w:adjustRightInd/>
        <w:snapToGrid/>
        <w:spacing w:after="0"/>
        <w:jc w:val="both"/>
        <w:rPr>
          <w:rFonts w:eastAsia="宋体"/>
          <w:szCs w:val="22"/>
          <w:lang w:val="en-GB" w:eastAsia="zh-CN"/>
        </w:rPr>
      </w:pPr>
      <w:r>
        <w:rPr>
          <w:rFonts w:eastAsia="宋体"/>
          <w:szCs w:val="22"/>
          <w:lang w:val="en-GB" w:eastAsia="zh-CN"/>
        </w:rPr>
        <w:t>Others are not precluded and provided by companies.</w:t>
      </w:r>
    </w:p>
    <w:p w14:paraId="0F581AE7">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069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20CC4BE">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EE48908">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14:paraId="5BC8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1CB0984D">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3DCF7BAB">
            <w:pPr>
              <w:widowControl w:val="0"/>
              <w:suppressAutoHyphens/>
              <w:spacing w:line="256" w:lineRule="auto"/>
              <w:rPr>
                <w:rFonts w:ascii="Times New Roman" w:hAnsi="Times New Roman" w:cs="Times New Roman" w:eastAsiaTheme="minorEastAsia"/>
                <w:szCs w:val="22"/>
                <w:lang w:val="en-GB"/>
              </w:rPr>
            </w:pPr>
            <w:r>
              <w:rPr>
                <w:rFonts w:ascii="Times New Roman" w:hAnsi="Times New Roman" w:eastAsia="宋体" w:cs="Times New Roman"/>
                <w:szCs w:val="22"/>
                <w:lang w:val="en-GB"/>
              </w:rPr>
              <w:t>Nokia (in principle), CEWiT</w:t>
            </w:r>
            <w:r>
              <w:rPr>
                <w:rFonts w:hint="eastAsia" w:ascii="Times New Roman" w:hAnsi="Times New Roman" w:eastAsia="MS Mincho" w:cs="Times New Roman"/>
                <w:szCs w:val="22"/>
                <w:lang w:val="en-GB" w:eastAsia="ja-JP"/>
              </w:rPr>
              <w:t>, DOCOMO</w:t>
            </w:r>
            <w:r>
              <w:rPr>
                <w:rFonts w:hint="eastAsia" w:ascii="Times New Roman" w:hAnsi="Times New Roman" w:eastAsia="宋体" w:cs="Times New Roman"/>
                <w:szCs w:val="22"/>
                <w:lang w:val="en-GB"/>
              </w:rPr>
              <w:t>,Lenovo</w:t>
            </w:r>
            <w:r>
              <w:rPr>
                <w:rFonts w:hint="eastAsia" w:ascii="Times New Roman" w:hAnsi="Times New Roman" w:eastAsia="MS Mincho" w:cs="Times New Roman"/>
                <w:szCs w:val="22"/>
                <w:lang w:val="en-GB" w:eastAsia="ja-JP"/>
              </w:rPr>
              <w:t>, Sharp</w:t>
            </w:r>
            <w:r>
              <w:rPr>
                <w:rFonts w:ascii="Times New Roman" w:hAnsi="Times New Roman" w:eastAsia="MS Mincho" w:cs="Times New Roman"/>
                <w:szCs w:val="22"/>
                <w:lang w:val="en-GB" w:eastAsia="ja-JP"/>
              </w:rPr>
              <w:t>, MTK (with small revision)</w:t>
            </w:r>
            <w:r>
              <w:rPr>
                <w:rFonts w:hint="eastAsia" w:ascii="Times New Roman" w:hAnsi="Times New Roman" w:cs="Times New Roman" w:eastAsiaTheme="minorEastAsia"/>
                <w:szCs w:val="22"/>
                <w:lang w:val="en-GB"/>
              </w:rPr>
              <w:t>, China Telecom</w:t>
            </w:r>
            <w:r>
              <w:rPr>
                <w:rFonts w:ascii="Times New Roman" w:hAnsi="Times New Roman" w:cs="Times New Roman" w:eastAsiaTheme="minorEastAsia"/>
                <w:szCs w:val="22"/>
                <w:lang w:val="en-GB"/>
              </w:rPr>
              <w:t>, Google</w:t>
            </w:r>
          </w:p>
        </w:tc>
      </w:tr>
      <w:tr w14:paraId="64FA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280F0018">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62835FAD">
            <w:pPr>
              <w:widowControl w:val="0"/>
              <w:suppressAutoHyphens/>
              <w:spacing w:line="256" w:lineRule="auto"/>
              <w:jc w:val="both"/>
              <w:rPr>
                <w:rFonts w:ascii="Times New Roman" w:hAnsi="Times New Roman" w:eastAsia="宋体" w:cs="Times New Roman"/>
                <w:szCs w:val="22"/>
                <w:lang w:val="en-GB"/>
              </w:rPr>
            </w:pPr>
          </w:p>
        </w:tc>
      </w:tr>
    </w:tbl>
    <w:p w14:paraId="70FDD5B4">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00B6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4FC3D4C">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BC85D74">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078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79B416F">
            <w:pPr>
              <w:widowControl w:val="0"/>
              <w:suppressAutoHyphens/>
              <w:spacing w:line="256" w:lineRule="auto"/>
              <w:jc w:val="center"/>
              <w:rPr>
                <w:rFonts w:ascii="Times New Roman" w:hAnsi="Times New Roman" w:eastAsia="宋体" w:cs="Times New Roman"/>
                <w:szCs w:val="22"/>
                <w:lang w:val="en-GB"/>
              </w:rPr>
            </w:pPr>
            <w:r>
              <w:rPr>
                <w:rFonts w:hint="eastAsia" w:ascii="Times New Roman" w:hAnsi="Times New Roman" w:eastAsia="宋体" w:cs="Times New Roman"/>
                <w:szCs w:val="22"/>
                <w:lang w:val="en-GB"/>
              </w:rPr>
              <w:t>M</w:t>
            </w:r>
            <w:r>
              <w:rPr>
                <w:rFonts w:ascii="Times New Roman" w:hAnsi="Times New Roman" w:eastAsia="宋体" w:cs="Times New Roman"/>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A2A3B42">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I</w:t>
            </w:r>
            <w:r>
              <w:rPr>
                <w:rFonts w:ascii="Times New Roman" w:hAnsi="Times New Roman" w:eastAsia="宋体"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w:t>
            </w:r>
            <w:r>
              <w:rPr>
                <w:rFonts w:ascii="Times New Roman" w:hAnsi="Times New Roman" w:eastAsia="宋体" w:cs="Times New Roman"/>
                <w:szCs w:val="22"/>
                <w:lang w:val="en-GB"/>
              </w:rPr>
              <w:t xml:space="preserve">he above proposal is the same as the latest proposal in the last RAN1 meeting, except the last controversial bullet is removed. </w:t>
            </w:r>
          </w:p>
          <w:p w14:paraId="3EAA5151">
            <w:pPr>
              <w:numPr>
                <w:ilvl w:val="0"/>
                <w:numId w:val="23"/>
              </w:numPr>
              <w:adjustRightInd/>
              <w:snapToGrid/>
              <w:spacing w:after="0" w:line="278" w:lineRule="auto"/>
              <w:rPr>
                <w:rFonts w:ascii="Times" w:hAnsi="Times" w:eastAsia="等线" w:cs="Arial"/>
                <w:i/>
                <w:iCs/>
                <w:sz w:val="20"/>
                <w:lang w:val="en-GB"/>
              </w:rPr>
            </w:pPr>
            <w:r>
              <w:rPr>
                <w:rFonts w:ascii="Times" w:hAnsi="Times" w:eastAsia="等线" w:cs="Arial"/>
                <w:i/>
                <w:iCs/>
                <w:sz w:val="20"/>
                <w:lang w:val="en-GB"/>
              </w:rPr>
              <w:t>W</w:t>
            </w:r>
            <w:r>
              <w:rPr>
                <w:rFonts w:hint="eastAsia" w:ascii="Times" w:hAnsi="Times" w:eastAsia="等线" w:cs="Arial"/>
                <w:i/>
                <w:iCs/>
                <w:sz w:val="20"/>
                <w:lang w:val="en-GB"/>
              </w:rPr>
              <w:t xml:space="preserve">hether </w:t>
            </w:r>
            <w:r>
              <w:rPr>
                <w:rFonts w:ascii="Times" w:hAnsi="Times" w:eastAsia="等线" w:cs="Arial"/>
                <w:i/>
                <w:iCs/>
                <w:sz w:val="20"/>
                <w:lang w:val="en-GB"/>
              </w:rPr>
              <w:t>frequency range between upper bound of around 7GHz and FR2-1</w:t>
            </w:r>
            <w:r>
              <w:rPr>
                <w:rFonts w:hint="eastAsia" w:ascii="Times" w:hAnsi="Times" w:eastAsia="等线" w:cs="Arial"/>
                <w:i/>
                <w:iCs/>
                <w:sz w:val="20"/>
                <w:lang w:val="en-GB"/>
              </w:rPr>
              <w:t xml:space="preserve"> is split into two or keep as one is up to RAN-P/RAN4</w:t>
            </w:r>
          </w:p>
          <w:p w14:paraId="26FE5EF4">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now, we can focus on technical aspects including whether we in RAN1 see</w:t>
            </w:r>
            <w:r>
              <w:rPr>
                <w:rFonts w:ascii="Calibri" w:hAnsi="Calibri" w:cs="Arial"/>
              </w:rPr>
              <w:t xml:space="preserve"> </w:t>
            </w:r>
            <w:r>
              <w:rPr>
                <w:rFonts w:ascii="Times New Roman" w:hAnsi="Times New Roman" w:eastAsia="宋体" w:cs="Times New Roman"/>
                <w:szCs w:val="22"/>
                <w:lang w:val="en-GB"/>
              </w:rPr>
              <w:t>a need for different SCS for lower and upper part of the around 15GHz range.</w:t>
            </w:r>
          </w:p>
        </w:tc>
      </w:tr>
      <w:tr w14:paraId="346B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93DBAC6">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30332050">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14:paraId="4F5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6D4CF17">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7D19518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14:paraId="5DC4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C2CDE4D">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宋体" w:cs="Times New Roman"/>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3058E7DF">
            <w:pPr>
              <w:widowControl w:val="0"/>
              <w:suppressAutoHyphens/>
              <w:spacing w:line="256" w:lineRule="auto"/>
              <w:jc w:val="both"/>
              <w:rPr>
                <w:rFonts w:ascii="Calibri" w:hAnsi="Calibri" w:cs="Arial"/>
                <w:sz w:val="20"/>
                <w:szCs w:val="20"/>
                <w:lang w:val="en-GB" w:eastAsia="en-US"/>
              </w:rPr>
            </w:pPr>
            <w:r>
              <w:rPr>
                <w:rFonts w:hint="eastAsia" w:ascii="Times New Roman" w:hAnsi="Times New Roman" w:eastAsia="宋体" w:cs="Times New Roman"/>
                <w:sz w:val="20"/>
                <w:szCs w:val="20"/>
                <w:lang w:val="en-GB"/>
              </w:rPr>
              <w:t>The</w:t>
            </w:r>
            <w:r>
              <w:rPr>
                <w:rFonts w:ascii="Times New Roman" w:hAnsi="Times New Roman" w:eastAsia="宋体" w:cs="Times New Roman"/>
                <w:sz w:val="20"/>
                <w:szCs w:val="20"/>
                <w:lang w:val="en-GB"/>
              </w:rPr>
              <w:t xml:space="preserve"> SCS around 15GHz can directly use the SCS of around 7GHz, e.g., 30kHz.</w:t>
            </w:r>
          </w:p>
        </w:tc>
      </w:tr>
      <w:tr w14:paraId="3FF7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97B60D2">
            <w:pPr>
              <w:widowControl w:val="0"/>
              <w:suppressAutoHyphens/>
              <w:spacing w:line="256" w:lineRule="auto"/>
              <w:jc w:val="center"/>
              <w:rPr>
                <w:rFonts w:ascii="Times New Roman" w:hAnsi="Times New Roman" w:eastAsia="宋体" w:cs="Times New Roman"/>
                <w:sz w:val="20"/>
                <w:szCs w:val="20"/>
                <w:lang w:val="en-GB"/>
              </w:rPr>
            </w:pPr>
            <w:r>
              <w:rPr>
                <w:rFonts w:hint="eastAsia" w:ascii="Times New Roman" w:hAnsi="Times New Roman" w:eastAsia="宋体" w:cs="Times New Roman"/>
                <w:sz w:val="20"/>
                <w:szCs w:val="20"/>
                <w:lang w:val="en-GB"/>
              </w:rPr>
              <w:t>Z</w:t>
            </w:r>
            <w:r>
              <w:rPr>
                <w:rFonts w:ascii="Times New Roman" w:hAnsi="Times New Roman" w:eastAsia="宋体" w:cs="Times New Roman"/>
                <w:sz w:val="20"/>
                <w:szCs w:val="20"/>
                <w:lang w:val="en-GB"/>
              </w:rPr>
              <w:t>TE</w:t>
            </w:r>
          </w:p>
        </w:tc>
        <w:tc>
          <w:tcPr>
            <w:tcW w:w="3825" w:type="pct"/>
            <w:tcBorders>
              <w:top w:val="single" w:color="auto" w:sz="4" w:space="0"/>
              <w:left w:val="single" w:color="auto" w:sz="4" w:space="0"/>
              <w:bottom w:val="single" w:color="auto" w:sz="4" w:space="0"/>
              <w:right w:val="single" w:color="auto" w:sz="4" w:space="0"/>
            </w:tcBorders>
          </w:tcPr>
          <w:p w14:paraId="4EA35605">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2D3E094B">
            <w:pPr>
              <w:widowControl w:val="0"/>
              <w:suppressAutoHyphens/>
              <w:spacing w:line="256" w:lineRule="auto"/>
              <w:jc w:val="both"/>
              <w:rPr>
                <w:rFonts w:ascii="Times New Roman" w:hAnsi="Times New Roman" w:eastAsia="宋体" w:cs="Times New Roman"/>
                <w:sz w:val="20"/>
                <w:szCs w:val="20"/>
                <w:lang w:val="en-GB"/>
              </w:rPr>
            </w:pPr>
          </w:p>
        </w:tc>
      </w:tr>
      <w:tr w14:paraId="2017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7A1CC34">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2613EFA6">
            <w:pPr>
              <w:spacing w:after="160" w:line="259" w:lineRule="auto"/>
              <w:rPr>
                <w:rFonts w:ascii="Times New Roman" w:hAnsi="Times New Roman" w:eastAsia="等线" w:cs="Times New Roman"/>
                <w:color w:val="000000" w:themeColor="text1"/>
                <w14:textFill>
                  <w14:solidFill>
                    <w14:schemeClr w14:val="tx1"/>
                  </w14:solidFill>
                </w14:textFill>
              </w:rPr>
            </w:pPr>
            <w:r>
              <w:rPr>
                <w:rFonts w:ascii="Times New Roman" w:hAnsi="Times New Roman" w:eastAsia="Calibri" w:cs="Times New Roman"/>
                <w:color w:val="000000" w:themeColor="text1"/>
                <w14:textFill>
                  <w14:solidFill>
                    <w14:schemeClr w14:val="tx1"/>
                  </w14:solidFill>
                </w14:textFill>
              </w:rPr>
              <w:t xml:space="preserve">Considering </w:t>
            </w:r>
            <w:r>
              <w:rPr>
                <w:rFonts w:hint="eastAsia" w:ascii="Times New Roman" w:hAnsi="Times New Roman" w:cs="Times New Roman" w:eastAsiaTheme="minorEastAsia"/>
                <w:color w:val="000000" w:themeColor="text1"/>
                <w14:textFill>
                  <w14:solidFill>
                    <w14:schemeClr w14:val="tx1"/>
                  </w14:solidFill>
                </w14:textFill>
              </w:rPr>
              <w:t>15GHz is</w:t>
            </w:r>
            <w:r>
              <w:rPr>
                <w:rFonts w:ascii="Times New Roman" w:hAnsi="Times New Roman" w:eastAsia="Calibri" w:cs="Times New Roman"/>
                <w:color w:val="000000" w:themeColor="text1"/>
                <w14:textFill>
                  <w14:solidFill>
                    <w14:schemeClr w14:val="tx1"/>
                  </w14:solidFill>
                </w14:textFill>
              </w:rPr>
              <w:t xml:space="preserve"> between 7GHz (30kHz SCS) and FR2 (120kHz SCS), a good choice of SCS for this band is 60kHz. </w:t>
            </w:r>
          </w:p>
          <w:p w14:paraId="65238E4D">
            <w:pPr>
              <w:widowControl w:val="0"/>
              <w:suppressAutoHyphens/>
              <w:spacing w:line="256" w:lineRule="auto"/>
              <w:jc w:val="both"/>
              <w:rPr>
                <w:rFonts w:ascii="Calibri" w:hAnsi="Calibri" w:eastAsia="宋体" w:cs="Arial"/>
                <w:sz w:val="20"/>
                <w:szCs w:val="20"/>
                <w:lang w:val="en-GB"/>
              </w:rPr>
            </w:pPr>
          </w:p>
        </w:tc>
      </w:tr>
      <w:tr w14:paraId="64BF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730A09D">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0F8E64DB">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are OK to further study the SCS for around 15GHz, as long as only a single SCS is supported for a given frequency range.</w:t>
            </w:r>
          </w:p>
        </w:tc>
      </w:tr>
      <w:tr w14:paraId="66D2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63C1A79">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3AD05ED0">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sz w:val="20"/>
                <w:szCs w:val="20"/>
                <w:lang w:val="en-GB"/>
              </w:rPr>
              <w:t>The SCS around 15GHz we support using either 30KHz or 120KHz . 60Khz can be deprioritized.</w:t>
            </w:r>
          </w:p>
        </w:tc>
      </w:tr>
      <w:tr w14:paraId="74BD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1CE5A3B">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4686A2B">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We prefer to add one sub-bullet “Modulation and MIMO layers (E.g. 256/1024QAM with 6/8 MIMO layers)” in the last paragraph.</w:t>
            </w:r>
          </w:p>
        </w:tc>
      </w:tr>
      <w:tr w14:paraId="4587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EED623E">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73DECDB8">
            <w:pPr>
              <w:widowControl w:val="0"/>
              <w:suppressAutoHyphens/>
              <w:spacing w:line="254" w:lineRule="auto"/>
              <w:jc w:val="both"/>
              <w:rPr>
                <w:rFonts w:ascii="Calibri" w:hAnsi="Calibri" w:eastAsia="PMingLiU" w:cs="Arial"/>
                <w:sz w:val="20"/>
                <w:szCs w:val="20"/>
                <w:lang w:val="en-GB" w:eastAsia="zh-TW"/>
              </w:rPr>
            </w:pPr>
            <w:r>
              <w:rPr>
                <w:rFonts w:ascii="Times New Roman" w:hAnsi="Times New Roman" w:cs="Times New Roman"/>
                <w:sz w:val="20"/>
                <w:szCs w:val="20"/>
                <w:lang w:val="en-GB" w:eastAsia="en-US"/>
              </w:rPr>
              <w:t>OK for the proposal to study, but we ned to strive for the adoption of a single SCS per band to minimize unnecessary 5G style design complexity.</w:t>
            </w:r>
          </w:p>
        </w:tc>
      </w:tr>
    </w:tbl>
    <w:p w14:paraId="6C8D6DCA">
      <w:pPr>
        <w:jc w:val="both"/>
        <w:rPr>
          <w:rFonts w:eastAsia="等线"/>
          <w:b/>
          <w:bCs/>
          <w:highlight w:val="yellow"/>
        </w:rPr>
      </w:pPr>
    </w:p>
    <w:p w14:paraId="08B9DBF7">
      <w:pPr>
        <w:pStyle w:val="4"/>
        <w:spacing w:after="120"/>
        <w:rPr>
          <w:rFonts w:eastAsia="等线"/>
        </w:rPr>
      </w:pPr>
      <w:r>
        <w:rPr>
          <w:rFonts w:eastAsia="等线"/>
        </w:rPr>
        <w:t>Proposal 4-2 [open]</w:t>
      </w:r>
    </w:p>
    <w:p w14:paraId="5D3856B0">
      <w:pPr>
        <w:jc w:val="both"/>
        <w:rPr>
          <w:rFonts w:eastAsia="等线"/>
          <w:b/>
          <w:bCs/>
        </w:rPr>
      </w:pPr>
      <w:r>
        <w:rPr>
          <w:rFonts w:eastAsia="等线"/>
          <w:b/>
          <w:bCs/>
        </w:rPr>
        <w:t>Proposed agreement</w:t>
      </w:r>
      <w:r>
        <w:rPr>
          <w:rFonts w:hint="eastAsia" w:eastAsia="等线"/>
          <w:b/>
          <w:bCs/>
        </w:rPr>
        <w:t xml:space="preserve">: </w:t>
      </w:r>
    </w:p>
    <w:p w14:paraId="55629479">
      <w:pPr>
        <w:jc w:val="both"/>
        <w:rPr>
          <w:rFonts w:eastAsia="等线"/>
        </w:rPr>
      </w:pPr>
      <w:r>
        <w:rPr>
          <w:rFonts w:eastAsia="等线"/>
        </w:rPr>
        <w:t xml:space="preserve">6GR shall be capable of configuring the same TDD patterns as in 5G NR. </w:t>
      </w:r>
    </w:p>
    <w:p w14:paraId="41E6CD6F">
      <w:pPr>
        <w:jc w:val="both"/>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2EB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E63EF3E">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ADE0825">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14:paraId="297A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7ABB158C">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7636A593">
            <w:pPr>
              <w:widowControl w:val="0"/>
              <w:suppressAutoHyphens/>
              <w:spacing w:line="256" w:lineRule="auto"/>
              <w:rPr>
                <w:rFonts w:ascii="Times New Roman" w:hAnsi="Times New Roman" w:eastAsia="MS Mincho" w:cs="Times New Roman"/>
                <w:b/>
                <w:bCs/>
                <w:szCs w:val="22"/>
                <w:lang w:val="en-GB" w:eastAsia="ja-JP"/>
              </w:rPr>
            </w:pPr>
            <w:r>
              <w:rPr>
                <w:rFonts w:ascii="Times New Roman" w:hAnsi="Times New Roman" w:eastAsia="宋体" w:cs="Times New Roman"/>
                <w:b/>
                <w:bCs/>
                <w:szCs w:val="22"/>
                <w:lang w:val="en-GB"/>
              </w:rPr>
              <w:t>CEWiT</w:t>
            </w:r>
            <w:r>
              <w:rPr>
                <w:rFonts w:hint="eastAsia" w:ascii="Times New Roman" w:hAnsi="Times New Roman" w:eastAsia="MS Mincho" w:cs="Times New Roman"/>
                <w:b/>
                <w:bCs/>
                <w:szCs w:val="22"/>
                <w:lang w:val="en-GB" w:eastAsia="ja-JP"/>
              </w:rPr>
              <w:t>, DOCOMO</w:t>
            </w:r>
            <w:r>
              <w:rPr>
                <w:rFonts w:ascii="Times New Roman" w:hAnsi="Times New Roman" w:eastAsia="MS Mincho" w:cs="Times New Roman"/>
                <w:b/>
                <w:bCs/>
                <w:szCs w:val="22"/>
                <w:lang w:val="en-GB" w:eastAsia="ja-JP"/>
              </w:rPr>
              <w:t>, LGE</w:t>
            </w:r>
            <w:r>
              <w:rPr>
                <w:rFonts w:hint="eastAsia" w:ascii="Times New Roman" w:hAnsi="Times New Roman" w:eastAsia="宋体" w:cs="Times New Roman"/>
                <w:b/>
                <w:bCs/>
                <w:szCs w:val="22"/>
                <w:lang w:val="en-GB"/>
              </w:rPr>
              <w:t>, Lenovo</w:t>
            </w:r>
            <w:r>
              <w:rPr>
                <w:rFonts w:hint="eastAsia" w:ascii="Times New Roman" w:hAnsi="Times New Roman" w:eastAsia="MS Mincho" w:cs="Times New Roman"/>
                <w:b/>
                <w:bCs/>
                <w:szCs w:val="22"/>
                <w:lang w:val="en-GB" w:eastAsia="ja-JP"/>
              </w:rPr>
              <w:t>, Sharp</w:t>
            </w:r>
            <w:r>
              <w:rPr>
                <w:rFonts w:ascii="Times New Roman" w:hAnsi="Times New Roman" w:eastAsia="MS Mincho" w:cs="Times New Roman"/>
                <w:b/>
                <w:bCs/>
                <w:szCs w:val="22"/>
                <w:lang w:val="en-GB" w:eastAsia="ja-JP"/>
              </w:rPr>
              <w:t xml:space="preserve">, </w:t>
            </w:r>
            <w:r>
              <w:rPr>
                <w:rFonts w:ascii="Times New Roman" w:hAnsi="Times New Roman" w:eastAsia="宋体" w:cs="Times New Roman"/>
                <w:szCs w:val="22"/>
                <w:lang w:val="en-GB"/>
              </w:rPr>
              <w:t>Nokia (in principle), MTK (need clarification)</w:t>
            </w:r>
            <w:r>
              <w:rPr>
                <w:rFonts w:hint="eastAsia" w:ascii="Times New Roman" w:hAnsi="Times New Roman" w:eastAsia="宋体" w:cs="Times New Roman"/>
                <w:szCs w:val="22"/>
                <w:lang w:val="en-GB"/>
              </w:rPr>
              <w:t>, China Telecom</w:t>
            </w:r>
            <w:r>
              <w:rPr>
                <w:rFonts w:ascii="Times New Roman" w:hAnsi="Times New Roman" w:eastAsia="宋体" w:cs="Times New Roman"/>
                <w:szCs w:val="22"/>
                <w:lang w:val="en-GB"/>
              </w:rPr>
              <w:t>, Google</w:t>
            </w:r>
          </w:p>
        </w:tc>
      </w:tr>
      <w:tr w14:paraId="645E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6CD12D5D">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2FC64551">
            <w:pPr>
              <w:widowControl w:val="0"/>
              <w:suppressAutoHyphens/>
              <w:spacing w:line="256" w:lineRule="auto"/>
              <w:jc w:val="both"/>
              <w:rPr>
                <w:rFonts w:ascii="Times New Roman" w:hAnsi="Times New Roman" w:eastAsia="宋体" w:cs="Times New Roman"/>
                <w:szCs w:val="22"/>
                <w:lang w:val="en-GB"/>
              </w:rPr>
            </w:pPr>
          </w:p>
        </w:tc>
      </w:tr>
    </w:tbl>
    <w:p w14:paraId="06B51F9F">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02C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D8ACA63">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0831794">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7983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7AC27732">
            <w:pPr>
              <w:widowControl w:val="0"/>
              <w:suppressAutoHyphens/>
              <w:spacing w:line="256" w:lineRule="auto"/>
              <w:jc w:val="center"/>
              <w:rPr>
                <w:rFonts w:ascii="Times New Roman" w:hAnsi="Times New Roman" w:eastAsia="宋体" w:cs="Times New Roman"/>
                <w:szCs w:val="22"/>
                <w:lang w:val="en-GB"/>
              </w:rPr>
            </w:pPr>
            <w:r>
              <w:rPr>
                <w:rFonts w:hint="eastAsia" w:ascii="Times New Roman" w:hAnsi="Times New Roman" w:eastAsia="宋体" w:cs="Times New Roman"/>
                <w:szCs w:val="22"/>
                <w:lang w:val="en-GB"/>
              </w:rPr>
              <w:t>M</w:t>
            </w:r>
            <w:r>
              <w:rPr>
                <w:rFonts w:ascii="Times New Roman" w:hAnsi="Times New Roman" w:eastAsia="宋体" w:cs="Times New Roman"/>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1163AFB4">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w:t>
            </w:r>
            <w:r>
              <w:rPr>
                <w:rFonts w:ascii="Times New Roman" w:hAnsi="Times New Roman" w:eastAsia="宋体" w:cs="Times New Roman"/>
                <w:szCs w:val="22"/>
                <w:lang w:val="en-GB"/>
              </w:rPr>
              <w:t xml:space="preserve">he above proposal is a continuation of previous discussions on whether to support TDD pattern concatenation/combination. </w:t>
            </w:r>
          </w:p>
          <w:p w14:paraId="38584DA7">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I</w:t>
            </w:r>
            <w:r>
              <w:rPr>
                <w:rFonts w:ascii="Times New Roman" w:hAnsi="Times New Roman" w:eastAsia="宋体" w:cs="Times New Roman"/>
                <w:szCs w:val="22"/>
                <w:lang w:val="en-GB"/>
              </w:rPr>
              <w:t xml:space="preserve">t is related to interim checkpoint in June 2026 on frame structure, considering 5G-6G MRSS. According to companies’ views summarized in section </w:t>
            </w:r>
            <w:r>
              <w:rPr>
                <w:rFonts w:ascii="Calibri" w:hAnsi="Calibri" w:eastAsia="宋体" w:cs="Arial"/>
                <w:szCs w:val="22"/>
                <w:lang w:val="en-GB"/>
              </w:rPr>
              <w:fldChar w:fldCharType="begin"/>
            </w:r>
            <w:r>
              <w:rPr>
                <w:rFonts w:ascii="Times New Roman" w:hAnsi="Times New Roman" w:eastAsia="宋体" w:cs="Times New Roman"/>
                <w:szCs w:val="22"/>
                <w:lang w:val="en-GB"/>
              </w:rPr>
              <w:instrText xml:space="preserve"> REF _Ref221354049 \r \h </w:instrText>
            </w:r>
            <w:r>
              <w:rPr>
                <w:rFonts w:ascii="Calibri" w:hAnsi="Calibri" w:eastAsia="宋体" w:cs="Arial"/>
                <w:szCs w:val="22"/>
                <w:lang w:val="en-GB"/>
              </w:rPr>
              <w:fldChar w:fldCharType="separate"/>
            </w:r>
            <w:r>
              <w:rPr>
                <w:rFonts w:ascii="Times New Roman" w:hAnsi="Times New Roman" w:eastAsia="宋体" w:cs="Times New Roman"/>
                <w:szCs w:val="22"/>
                <w:lang w:val="en-GB"/>
              </w:rPr>
              <w:t>4.2</w:t>
            </w:r>
            <w:r>
              <w:rPr>
                <w:rFonts w:ascii="Calibri" w:hAnsi="Calibri" w:eastAsia="宋体" w:cs="Arial"/>
                <w:szCs w:val="22"/>
                <w:lang w:val="en-GB"/>
              </w:rPr>
              <w:fldChar w:fldCharType="end"/>
            </w:r>
            <w:r>
              <w:rPr>
                <w:rFonts w:ascii="Times New Roman" w:hAnsi="Times New Roman" w:eastAsia="宋体" w:cs="Times New Roman"/>
                <w:szCs w:val="22"/>
                <w:lang w:val="en-GB"/>
              </w:rPr>
              <w:t>, majority companies support TDD pattern concatenation/combination in 6GR, while there are also companies prefer to leave the details open or have alternative design.</w:t>
            </w:r>
          </w:p>
          <w:p w14:paraId="2EA7E187">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At</w:t>
            </w:r>
            <w:r>
              <w:rPr>
                <w:rFonts w:ascii="Times New Roman" w:hAnsi="Times New Roman" w:eastAsia="宋体" w:cs="Times New Roman"/>
                <w:szCs w:val="22"/>
                <w:lang w:val="en-GB"/>
              </w:rPr>
              <w:t xml:space="preserve"> this point, it may be sufficient to have high-level consensus and to leave detailed signalling design to a later phase.</w:t>
            </w:r>
          </w:p>
        </w:tc>
      </w:tr>
      <w:tr w14:paraId="265A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C9F903F">
            <w:pPr>
              <w:widowControl w:val="0"/>
              <w:suppressAutoHyphens/>
              <w:spacing w:line="256" w:lineRule="auto"/>
              <w:jc w:val="center"/>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58494E8B">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Support</w:t>
            </w:r>
            <w:r>
              <w:rPr>
                <w:rFonts w:ascii="Times New Roman" w:hAnsi="Times New Roman" w:eastAsia="宋体" w:cs="Times New Roman"/>
                <w:kern w:val="2"/>
                <w:szCs w:val="22"/>
                <w:lang w:val="en-GB"/>
              </w:rPr>
              <w:t xml:space="preserve"> in general. However, the wording may cause some confusion. It’s better to describe as:</w:t>
            </w:r>
          </w:p>
          <w:p w14:paraId="206D90D6">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rPr>
              <w:t xml:space="preserve">6GR shall be capable of configuring the same TDD patterns </w:t>
            </w:r>
            <w:r>
              <w:rPr>
                <w:rFonts w:ascii="Times New Roman" w:hAnsi="Times New Roman" w:eastAsia="宋体" w:cs="Times New Roman"/>
                <w:color w:val="FF0000"/>
                <w:kern w:val="2"/>
                <w:szCs w:val="22"/>
                <w:lang w:val="en-GB"/>
              </w:rPr>
              <w:t xml:space="preserve">concatenation/combination </w:t>
            </w:r>
            <w:r>
              <w:rPr>
                <w:rFonts w:ascii="Times New Roman" w:hAnsi="Times New Roman" w:eastAsia="宋体" w:cs="Times New Roman"/>
                <w:kern w:val="2"/>
                <w:szCs w:val="22"/>
                <w:lang w:val="en-GB"/>
              </w:rPr>
              <w:t xml:space="preserve">as in 5G NR. </w:t>
            </w:r>
          </w:p>
        </w:tc>
      </w:tr>
      <w:tr w14:paraId="6C61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D95C158">
            <w:pPr>
              <w:widowControl w:val="0"/>
              <w:suppressAutoHyphens/>
              <w:spacing w:line="256" w:lineRule="auto"/>
              <w:jc w:val="center"/>
              <w:rPr>
                <w:rFonts w:ascii="Times New Roman" w:hAnsi="Times New Roman" w:eastAsia="宋体" w:cs="Times New Roman"/>
                <w:sz w:val="20"/>
                <w:szCs w:val="20"/>
                <w:lang w:val="en-GB"/>
              </w:rPr>
            </w:pPr>
            <w:r>
              <w:rPr>
                <w:rFonts w:hint="eastAsia" w:ascii="Times New Roman" w:hAnsi="Times New Roman" w:eastAsia="MS Mincho" w:cs="Times New Roman"/>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25273678">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MS Mincho" w:cs="Times New Roman"/>
                <w:kern w:val="2"/>
                <w:szCs w:val="22"/>
                <w:lang w:val="en-GB" w:eastAsia="ja-JP"/>
              </w:rPr>
              <w:t>Understand the intention of FL, and OK for now.</w:t>
            </w:r>
          </w:p>
        </w:tc>
      </w:tr>
      <w:tr w14:paraId="39EC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00E423E6">
            <w:pPr>
              <w:widowControl w:val="0"/>
              <w:suppressAutoHyphens/>
              <w:spacing w:line="256" w:lineRule="auto"/>
              <w:jc w:val="center"/>
              <w:rPr>
                <w:rFonts w:ascii="Calibri" w:hAnsi="Calibri" w:eastAsia="MS Mincho" w:cs="Arial"/>
                <w:kern w:val="2"/>
                <w:szCs w:val="22"/>
                <w:lang w:val="en-GB" w:eastAsia="ja-JP"/>
              </w:rPr>
            </w:pPr>
            <w:r>
              <w:rPr>
                <w:rFonts w:hint="eastAsia" w:ascii="Times New Roman" w:hAnsi="Times New Roman" w:eastAsia="Malgun Gothic" w:cs="Times New Roman"/>
                <w:sz w:val="20"/>
                <w:szCs w:val="20"/>
                <w:lang w:val="en-GB" w:eastAsia="ko-KR"/>
              </w:rPr>
              <w:t>L</w:t>
            </w:r>
            <w:r>
              <w:rPr>
                <w:rFonts w:ascii="Times New Roman" w:hAnsi="Times New Roman" w:eastAsia="Malgun Gothic" w:cs="Times New Roman"/>
                <w:sz w:val="20"/>
                <w:szCs w:val="20"/>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4B41E49D">
            <w:pPr>
              <w:widowControl w:val="0"/>
              <w:suppressAutoHyphens/>
              <w:spacing w:line="256" w:lineRule="auto"/>
              <w:jc w:val="both"/>
              <w:rPr>
                <w:rFonts w:ascii="Calibri" w:hAnsi="Calibri" w:eastAsia="MS Mincho" w:cs="Arial"/>
                <w:kern w:val="2"/>
                <w:szCs w:val="22"/>
                <w:lang w:val="en-GB" w:eastAsia="ja-JP"/>
              </w:rPr>
            </w:pPr>
            <w:r>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14:paraId="463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04A9E80C">
            <w:pPr>
              <w:widowControl w:val="0"/>
              <w:suppressAutoHyphens/>
              <w:spacing w:line="256" w:lineRule="auto"/>
              <w:jc w:val="center"/>
              <w:rPr>
                <w:rFonts w:ascii="Calibri" w:hAnsi="Calibri" w:eastAsia="Malgun Gothic" w:cs="Arial"/>
                <w:sz w:val="20"/>
                <w:szCs w:val="20"/>
                <w:lang w:val="en-GB" w:eastAsia="ko-KR"/>
              </w:rPr>
            </w:pPr>
            <w:r>
              <w:rPr>
                <w:rFonts w:ascii="Calibri" w:hAnsi="Calibri" w:eastAsia="Malgun Gothic" w:cs="Arial"/>
                <w:sz w:val="20"/>
                <w:szCs w:val="20"/>
                <w:lang w:val="en-GB" w:eastAsia="ko-KR"/>
              </w:rPr>
              <w:t>Nokia</w:t>
            </w:r>
          </w:p>
        </w:tc>
        <w:tc>
          <w:tcPr>
            <w:tcW w:w="3825" w:type="pct"/>
            <w:tcBorders>
              <w:top w:val="single" w:color="auto" w:sz="4" w:space="0"/>
              <w:left w:val="single" w:color="auto" w:sz="4" w:space="0"/>
              <w:bottom w:val="single" w:color="auto" w:sz="4" w:space="0"/>
              <w:right w:val="single" w:color="auto" w:sz="4" w:space="0"/>
            </w:tcBorders>
          </w:tcPr>
          <w:p w14:paraId="0537BC26">
            <w:pPr>
              <w:widowControl w:val="0"/>
              <w:suppressAutoHyphens/>
              <w:spacing w:line="256" w:lineRule="auto"/>
              <w:jc w:val="both"/>
              <w:rPr>
                <w:rFonts w:ascii="Calibri" w:hAnsi="Calibri" w:cs="Arial"/>
                <w:sz w:val="20"/>
                <w:szCs w:val="20"/>
                <w:lang w:val="en-GB" w:eastAsia="en-US"/>
              </w:rPr>
            </w:pPr>
            <w:r>
              <w:rPr>
                <w:rFonts w:ascii="Times New Roman" w:hAnsi="Times New Roman" w:cs="Times New Roman"/>
                <w:sz w:val="20"/>
                <w:szCs w:val="20"/>
                <w:lang w:val="en-GB" w:eastAsia="en-US"/>
              </w:rPr>
              <w:t>Support in general. One question with respect to “</w:t>
            </w:r>
            <w:r>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r w14:paraId="0AAE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BC00B04">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1739881">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Generally support but with same question as LGE.</w:t>
            </w:r>
          </w:p>
        </w:tc>
      </w:tr>
      <w:tr w14:paraId="5249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00F7216">
            <w:pPr>
              <w:widowControl w:val="0"/>
              <w:suppressAutoHyphens/>
              <w:spacing w:line="254" w:lineRule="auto"/>
              <w:jc w:val="center"/>
              <w:rPr>
                <w:rFonts w:ascii="Calibri" w:hAnsi="Calibri" w:eastAsia="PMingLiU" w:cs="Arial"/>
                <w:sz w:val="20"/>
                <w:szCs w:val="20"/>
                <w:lang w:val="en-GB" w:eastAsia="zh-TW"/>
              </w:rPr>
            </w:pPr>
            <w:r>
              <w:rPr>
                <w:rFonts w:ascii="Times New Roman" w:hAnsi="Times New Roman" w:eastAsia="宋体" w:cs="Times New Roman"/>
                <w:kern w:val="2"/>
                <w:szCs w:val="22"/>
                <w:lang w:val="en-GB"/>
              </w:rPr>
              <w:t>Google</w:t>
            </w:r>
          </w:p>
        </w:tc>
        <w:tc>
          <w:tcPr>
            <w:tcW w:w="3825" w:type="pct"/>
          </w:tcPr>
          <w:p w14:paraId="6B98718F">
            <w:pPr>
              <w:widowControl w:val="0"/>
              <w:suppressAutoHyphens/>
              <w:spacing w:line="254" w:lineRule="auto"/>
              <w:jc w:val="both"/>
              <w:rPr>
                <w:rFonts w:ascii="Calibri" w:hAnsi="Calibri" w:eastAsia="PMingLiU" w:cs="Arial"/>
                <w:sz w:val="20"/>
                <w:szCs w:val="20"/>
                <w:lang w:val="en-GB" w:eastAsia="zh-TW"/>
              </w:rPr>
            </w:pPr>
            <w:r>
              <w:rPr>
                <w:rFonts w:ascii="Times New Roman" w:hAnsi="Times New Roman" w:eastAsia="宋体" w:cs="Times New Roman"/>
                <w:kern w:val="2"/>
                <w:szCs w:val="22"/>
                <w:lang w:val="en-GB"/>
              </w:rPr>
              <w:t>Support in general, but we agree with previous comments that some clarification is needed about the correct understanding of the proposal. Some bullet points are needed to give additional clarification.</w:t>
            </w:r>
          </w:p>
        </w:tc>
      </w:tr>
    </w:tbl>
    <w:p w14:paraId="70264B8C">
      <w:pPr>
        <w:jc w:val="both"/>
        <w:rPr>
          <w:rFonts w:eastAsia="等线"/>
          <w:highlight w:val="yellow"/>
        </w:rPr>
      </w:pPr>
    </w:p>
    <w:p w14:paraId="082D302D">
      <w:pPr>
        <w:pStyle w:val="4"/>
        <w:spacing w:after="120"/>
        <w:rPr>
          <w:rFonts w:eastAsia="等线"/>
        </w:rPr>
      </w:pPr>
      <w:r>
        <w:rPr>
          <w:rFonts w:eastAsia="等线"/>
        </w:rPr>
        <w:t>Proposal 4-3 [open]</w:t>
      </w:r>
    </w:p>
    <w:p w14:paraId="489DDAA1">
      <w:pPr>
        <w:jc w:val="both"/>
        <w:rPr>
          <w:rFonts w:eastAsia="等线"/>
          <w:b/>
          <w:bCs/>
        </w:rPr>
      </w:pPr>
      <w:r>
        <w:rPr>
          <w:rFonts w:eastAsia="等线"/>
          <w:b/>
          <w:bCs/>
        </w:rPr>
        <w:t>Proposed agreement</w:t>
      </w:r>
      <w:r>
        <w:rPr>
          <w:rFonts w:hint="eastAsia" w:eastAsia="等线"/>
          <w:b/>
          <w:bCs/>
        </w:rPr>
        <w:t xml:space="preserve">: </w:t>
      </w:r>
    </w:p>
    <w:p w14:paraId="6AD939BD">
      <w:pPr>
        <w:jc w:val="both"/>
        <w:rPr>
          <w:rFonts w:eastAsia="等线"/>
        </w:rPr>
      </w:pPr>
      <w:r>
        <w:rPr>
          <w:rFonts w:eastAsia="等线"/>
        </w:rPr>
        <w:t>For 6GR dynamic TDD, do not consider dynamic slot format indication via group-common DCI, considering the lessons learned from NR SFI design.</w:t>
      </w:r>
    </w:p>
    <w:p w14:paraId="2A88ED0A">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eastAsia="zh-CN"/>
        </w:rPr>
        <w:t>High implementation and specification complexity</w:t>
      </w:r>
    </w:p>
    <w:p w14:paraId="61FA6954">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szCs w:val="22"/>
        </w:rPr>
        <w:t>UE PDCCH monitoring efforts and power consumption</w:t>
      </w:r>
    </w:p>
    <w:p w14:paraId="5EA7AD68">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p>
    <w:p w14:paraId="61B44C37">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 xml:space="preserve">Duplicated functionality with dynamic scheduling </w:t>
      </w:r>
    </w:p>
    <w:p w14:paraId="5CDCC739">
      <w:pPr>
        <w:widowControl w:val="0"/>
        <w:numPr>
          <w:ilvl w:val="0"/>
          <w:numId w:val="7"/>
        </w:numPr>
        <w:shd w:val="clear" w:color="auto" w:fill="FFFFFF"/>
        <w:tabs>
          <w:tab w:val="left" w:pos="720"/>
        </w:tabs>
        <w:adjustRightInd/>
        <w:snapToGrid/>
        <w:spacing w:after="0"/>
        <w:jc w:val="both"/>
        <w:rPr>
          <w:rFonts w:eastAsia="宋体"/>
          <w:color w:val="000000"/>
          <w:szCs w:val="22"/>
          <w:lang w:val="en-GB" w:eastAsia="zh-CN"/>
        </w:rPr>
      </w:pPr>
      <w:r>
        <w:rPr>
          <w:rFonts w:eastAsia="宋体"/>
          <w:color w:val="000000"/>
          <w:szCs w:val="22"/>
          <w:lang w:val="en-GB"/>
        </w:rPr>
        <w:t xml:space="preserve">Less flexible than dynamic scheduling </w:t>
      </w:r>
    </w:p>
    <w:p w14:paraId="1CD3CF78">
      <w:pPr>
        <w:jc w:val="both"/>
        <w:rPr>
          <w:rFonts w:eastAsia="宋体"/>
          <w:szCs w:val="22"/>
          <w:lang w:eastAsia="zh-CN"/>
        </w:rPr>
      </w:pPr>
    </w:p>
    <w:p w14:paraId="04CAE871">
      <w:pPr>
        <w:jc w:val="both"/>
        <w:rPr>
          <w:rFonts w:eastAsia="宋体"/>
          <w:szCs w:val="22"/>
          <w:lang w:eastAsia="zh-CN"/>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3EE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743F337">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4D67FB8">
            <w:pPr>
              <w:widowControl w:val="0"/>
              <w:suppressAutoHyphens/>
              <w:spacing w:line="256" w:lineRule="auto"/>
              <w:jc w:val="center"/>
              <w:rPr>
                <w:rFonts w:ascii="Calibri" w:hAnsi="Calibri" w:eastAsia="宋体" w:cs="Arial"/>
                <w:b/>
                <w:bCs/>
                <w:szCs w:val="22"/>
                <w:lang w:val="en-GB"/>
              </w:rPr>
            </w:pPr>
            <w:r>
              <w:rPr>
                <w:rFonts w:ascii="Times New Roman" w:hAnsi="Times New Roman" w:eastAsia="宋体" w:cs="Times New Roman"/>
                <w:b/>
                <w:bCs/>
                <w:szCs w:val="22"/>
                <w:lang w:val="en-GB"/>
              </w:rPr>
              <w:t>Compan</w:t>
            </w:r>
            <w:r>
              <w:rPr>
                <w:rFonts w:hint="eastAsia" w:ascii="Times New Roman" w:hAnsi="Times New Roman" w:eastAsia="宋体" w:cs="Times New Roman"/>
                <w:b/>
                <w:bCs/>
                <w:szCs w:val="22"/>
                <w:lang w:val="en-GB"/>
              </w:rPr>
              <w:t>y</w:t>
            </w:r>
          </w:p>
        </w:tc>
      </w:tr>
      <w:tr w14:paraId="2B28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59995F7F">
            <w:pPr>
              <w:widowControl w:val="0"/>
              <w:suppressAutoHyphens/>
              <w:spacing w:line="256" w:lineRule="auto"/>
              <w:jc w:val="center"/>
              <w:rPr>
                <w:rFonts w:ascii="Times New Roman" w:hAnsi="Times New Roman" w:eastAsia="宋体" w:cs="Times New Roman"/>
                <w:b/>
                <w:szCs w:val="22"/>
                <w:lang w:eastAsia="en-US"/>
              </w:rPr>
            </w:pPr>
            <w:r>
              <w:rPr>
                <w:rFonts w:ascii="Times New Roman" w:hAnsi="Times New Roman" w:eastAsia="宋体" w:cs="Times New Roman"/>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6BF1827F">
            <w:pPr>
              <w:widowControl w:val="0"/>
              <w:suppressAutoHyphens/>
              <w:spacing w:line="256" w:lineRule="auto"/>
              <w:rPr>
                <w:rFonts w:ascii="Times New Roman" w:hAnsi="Times New Roman" w:eastAsia="MS Mincho" w:cs="Times New Roman"/>
                <w:b/>
                <w:bCs/>
                <w:szCs w:val="22"/>
                <w:lang w:val="en-GB" w:eastAsia="ja-JP"/>
              </w:rPr>
            </w:pPr>
            <w:r>
              <w:rPr>
                <w:rFonts w:ascii="Times New Roman" w:hAnsi="Times New Roman" w:eastAsia="宋体" w:cs="Times New Roman"/>
                <w:b/>
                <w:bCs/>
                <w:szCs w:val="22"/>
                <w:lang w:val="en-GB"/>
              </w:rPr>
              <w:t>Ericsson, CEWiT</w:t>
            </w:r>
            <w:r>
              <w:rPr>
                <w:rFonts w:hint="eastAsia" w:ascii="Times New Roman" w:hAnsi="Times New Roman" w:eastAsia="MS Mincho" w:cs="Times New Roman"/>
                <w:b/>
                <w:bCs/>
                <w:szCs w:val="22"/>
                <w:lang w:val="en-GB" w:eastAsia="ja-JP"/>
              </w:rPr>
              <w:t>, DOCOMO</w:t>
            </w:r>
            <w:r>
              <w:rPr>
                <w:rFonts w:ascii="Times New Roman" w:hAnsi="Times New Roman" w:eastAsia="MS Mincho" w:cs="Times New Roman"/>
                <w:b/>
                <w:bCs/>
                <w:szCs w:val="22"/>
                <w:lang w:val="en-GB" w:eastAsia="ja-JP"/>
              </w:rPr>
              <w:t>, LGE</w:t>
            </w:r>
            <w:r>
              <w:rPr>
                <w:rFonts w:hint="eastAsia" w:ascii="Times New Roman" w:hAnsi="Times New Roman" w:eastAsia="宋体" w:cs="Times New Roman"/>
                <w:b/>
                <w:bCs/>
                <w:szCs w:val="22"/>
                <w:lang w:val="en-GB"/>
              </w:rPr>
              <w:t>, Lenovo</w:t>
            </w:r>
            <w:r>
              <w:rPr>
                <w:rFonts w:ascii="Times New Roman" w:hAnsi="Times New Roman" w:eastAsia="宋体" w:cs="Times New Roman"/>
                <w:b/>
                <w:bCs/>
                <w:szCs w:val="22"/>
                <w:lang w:val="en-GB"/>
              </w:rPr>
              <w:t>, Nokia, MTK, Google</w:t>
            </w:r>
          </w:p>
        </w:tc>
      </w:tr>
      <w:tr w14:paraId="1FD3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3ECE6016">
            <w:pPr>
              <w:widowControl w:val="0"/>
              <w:suppressAutoHyphens/>
              <w:spacing w:line="256" w:lineRule="auto"/>
              <w:jc w:val="center"/>
              <w:rPr>
                <w:rFonts w:ascii="Times New Roman" w:hAnsi="Times New Roman" w:eastAsia="宋体" w:cs="Times New Roman"/>
                <w:b/>
                <w:szCs w:val="22"/>
                <w:lang w:eastAsia="en-US"/>
              </w:rPr>
            </w:pPr>
            <w:r>
              <w:rPr>
                <w:rFonts w:hint="eastAsia" w:ascii="Times New Roman" w:hAnsi="Times New Roman" w:eastAsia="宋体" w:cs="Times New Roman"/>
                <w:b/>
                <w:szCs w:val="22"/>
                <w:lang w:eastAsia="en-US"/>
              </w:rPr>
              <w:t>N</w:t>
            </w:r>
            <w:r>
              <w:rPr>
                <w:rFonts w:ascii="Times New Roman" w:hAnsi="Times New Roman" w:eastAsia="宋体" w:cs="Times New Roman"/>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0E48F460">
            <w:pPr>
              <w:widowControl w:val="0"/>
              <w:suppressAutoHyphens/>
              <w:spacing w:line="256" w:lineRule="auto"/>
              <w:jc w:val="both"/>
              <w:rPr>
                <w:rFonts w:ascii="Times New Roman" w:hAnsi="Times New Roman" w:eastAsia="宋体" w:cs="Times New Roman"/>
                <w:szCs w:val="22"/>
                <w:lang w:val="en-GB"/>
              </w:rPr>
            </w:pPr>
          </w:p>
        </w:tc>
      </w:tr>
    </w:tbl>
    <w:p w14:paraId="1B4D0197">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DF1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442C183">
            <w:pPr>
              <w:widowControl w:val="0"/>
              <w:suppressAutoHyphens/>
              <w:spacing w:line="256" w:lineRule="auto"/>
              <w:jc w:val="center"/>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006BF9E">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32FB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237D85CD">
            <w:pPr>
              <w:widowControl w:val="0"/>
              <w:suppressAutoHyphens/>
              <w:spacing w:line="256" w:lineRule="auto"/>
              <w:jc w:val="center"/>
              <w:rPr>
                <w:rFonts w:ascii="Times New Roman" w:hAnsi="Times New Roman" w:eastAsia="宋体" w:cs="Times New Roman"/>
                <w:szCs w:val="22"/>
                <w:lang w:val="en-GB"/>
              </w:rPr>
            </w:pPr>
            <w:r>
              <w:rPr>
                <w:rFonts w:hint="eastAsia" w:ascii="Times New Roman" w:hAnsi="Times New Roman" w:eastAsia="宋体" w:cs="Times New Roman"/>
                <w:szCs w:val="22"/>
                <w:lang w:val="en-GB"/>
              </w:rPr>
              <w:t>Mod</w:t>
            </w:r>
            <w:r>
              <w:rPr>
                <w:rFonts w:ascii="Times New Roman" w:hAnsi="Times New Roman" w:eastAsia="宋体" w:cs="Times New Roman"/>
                <w:szCs w:val="22"/>
                <w:lang w:val="en-GB"/>
              </w:rPr>
              <w:t>erator</w:t>
            </w:r>
          </w:p>
        </w:tc>
        <w:tc>
          <w:tcPr>
            <w:tcW w:w="3825" w:type="pct"/>
            <w:tcBorders>
              <w:top w:val="single" w:color="auto" w:sz="4" w:space="0"/>
              <w:left w:val="single" w:color="auto" w:sz="4" w:space="0"/>
              <w:bottom w:val="single" w:color="auto" w:sz="4" w:space="0"/>
              <w:right w:val="single" w:color="auto" w:sz="4" w:space="0"/>
            </w:tcBorders>
          </w:tcPr>
          <w:p w14:paraId="2182D394">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C</w:t>
            </w:r>
            <w:r>
              <w:rPr>
                <w:rFonts w:ascii="Times New Roman" w:hAnsi="Times New Roman" w:eastAsia="宋体"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14:paraId="47B4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7A5839A5">
            <w:pPr>
              <w:widowControl w:val="0"/>
              <w:suppressAutoHyphens/>
              <w:spacing w:line="256" w:lineRule="auto"/>
              <w:jc w:val="center"/>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25A86195">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14:paraId="698F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6EFA0374">
            <w:pPr>
              <w:widowControl w:val="0"/>
              <w:suppressAutoHyphens/>
              <w:spacing w:line="256" w:lineRule="auto"/>
              <w:jc w:val="center"/>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08636E68">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w:t>
            </w:r>
          </w:p>
        </w:tc>
      </w:tr>
      <w:tr w14:paraId="052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340E228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1D4F456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14:paraId="7B65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B90920">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7D9FED75">
            <w:pPr>
              <w:widowControl w:val="0"/>
              <w:suppressAutoHyphens/>
              <w:spacing w:line="256" w:lineRule="auto"/>
              <w:jc w:val="both"/>
              <w:rPr>
                <w:rFonts w:ascii="Calibri" w:hAnsi="Calibri" w:cs="Arial"/>
                <w:sz w:val="20"/>
                <w:szCs w:val="20"/>
                <w:lang w:val="en-GB" w:eastAsia="en-US"/>
              </w:rPr>
            </w:pPr>
            <w:r>
              <w:rPr>
                <w:rFonts w:hint="eastAsia" w:ascii="Times New Roman" w:hAnsi="Times New Roman" w:eastAsia="MS Mincho" w:cs="Times New Roman"/>
                <w:szCs w:val="22"/>
                <w:lang w:val="en-GB" w:eastAsia="ja-JP"/>
              </w:rPr>
              <w:t xml:space="preserve">Dynamic TDD is also discussed in 6.2.1, better to discuss </w:t>
            </w:r>
            <w:r>
              <w:rPr>
                <w:rFonts w:ascii="Times New Roman" w:hAnsi="Times New Roman" w:eastAsia="MS Mincho" w:cs="Times New Roman"/>
                <w:szCs w:val="22"/>
                <w:lang w:val="en-GB" w:eastAsia="ja-JP"/>
              </w:rPr>
              <w:t>together</w:t>
            </w:r>
            <w:r>
              <w:rPr>
                <w:rFonts w:hint="eastAsia" w:ascii="Times New Roman" w:hAnsi="Times New Roman" w:eastAsia="MS Mincho" w:cs="Times New Roman"/>
                <w:szCs w:val="22"/>
                <w:lang w:val="en-GB" w:eastAsia="ja-JP"/>
              </w:rPr>
              <w:t>?</w:t>
            </w:r>
          </w:p>
        </w:tc>
      </w:tr>
      <w:tr w14:paraId="3138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1518C0BF">
            <w:pPr>
              <w:widowControl w:val="0"/>
              <w:suppressAutoHyphens/>
              <w:spacing w:line="256" w:lineRule="auto"/>
              <w:jc w:val="center"/>
              <w:rPr>
                <w:rFonts w:ascii="Calibri" w:hAnsi="Calibri" w:eastAsia="MS Mincho" w:cs="Arial"/>
                <w:szCs w:val="22"/>
                <w:lang w:val="en-GB" w:eastAsia="ja-JP"/>
              </w:rPr>
            </w:pPr>
            <w:r>
              <w:rPr>
                <w:rFonts w:ascii="Aptos" w:hAnsi="Aptos" w:cs="Arial"/>
                <w:color w:val="000000"/>
                <w:sz w:val="20"/>
                <w:szCs w:val="20"/>
              </w:rPr>
              <w:t>LGE</w:t>
            </w:r>
          </w:p>
        </w:tc>
        <w:tc>
          <w:tcPr>
            <w:tcW w:w="3825" w:type="pct"/>
            <w:tcBorders>
              <w:top w:val="single" w:color="auto" w:sz="4" w:space="0"/>
              <w:left w:val="single" w:color="auto" w:sz="4" w:space="0"/>
              <w:bottom w:val="single" w:color="auto" w:sz="4" w:space="0"/>
              <w:right w:val="single" w:color="auto" w:sz="4" w:space="0"/>
            </w:tcBorders>
          </w:tcPr>
          <w:p w14:paraId="71A710B0">
            <w:pPr>
              <w:widowControl w:val="0"/>
              <w:suppressAutoHyphens/>
              <w:spacing w:line="256" w:lineRule="auto"/>
              <w:jc w:val="both"/>
              <w:rPr>
                <w:rFonts w:ascii="Calibri" w:hAnsi="Calibri" w:eastAsia="MS Mincho"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14:paraId="5DD3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2B0C10F0">
            <w:pPr>
              <w:widowControl w:val="0"/>
              <w:suppressAutoHyphens/>
              <w:spacing w:line="256" w:lineRule="auto"/>
              <w:jc w:val="center"/>
              <w:rPr>
                <w:rFonts w:ascii="Aptos" w:hAnsi="Aptos" w:cs="Arial"/>
                <w:color w:val="000000"/>
                <w:sz w:val="20"/>
                <w:szCs w:val="20"/>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08F29890">
            <w:pPr>
              <w:widowControl w:val="0"/>
              <w:suppressAutoHyphens/>
              <w:spacing w:line="256" w:lineRule="auto"/>
              <w:jc w:val="both"/>
              <w:rPr>
                <w:rFonts w:ascii="Aptos" w:hAnsi="Aptos" w:cs="Arial"/>
                <w:color w:val="000000"/>
                <w:sz w:val="20"/>
                <w:szCs w:val="20"/>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 xml:space="preserve">upport. </w:t>
            </w:r>
            <w:r>
              <w:rPr>
                <w:rFonts w:ascii="Calibri" w:hAnsi="Calibri" w:cs="Arial" w:eastAsiaTheme="minorEastAsia"/>
                <w:sz w:val="20"/>
                <w:szCs w:val="20"/>
                <w:lang w:val="en-GB"/>
              </w:rPr>
              <w:t>D</w:t>
            </w:r>
            <w:r>
              <w:rPr>
                <w:rFonts w:hint="eastAsia" w:ascii="Calibri" w:hAnsi="Calibri" w:cs="Arial" w:eastAsiaTheme="minorEastAsia"/>
                <w:sz w:val="20"/>
                <w:szCs w:val="20"/>
                <w:lang w:val="en-GB"/>
              </w:rPr>
              <w:t xml:space="preserve">ynamic TDD </w:t>
            </w:r>
            <w:r>
              <w:rPr>
                <w:rFonts w:ascii="Calibri" w:hAnsi="Calibri" w:cs="Arial" w:eastAsiaTheme="minorEastAsia"/>
                <w:sz w:val="20"/>
                <w:szCs w:val="20"/>
                <w:lang w:val="en-GB"/>
              </w:rPr>
              <w:t>should</w:t>
            </w:r>
            <w:r>
              <w:rPr>
                <w:rFonts w:hint="eastAsia" w:ascii="Calibri" w:hAnsi="Calibri" w:cs="Arial" w:eastAsiaTheme="minorEastAsia"/>
                <w:sz w:val="20"/>
                <w:szCs w:val="20"/>
                <w:lang w:val="en-GB"/>
              </w:rPr>
              <w:t xml:space="preserve"> be supported, but SFI like method is not a good option.</w:t>
            </w:r>
          </w:p>
        </w:tc>
      </w:tr>
      <w:tr w14:paraId="760E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E2CE163">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Nokia</w:t>
            </w:r>
          </w:p>
        </w:tc>
        <w:tc>
          <w:tcPr>
            <w:tcW w:w="3825" w:type="pct"/>
            <w:tcBorders>
              <w:top w:val="single" w:color="auto" w:sz="4" w:space="0"/>
              <w:left w:val="single" w:color="auto" w:sz="4" w:space="0"/>
              <w:bottom w:val="single" w:color="auto" w:sz="4" w:space="0"/>
              <w:right w:val="single" w:color="auto" w:sz="4" w:space="0"/>
            </w:tcBorders>
          </w:tcPr>
          <w:p w14:paraId="2ACF842F">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ype="textWrapping"/>
            </w:r>
            <w:r>
              <w:rPr>
                <w:rFonts w:ascii="Calibri" w:hAnsi="Calibri" w:cs="Arial"/>
                <w:sz w:val="20"/>
                <w:szCs w:val="20"/>
                <w:lang w:eastAsia="en-US"/>
              </w:rP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ype="textWrapping"/>
            </w:r>
            <w:r>
              <w:rPr>
                <w:rFonts w:ascii="Calibri" w:hAnsi="Calibri" w:cs="Arial"/>
                <w:sz w:val="20"/>
                <w:szCs w:val="20"/>
                <w:lang w:eastAsia="en-US"/>
              </w:rPr>
              <w:t>Further discussion is still needed regarding the configuration and indication required for dynamic TDD.</w:t>
            </w:r>
          </w:p>
        </w:tc>
      </w:tr>
      <w:tr w14:paraId="7385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ED33D0F">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宋体" w:cs="Times New Roman"/>
                <w:sz w:val="20"/>
                <w:szCs w:val="20"/>
                <w:lang w:val="en-GB"/>
              </w:rPr>
              <w:t>v</w:t>
            </w:r>
            <w:r>
              <w:rPr>
                <w:rFonts w:ascii="Times New Roman" w:hAnsi="Times New Roman" w:eastAsia="宋体" w:cs="Times New Roman"/>
                <w:sz w:val="20"/>
                <w:szCs w:val="20"/>
                <w:lang w:val="en-GB"/>
              </w:rPr>
              <w:t>ivo</w:t>
            </w:r>
          </w:p>
        </w:tc>
        <w:tc>
          <w:tcPr>
            <w:tcW w:w="3825" w:type="pct"/>
          </w:tcPr>
          <w:p w14:paraId="08DA58EC">
            <w:pPr>
              <w:widowControl w:val="0"/>
              <w:suppressAutoHyphens/>
              <w:spacing w:line="256" w:lineRule="auto"/>
              <w:jc w:val="both"/>
              <w:rPr>
                <w:rFonts w:ascii="Times New Roman" w:hAnsi="Times New Roman" w:cs="Times New Roman" w:eastAsiaTheme="minorEastAsia"/>
                <w:szCs w:val="22"/>
                <w:lang w:val="en-GB"/>
              </w:rPr>
            </w:pPr>
            <w:r>
              <w:rPr>
                <w:rFonts w:ascii="Times New Roman" w:hAnsi="Times New Roman" w:cs="Times New Roman" w:eastAsiaTheme="minorEastAsia"/>
                <w:szCs w:val="22"/>
                <w:lang w:val="en-GB"/>
              </w:rPr>
              <w:t xml:space="preserve">We support this proposal in general. </w:t>
            </w:r>
          </w:p>
          <w:p w14:paraId="3B91FB93">
            <w:pPr>
              <w:widowControl w:val="0"/>
              <w:suppressAutoHyphens/>
              <w:spacing w:line="256" w:lineRule="auto"/>
              <w:jc w:val="both"/>
              <w:rPr>
                <w:rFonts w:ascii="Times New Roman" w:hAnsi="Times New Roman" w:cs="Times New Roman" w:eastAsiaTheme="minorEastAsia"/>
                <w:szCs w:val="22"/>
              </w:rPr>
            </w:pPr>
            <w:r>
              <w:rPr>
                <w:rFonts w:ascii="Times New Roman" w:hAnsi="Times New Roman" w:cs="Times New Roman" w:eastAsiaTheme="minorEastAsia"/>
                <w:szCs w:val="22"/>
                <w:lang w:val="en-GB"/>
              </w:rPr>
              <w:t>As we move forward to define the 6G frame structure, a key principle should be dynamic adaptation to traffic</w:t>
            </w:r>
            <w:r>
              <w:rPr>
                <w:rFonts w:ascii="Times New Roman" w:hAnsi="Times New Roman" w:cs="Times New Roman" w:eastAsiaTheme="minorEastAsia"/>
                <w:szCs w:val="22"/>
              </w:rPr>
              <w:t xml:space="preserve">. </w:t>
            </w:r>
          </w:p>
          <w:p w14:paraId="6A6D05D3">
            <w:pPr>
              <w:widowControl w:val="0"/>
              <w:suppressAutoHyphens/>
              <w:spacing w:line="256" w:lineRule="auto"/>
              <w:jc w:val="both"/>
              <w:rPr>
                <w:rFonts w:ascii="Calibri" w:hAnsi="Calibri" w:cs="Arial" w:eastAsiaTheme="minorEastAsia"/>
                <w:szCs w:val="22"/>
                <w:lang w:val="en-GB"/>
              </w:rPr>
            </w:pPr>
            <w:r>
              <w:rPr>
                <w:rFonts w:ascii="Times New Roman" w:hAnsi="Times New Roman" w:cs="Times New Roman" w:eastAsiaTheme="minorEastAsia"/>
                <w:szCs w:val="22"/>
                <w:lang w:val="en-GB"/>
              </w:rPr>
              <w:t xml:space="preserve">Dynamic </w:t>
            </w:r>
            <w:r>
              <w:rPr>
                <w:rFonts w:ascii="Times New Roman" w:hAnsi="Times New Roman" w:cs="Times New Roman" w:eastAsiaTheme="minorEastAsia"/>
                <w:szCs w:val="22"/>
              </w:rPr>
              <w:t xml:space="preserve">adaptation to traffic, including dynamic DL or UL resource adaptation, </w:t>
            </w:r>
            <w:r>
              <w:rPr>
                <w:rFonts w:ascii="Times New Roman" w:hAnsi="Times New Roman" w:cs="Times New Roman" w:eastAsiaTheme="minorEastAsia"/>
                <w:szCs w:val="22"/>
                <w:lang w:val="en-GB"/>
              </w:rPr>
              <w:t>can be simply realized by dynamic scheduling</w:t>
            </w:r>
            <w:r>
              <w:rPr>
                <w:rFonts w:ascii="Times New Roman" w:hAnsi="Times New Roman" w:cs="Times New Roman" w:eastAsiaTheme="minorEastAsia"/>
                <w:szCs w:val="22"/>
              </w:rPr>
              <w:t>. Specifically, whether an F symbol is used as a TDD symbol or within an SBFD operation should be dynamically determined by the scheduling grant. T</w:t>
            </w:r>
            <w:r>
              <w:rPr>
                <w:rFonts w:ascii="Times New Roman" w:hAnsi="Times New Roman" w:cs="Times New Roman" w:eastAsiaTheme="minorEastAsia"/>
                <w:szCs w:val="22"/>
                <w:lang w:val="en-GB"/>
              </w:rPr>
              <w:t>herefore, it is not necessary to introduce duplicated method with additional effort as SFI.</w:t>
            </w:r>
          </w:p>
        </w:tc>
      </w:tr>
      <w:tr w14:paraId="6844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400A6CE">
            <w:pPr>
              <w:widowControl w:val="0"/>
              <w:suppressAutoHyphens/>
              <w:spacing w:line="256" w:lineRule="auto"/>
              <w:jc w:val="center"/>
              <w:rPr>
                <w:rFonts w:ascii="Calibri" w:hAnsi="Calibri" w:eastAsia="PMingLiU" w:cs="Arial"/>
                <w:sz w:val="20"/>
                <w:szCs w:val="20"/>
                <w:lang w:val="en-GB" w:eastAsia="zh-TW"/>
              </w:rPr>
            </w:pPr>
            <w:r>
              <w:rPr>
                <w:rFonts w:hint="eastAsia" w:ascii="Calibri" w:hAnsi="Calibri" w:eastAsia="PMingLiU" w:cs="Arial"/>
                <w:sz w:val="20"/>
                <w:szCs w:val="20"/>
                <w:lang w:val="en-GB" w:eastAsia="zh-TW"/>
              </w:rPr>
              <w:t>M</w:t>
            </w:r>
            <w:r>
              <w:rPr>
                <w:rFonts w:ascii="Calibri" w:hAnsi="Calibri" w:eastAsia="PMingLiU" w:cs="Arial"/>
                <w:sz w:val="20"/>
                <w:szCs w:val="20"/>
                <w:lang w:val="en-GB" w:eastAsia="zh-TW"/>
              </w:rPr>
              <w:t>TK</w:t>
            </w:r>
          </w:p>
        </w:tc>
        <w:tc>
          <w:tcPr>
            <w:tcW w:w="3825" w:type="pct"/>
          </w:tcPr>
          <w:p w14:paraId="280BD05B">
            <w:pPr>
              <w:widowControl w:val="0"/>
              <w:suppressAutoHyphens/>
              <w:spacing w:line="256" w:lineRule="auto"/>
              <w:jc w:val="both"/>
              <w:rPr>
                <w:rFonts w:ascii="Calibri" w:hAnsi="Calibri" w:eastAsia="PMingLiU" w:cs="Arial"/>
                <w:szCs w:val="22"/>
                <w:lang w:val="en-GB" w:eastAsia="zh-TW"/>
              </w:rPr>
            </w:pPr>
            <w:r>
              <w:rPr>
                <w:rFonts w:hint="eastAsia" w:ascii="Calibri" w:hAnsi="Calibri" w:eastAsia="PMingLiU" w:cs="Arial"/>
                <w:szCs w:val="22"/>
                <w:lang w:val="en-GB" w:eastAsia="zh-TW"/>
              </w:rPr>
              <w:t>S</w:t>
            </w:r>
            <w:r>
              <w:rPr>
                <w:rFonts w:ascii="Calibri" w:hAnsi="Calibri" w:eastAsia="PMingLiU" w:cs="Arial"/>
                <w:szCs w:val="22"/>
                <w:lang w:val="en-GB" w:eastAsia="zh-TW"/>
              </w:rPr>
              <w:t>upport</w:t>
            </w:r>
          </w:p>
        </w:tc>
      </w:tr>
      <w:tr w14:paraId="5C04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33678EA8">
            <w:pPr>
              <w:widowControl w:val="0"/>
              <w:suppressAutoHyphens/>
              <w:spacing w:line="256" w:lineRule="auto"/>
              <w:jc w:val="center"/>
              <w:rPr>
                <w:rFonts w:hint="eastAsia" w:ascii="Calibri" w:hAnsi="Calibri" w:eastAsia="PMingLiU" w:cs="Arial"/>
                <w:sz w:val="20"/>
                <w:szCs w:val="20"/>
                <w:lang w:val="en-GB" w:eastAsia="zh-TW"/>
              </w:rPr>
            </w:pPr>
            <w:r>
              <w:rPr>
                <w:rFonts w:ascii="Times New Roman" w:hAnsi="Times New Roman" w:eastAsia="宋体" w:cs="Times New Roman"/>
                <w:sz w:val="20"/>
                <w:szCs w:val="20"/>
                <w:lang w:val="en-GB"/>
              </w:rPr>
              <w:t>Google</w:t>
            </w:r>
          </w:p>
        </w:tc>
        <w:tc>
          <w:tcPr>
            <w:tcW w:w="3825" w:type="pct"/>
          </w:tcPr>
          <w:p w14:paraId="26D888CB">
            <w:pPr>
              <w:widowControl w:val="0"/>
              <w:suppressAutoHyphens/>
              <w:spacing w:line="256" w:lineRule="auto"/>
              <w:jc w:val="both"/>
              <w:rPr>
                <w:rFonts w:hint="eastAsia" w:ascii="Calibri" w:hAnsi="Calibri" w:eastAsia="PMingLiU" w:cs="Arial"/>
                <w:szCs w:val="22"/>
                <w:lang w:val="en-GB" w:eastAsia="zh-TW"/>
              </w:rPr>
            </w:pPr>
            <w:r>
              <w:rPr>
                <w:rFonts w:ascii="Times New Roman" w:hAnsi="Times New Roman" w:eastAsia="宋体" w:cs="Times New Roman"/>
                <w:kern w:val="2"/>
                <w:szCs w:val="22"/>
                <w:lang w:val="en-GB" w:eastAsia="en-US"/>
              </w:rPr>
              <w:t>Support. 6G should avoid dynamic SFI to reduce UE monitoring effort and power consumption.</w:t>
            </w:r>
          </w:p>
        </w:tc>
      </w:tr>
    </w:tbl>
    <w:p w14:paraId="390746CD">
      <w:pPr>
        <w:jc w:val="both"/>
        <w:rPr>
          <w:rFonts w:eastAsia="等线"/>
          <w:highlight w:val="yellow"/>
        </w:rPr>
      </w:pPr>
    </w:p>
    <w:p w14:paraId="50A06BF3">
      <w:pPr>
        <w:pStyle w:val="2"/>
        <w:spacing w:before="120" w:after="120"/>
        <w:rPr>
          <w:rFonts w:eastAsia="等线"/>
        </w:rPr>
      </w:pPr>
      <w:r>
        <w:rPr>
          <w:rFonts w:hint="eastAsia" w:eastAsia="等线"/>
        </w:rPr>
        <w:t>Targeting coverage</w:t>
      </w:r>
    </w:p>
    <w:p w14:paraId="355A200C">
      <w:pPr>
        <w:pStyle w:val="3"/>
        <w:spacing w:before="120"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60"/>
      </w:tblGrid>
      <w:tr w14:paraId="06F5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14:paraId="5D8C3856">
            <w:pPr>
              <w:widowControl w:val="0"/>
              <w:autoSpaceDE w:val="0"/>
              <w:autoSpaceDN w:val="0"/>
              <w:jc w:val="both"/>
              <w:rPr>
                <w:szCs w:val="22"/>
              </w:rPr>
            </w:pPr>
            <w:r>
              <w:rPr>
                <w:rFonts w:eastAsiaTheme="minorEastAsia"/>
                <w:b/>
                <w:bCs/>
                <w:szCs w:val="22"/>
                <w:lang w:eastAsia="ko-KR"/>
              </w:rPr>
              <w:t>Company</w:t>
            </w:r>
          </w:p>
        </w:tc>
        <w:tc>
          <w:tcPr>
            <w:tcW w:w="3860" w:type="pct"/>
            <w:shd w:val="clear" w:color="auto" w:fill="DBE5F1" w:themeFill="accent1" w:themeFillTint="33"/>
          </w:tcPr>
          <w:p w14:paraId="675A1C1F">
            <w:pPr>
              <w:widowControl w:val="0"/>
              <w:autoSpaceDE w:val="0"/>
              <w:autoSpaceDN w:val="0"/>
              <w:jc w:val="center"/>
              <w:rPr>
                <w:szCs w:val="22"/>
              </w:rPr>
            </w:pPr>
            <w:r>
              <w:rPr>
                <w:rFonts w:eastAsiaTheme="minorEastAsia"/>
                <w:b/>
                <w:bCs/>
                <w:szCs w:val="22"/>
                <w:lang w:eastAsia="ko-KR"/>
              </w:rPr>
              <w:t xml:space="preserve">Views/proposals </w:t>
            </w:r>
          </w:p>
        </w:tc>
      </w:tr>
      <w:tr w14:paraId="538A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EA57D16">
            <w:pPr>
              <w:widowControl w:val="0"/>
              <w:autoSpaceDE w:val="0"/>
              <w:autoSpaceDN w:val="0"/>
              <w:spacing w:afterLines="50"/>
              <w:jc w:val="both"/>
              <w:rPr>
                <w:iCs/>
                <w:sz w:val="20"/>
                <w:szCs w:val="20"/>
              </w:rPr>
            </w:pPr>
            <w:r>
              <w:rPr>
                <w:rFonts w:eastAsia="宋体"/>
                <w:sz w:val="20"/>
                <w:szCs w:val="20"/>
                <w:lang w:val="en-GB"/>
              </w:rPr>
              <w:t>CATT, CICTCI</w:t>
            </w:r>
          </w:p>
        </w:tc>
        <w:tc>
          <w:tcPr>
            <w:tcW w:w="3860" w:type="pct"/>
          </w:tcPr>
          <w:p w14:paraId="7E67FE75">
            <w:pPr>
              <w:widowControl w:val="0"/>
              <w:autoSpaceDE w:val="0"/>
              <w:autoSpaceDN w:val="0"/>
              <w:spacing w:afterLines="50"/>
              <w:jc w:val="both"/>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699CB08">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050EEDEB">
            <w:pPr>
              <w:pStyle w:val="63"/>
              <w:widowControl w:val="0"/>
              <w:numPr>
                <w:ilvl w:val="0"/>
                <w:numId w:val="29"/>
              </w:numPr>
              <w:autoSpaceDE w:val="0"/>
              <w:autoSpaceDN w:val="0"/>
              <w:spacing w:afterLines="50"/>
              <w:jc w:val="both"/>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28C9F52A">
            <w:pPr>
              <w:pStyle w:val="63"/>
              <w:widowControl w:val="0"/>
              <w:numPr>
                <w:ilvl w:val="0"/>
                <w:numId w:val="29"/>
              </w:numPr>
              <w:autoSpaceDE w:val="0"/>
              <w:autoSpaceDN w:val="0"/>
              <w:spacing w:afterLines="50"/>
              <w:jc w:val="both"/>
              <w:rPr>
                <w:rFonts w:eastAsiaTheme="minorEastAsia"/>
                <w:b/>
                <w:sz w:val="20"/>
                <w:szCs w:val="20"/>
              </w:rPr>
            </w:pPr>
            <w:r>
              <w:rPr>
                <w:rFonts w:eastAsiaTheme="minorEastAsia"/>
                <w:b/>
                <w:sz w:val="20"/>
                <w:szCs w:val="20"/>
              </w:rPr>
              <w:t>The coverage gap is larger if 2.6 GHz is the baseline for comparison.</w:t>
            </w:r>
          </w:p>
          <w:p w14:paraId="66CF06DA">
            <w:pPr>
              <w:widowControl w:val="0"/>
              <w:autoSpaceDE w:val="0"/>
              <w:autoSpaceDN w:val="0"/>
              <w:spacing w:afterLines="50"/>
              <w:jc w:val="both"/>
              <w:rPr>
                <w:rFonts w:eastAsiaTheme="minorEastAsia"/>
                <w:b/>
                <w:sz w:val="20"/>
                <w:szCs w:val="20"/>
              </w:rPr>
            </w:pPr>
            <w:r>
              <w:rPr>
                <w:rFonts w:eastAsiaTheme="minorEastAsia"/>
                <w:b/>
                <w:sz w:val="20"/>
                <w:szCs w:val="20"/>
              </w:rPr>
              <w:t>Observation 4: Comparable coverage can be achieved in O2O scenario.</w:t>
            </w:r>
          </w:p>
          <w:p w14:paraId="4DBC8012">
            <w:pPr>
              <w:widowControl w:val="0"/>
              <w:autoSpaceDE w:val="0"/>
              <w:autoSpaceDN w:val="0"/>
              <w:spacing w:afterLines="50"/>
              <w:jc w:val="both"/>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14:paraId="1816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20F76A6">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60" w:type="pct"/>
          </w:tcPr>
          <w:p w14:paraId="2A361D10">
            <w:pPr>
              <w:widowControl w:val="0"/>
              <w:autoSpaceDE w:val="0"/>
              <w:autoSpaceDN w:val="0"/>
              <w:spacing w:afterLines="50"/>
              <w:jc w:val="both"/>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5BEACC6">
            <w:pPr>
              <w:widowControl w:val="0"/>
              <w:autoSpaceDE w:val="0"/>
              <w:autoSpaceDN w:val="0"/>
              <w:spacing w:afterLines="50"/>
              <w:jc w:val="both"/>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2533DF">
            <w:pPr>
              <w:widowControl w:val="0"/>
              <w:autoSpaceDE w:val="0"/>
              <w:autoSpaceDN w:val="0"/>
              <w:spacing w:afterLines="50"/>
              <w:jc w:val="both"/>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5643BD50">
            <w:pPr>
              <w:widowControl w:val="0"/>
              <w:autoSpaceDE w:val="0"/>
              <w:autoSpaceDN w:val="0"/>
              <w:spacing w:afterLines="50"/>
              <w:jc w:val="both"/>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7FC294F4">
            <w:pPr>
              <w:widowControl w:val="0"/>
              <w:numPr>
                <w:ilvl w:val="0"/>
                <w:numId w:val="30"/>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66D94E3F">
            <w:pPr>
              <w:widowControl w:val="0"/>
              <w:numPr>
                <w:ilvl w:val="0"/>
                <w:numId w:val="30"/>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5647B5D0">
            <w:pPr>
              <w:widowControl w:val="0"/>
              <w:numPr>
                <w:ilvl w:val="0"/>
                <w:numId w:val="30"/>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total transmit power is considered the same for both bands.</w:t>
            </w:r>
          </w:p>
        </w:tc>
      </w:tr>
      <w:tr w14:paraId="25D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28C70D9">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60" w:type="pct"/>
          </w:tcPr>
          <w:p w14:paraId="580CBBAD">
            <w:pPr>
              <w:widowControl w:val="0"/>
              <w:autoSpaceDE w:val="0"/>
              <w:autoSpaceDN w:val="0"/>
              <w:spacing w:afterLines="50"/>
              <w:jc w:val="both"/>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B88B934">
            <w:pPr>
              <w:widowControl w:val="0"/>
              <w:autoSpaceDE w:val="0"/>
              <w:autoSpaceDN w:val="0"/>
              <w:spacing w:afterLines="50"/>
              <w:jc w:val="both"/>
              <w:rPr>
                <w:b/>
                <w:bCs/>
                <w:sz w:val="20"/>
                <w:szCs w:val="20"/>
              </w:rPr>
            </w:pPr>
            <w:r>
              <w:rPr>
                <w:b/>
                <w:i/>
                <w:sz w:val="20"/>
                <w:szCs w:val="20"/>
                <w:u w:val="single"/>
              </w:rPr>
              <w:t>Proposal 4-2-1</w:t>
            </w:r>
            <w:r>
              <w:rPr>
                <w:b/>
                <w:iCs/>
                <w:sz w:val="20"/>
                <w:szCs w:val="20"/>
                <w:lang w:bidi="ar"/>
              </w:rPr>
              <w:t>:</w:t>
            </w:r>
            <w:r>
              <w:rPr>
                <w:rFonts w:hint="eastAsia" w:eastAsiaTheme="minor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7360C88">
            <w:pPr>
              <w:pStyle w:val="63"/>
              <w:widowControl w:val="0"/>
              <w:numPr>
                <w:ilvl w:val="0"/>
                <w:numId w:val="31"/>
              </w:numPr>
              <w:autoSpaceDE w:val="0"/>
              <w:autoSpaceDN w:val="0"/>
              <w:spacing w:afterLines="50"/>
              <w:jc w:val="both"/>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7F8B94FE">
            <w:pPr>
              <w:widowControl w:val="0"/>
              <w:autoSpaceDE w:val="0"/>
              <w:autoSpaceDN w:val="0"/>
              <w:spacing w:afterLines="50"/>
              <w:jc w:val="both"/>
              <w:rPr>
                <w:b/>
                <w:i/>
                <w:sz w:val="20"/>
                <w:szCs w:val="20"/>
                <w:u w:val="single"/>
              </w:rPr>
            </w:pPr>
            <w:r>
              <w:rPr>
                <w:b/>
                <w:i/>
                <w:sz w:val="20"/>
                <w:szCs w:val="20"/>
                <w:u w:val="single"/>
              </w:rPr>
              <w:t>Proposal 4-2-2</w:t>
            </w:r>
            <w:r>
              <w:rPr>
                <w:b/>
                <w:bCs/>
                <w:sz w:val="20"/>
                <w:szCs w:val="20"/>
              </w:rPr>
              <w:t>:</w:t>
            </w:r>
            <w:r>
              <w:rPr>
                <w:rFonts w:hint="eastAsia" w:eastAsiaTheme="minorEastAsia"/>
                <w:b/>
                <w:bCs/>
                <w:sz w:val="20"/>
                <w:szCs w:val="20"/>
              </w:rPr>
              <w:t xml:space="preserve"> </w:t>
            </w:r>
            <w:r>
              <w:rPr>
                <w:b/>
                <w:bCs/>
                <w:sz w:val="20"/>
                <w:szCs w:val="20"/>
              </w:rPr>
              <w:t xml:space="preserve">For the coverage performance calculation, 2.6GHz is proposed for the evaluation as existing 5G mid-band. </w:t>
            </w:r>
          </w:p>
          <w:p w14:paraId="28DFE171">
            <w:pPr>
              <w:widowControl w:val="0"/>
              <w:autoSpaceDE w:val="0"/>
              <w:autoSpaceDN w:val="0"/>
              <w:spacing w:afterLines="50"/>
              <w:jc w:val="both"/>
              <w:rPr>
                <w:b/>
                <w:i/>
                <w:sz w:val="20"/>
                <w:szCs w:val="20"/>
                <w:u w:val="single"/>
              </w:rPr>
            </w:pPr>
            <w:r>
              <w:rPr>
                <w:b/>
                <w:i/>
                <w:sz w:val="20"/>
                <w:szCs w:val="20"/>
                <w:u w:val="single"/>
              </w:rPr>
              <w:t>Proposal 4-2-3</w:t>
            </w:r>
            <w:r>
              <w:rPr>
                <w:b/>
                <w:bCs/>
                <w:sz w:val="20"/>
                <w:szCs w:val="20"/>
              </w:rPr>
              <w:t>:</w:t>
            </w:r>
            <w:r>
              <w:rPr>
                <w:rFonts w:hint="eastAsia"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2FD8679F">
            <w:pPr>
              <w:widowControl w:val="0"/>
              <w:autoSpaceDE w:val="0"/>
              <w:autoSpaceDN w:val="0"/>
              <w:spacing w:afterLines="50"/>
              <w:jc w:val="both"/>
              <w:rPr>
                <w:sz w:val="20"/>
                <w:szCs w:val="20"/>
              </w:rPr>
            </w:pPr>
            <w:r>
              <w:rPr>
                <w:b/>
                <w:i/>
                <w:sz w:val="20"/>
                <w:szCs w:val="20"/>
                <w:u w:val="single"/>
              </w:rPr>
              <w:t>Proposal 4-2-4</w:t>
            </w:r>
            <w:r>
              <w:rPr>
                <w:b/>
                <w:bCs/>
                <w:sz w:val="20"/>
                <w:szCs w:val="20"/>
              </w:rPr>
              <w:t>: 26dBm UE transmit power can be assumed for coverage evaluation for both NR and 6GR.</w:t>
            </w:r>
          </w:p>
          <w:p w14:paraId="1C0C01C0">
            <w:pPr>
              <w:widowControl w:val="0"/>
              <w:autoSpaceDE w:val="0"/>
              <w:autoSpaceDN w:val="0"/>
              <w:spacing w:afterLines="50"/>
              <w:jc w:val="both"/>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13ABE511">
            <w:pPr>
              <w:widowControl w:val="0"/>
              <w:autoSpaceDE w:val="0"/>
              <w:autoSpaceDN w:val="0"/>
              <w:spacing w:afterLines="50"/>
              <w:jc w:val="both"/>
              <w:rPr>
                <w:b/>
                <w:bCs/>
                <w:sz w:val="20"/>
                <w:szCs w:val="20"/>
              </w:rPr>
            </w:pPr>
            <w:r>
              <w:rPr>
                <w:b/>
                <w:i/>
                <w:sz w:val="20"/>
                <w:szCs w:val="20"/>
                <w:u w:val="single"/>
              </w:rPr>
              <w:t>Proposal 4-2-6</w:t>
            </w:r>
            <w:r>
              <w:rPr>
                <w:b/>
                <w:bCs/>
                <w:sz w:val="20"/>
                <w:szCs w:val="20"/>
              </w:rPr>
              <w:t xml:space="preserve">: </w:t>
            </w:r>
          </w:p>
          <w:p w14:paraId="447F6723">
            <w:pPr>
              <w:widowControl w:val="0"/>
              <w:autoSpaceDE w:val="0"/>
              <w:autoSpaceDN w:val="0"/>
              <w:spacing w:afterLines="50"/>
              <w:jc w:val="both"/>
              <w:rPr>
                <w:b/>
                <w:bCs/>
                <w:sz w:val="20"/>
                <w:szCs w:val="20"/>
              </w:rPr>
            </w:pPr>
            <w:r>
              <w:rPr>
                <w:b/>
                <w:bCs/>
                <w:sz w:val="20"/>
                <w:szCs w:val="20"/>
              </w:rPr>
              <w:t>For the coverage evaluation, 192 antenna elements and 64 ports should be considered as the assumption of 5G NR.</w:t>
            </w:r>
          </w:p>
          <w:p w14:paraId="66A478C3">
            <w:pPr>
              <w:widowControl w:val="0"/>
              <w:autoSpaceDE w:val="0"/>
              <w:autoSpaceDN w:val="0"/>
              <w:spacing w:afterLines="50"/>
              <w:jc w:val="both"/>
              <w:rPr>
                <w:b/>
                <w:bCs/>
                <w:sz w:val="20"/>
                <w:szCs w:val="20"/>
              </w:rPr>
            </w:pPr>
            <w:r>
              <w:rPr>
                <w:b/>
                <w:bCs/>
                <w:sz w:val="20"/>
                <w:szCs w:val="20"/>
              </w:rPr>
              <w:t>For the assumptions of antenna elements and antenna ports, both options can be considered for 6GR:</w:t>
            </w:r>
          </w:p>
          <w:p w14:paraId="4EB9C2E1">
            <w:pPr>
              <w:pStyle w:val="63"/>
              <w:widowControl w:val="0"/>
              <w:numPr>
                <w:ilvl w:val="0"/>
                <w:numId w:val="32"/>
              </w:numPr>
              <w:autoSpaceDE w:val="0"/>
              <w:autoSpaceDN w:val="0"/>
              <w:spacing w:afterLines="50"/>
              <w:jc w:val="both"/>
              <w:rPr>
                <w:b/>
                <w:bCs/>
                <w:sz w:val="20"/>
                <w:szCs w:val="20"/>
              </w:rPr>
            </w:pPr>
            <w:r>
              <w:rPr>
                <w:b/>
                <w:bCs/>
                <w:sz w:val="20"/>
                <w:szCs w:val="20"/>
              </w:rPr>
              <w:t>Option 1: 2048 antenna elements with 256 antenna ports.</w:t>
            </w:r>
          </w:p>
          <w:p w14:paraId="47761D1C">
            <w:pPr>
              <w:pStyle w:val="63"/>
              <w:widowControl w:val="0"/>
              <w:numPr>
                <w:ilvl w:val="0"/>
                <w:numId w:val="32"/>
              </w:numPr>
              <w:autoSpaceDE w:val="0"/>
              <w:autoSpaceDN w:val="0"/>
              <w:spacing w:afterLines="50"/>
              <w:jc w:val="both"/>
              <w:rPr>
                <w:b/>
                <w:i/>
                <w:sz w:val="20"/>
                <w:szCs w:val="20"/>
                <w:u w:val="single"/>
              </w:rPr>
            </w:pPr>
            <w:r>
              <w:rPr>
                <w:b/>
                <w:bCs/>
                <w:sz w:val="20"/>
                <w:szCs w:val="20"/>
              </w:rPr>
              <w:t xml:space="preserve">Option 2: 1024 antenna elements with 128 antenna ports. </w:t>
            </w:r>
          </w:p>
          <w:p w14:paraId="1947A02E">
            <w:pPr>
              <w:widowControl w:val="0"/>
              <w:autoSpaceDE w:val="0"/>
              <w:autoSpaceDN w:val="0"/>
              <w:spacing w:afterLines="50"/>
              <w:jc w:val="both"/>
              <w:rPr>
                <w:b/>
                <w:bCs/>
                <w:sz w:val="20"/>
                <w:szCs w:val="20"/>
              </w:rPr>
            </w:pPr>
            <w:r>
              <w:rPr>
                <w:b/>
                <w:i/>
                <w:sz w:val="20"/>
                <w:szCs w:val="20"/>
                <w:u w:val="single"/>
              </w:rPr>
              <w:t>Proposal 4-2-7</w:t>
            </w:r>
            <w:r>
              <w:rPr>
                <w:b/>
                <w:bCs/>
                <w:sz w:val="20"/>
                <w:szCs w:val="20"/>
              </w:rPr>
              <w:t>:</w:t>
            </w:r>
          </w:p>
          <w:p w14:paraId="6BD8B27D">
            <w:pPr>
              <w:pStyle w:val="63"/>
              <w:widowControl w:val="0"/>
              <w:numPr>
                <w:ilvl w:val="0"/>
                <w:numId w:val="33"/>
              </w:numPr>
              <w:autoSpaceDE w:val="0"/>
              <w:autoSpaceDN w:val="0"/>
              <w:spacing w:afterLines="50"/>
              <w:jc w:val="both"/>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734464EF">
            <w:pPr>
              <w:pStyle w:val="63"/>
              <w:widowControl w:val="0"/>
              <w:numPr>
                <w:ilvl w:val="0"/>
                <w:numId w:val="33"/>
              </w:numPr>
              <w:autoSpaceDE w:val="0"/>
              <w:autoSpaceDN w:val="0"/>
              <w:spacing w:afterLines="50"/>
              <w:jc w:val="both"/>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21E12B06">
            <w:pPr>
              <w:widowControl w:val="0"/>
              <w:autoSpaceDE w:val="0"/>
              <w:autoSpaceDN w:val="0"/>
              <w:spacing w:afterLines="50"/>
              <w:jc w:val="both"/>
              <w:rPr>
                <w:b/>
                <w:bCs/>
                <w:sz w:val="20"/>
                <w:szCs w:val="20"/>
              </w:rPr>
            </w:pPr>
            <w:r>
              <w:rPr>
                <w:b/>
                <w:i/>
                <w:sz w:val="20"/>
                <w:szCs w:val="20"/>
                <w:u w:val="single"/>
              </w:rPr>
              <w:t>Proposal 4-2-8</w:t>
            </w:r>
            <w:r>
              <w:rPr>
                <w:b/>
                <w:bCs/>
                <w:sz w:val="20"/>
                <w:szCs w:val="20"/>
              </w:rPr>
              <w:t>:</w:t>
            </w:r>
          </w:p>
          <w:p w14:paraId="563C44F1">
            <w:pPr>
              <w:widowControl w:val="0"/>
              <w:autoSpaceDE w:val="0"/>
              <w:autoSpaceDN w:val="0"/>
              <w:spacing w:afterLines="50"/>
              <w:jc w:val="both"/>
              <w:rPr>
                <w:b/>
                <w:bCs/>
                <w:sz w:val="20"/>
                <w:szCs w:val="20"/>
              </w:rPr>
            </w:pPr>
            <w:r>
              <w:rPr>
                <w:b/>
                <w:bCs/>
                <w:sz w:val="20"/>
                <w:szCs w:val="20"/>
              </w:rPr>
              <w:t xml:space="preserve">The penetrations loss function should refer to TR38.901 to accommodate different carrier frequencies. </w:t>
            </w:r>
          </w:p>
          <w:p w14:paraId="612DC17E">
            <w:pPr>
              <w:widowControl w:val="0"/>
              <w:autoSpaceDE w:val="0"/>
              <w:autoSpaceDN w:val="0"/>
              <w:spacing w:afterLines="50"/>
              <w:jc w:val="both"/>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3364E6DA">
            <w:pPr>
              <w:widowControl w:val="0"/>
              <w:autoSpaceDE w:val="0"/>
              <w:autoSpaceDN w:val="0"/>
              <w:spacing w:afterLines="50"/>
              <w:jc w:val="both"/>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0F8F823">
            <w:pPr>
              <w:widowControl w:val="0"/>
              <w:autoSpaceDE w:val="0"/>
              <w:autoSpaceDN w:val="0"/>
              <w:spacing w:afterLines="50"/>
              <w:jc w:val="both"/>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2A54205F">
            <w:pPr>
              <w:widowControl w:val="0"/>
              <w:autoSpaceDE w:val="0"/>
              <w:autoSpaceDN w:val="0"/>
              <w:spacing w:afterLines="50"/>
              <w:jc w:val="both"/>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pPr>
              <w:widowControl w:val="0"/>
              <w:autoSpaceDE w:val="0"/>
              <w:autoSpaceDN w:val="0"/>
              <w:spacing w:afterLines="50"/>
              <w:jc w:val="both"/>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E5029FC">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546772A6">
            <w:pPr>
              <w:widowControl w:val="0"/>
              <w:autoSpaceDE w:val="0"/>
              <w:autoSpaceDN w:val="0"/>
              <w:spacing w:afterLines="50"/>
              <w:jc w:val="both"/>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FA63CCC">
            <w:pPr>
              <w:pStyle w:val="63"/>
              <w:widowControl w:val="0"/>
              <w:numPr>
                <w:ilvl w:val="0"/>
                <w:numId w:val="34"/>
              </w:numPr>
              <w:autoSpaceDE w:val="0"/>
              <w:autoSpaceDN w:val="0"/>
              <w:spacing w:afterLines="50"/>
              <w:jc w:val="both"/>
              <w:rPr>
                <w:b/>
                <w:bCs/>
                <w:sz w:val="20"/>
                <w:szCs w:val="20"/>
              </w:rPr>
            </w:pPr>
            <w:r>
              <w:rPr>
                <w:b/>
                <w:bCs/>
                <w:sz w:val="20"/>
                <w:szCs w:val="20"/>
              </w:rPr>
              <w:t>Additional 6dB would be required for UL data channel</w:t>
            </w:r>
          </w:p>
          <w:p w14:paraId="47772691">
            <w:pPr>
              <w:pStyle w:val="63"/>
              <w:widowControl w:val="0"/>
              <w:numPr>
                <w:ilvl w:val="0"/>
                <w:numId w:val="34"/>
              </w:numPr>
              <w:autoSpaceDE w:val="0"/>
              <w:autoSpaceDN w:val="0"/>
              <w:spacing w:afterLines="50"/>
              <w:jc w:val="both"/>
              <w:rPr>
                <w:b/>
                <w:bCs/>
                <w:sz w:val="20"/>
                <w:szCs w:val="20"/>
              </w:rPr>
            </w:pPr>
            <w:r>
              <w:rPr>
                <w:b/>
                <w:bCs/>
                <w:sz w:val="20"/>
                <w:szCs w:val="20"/>
              </w:rPr>
              <w:t>Additional 13.27dB would be required for UL common control channel.</w:t>
            </w:r>
          </w:p>
          <w:p w14:paraId="410F54F4">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043AEB09">
            <w:pPr>
              <w:pStyle w:val="63"/>
              <w:widowControl w:val="0"/>
              <w:numPr>
                <w:ilvl w:val="0"/>
                <w:numId w:val="34"/>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63577C4D">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2E48937B">
            <w:pPr>
              <w:widowControl w:val="0"/>
              <w:autoSpaceDE w:val="0"/>
              <w:autoSpaceDN w:val="0"/>
              <w:spacing w:afterLines="50"/>
              <w:jc w:val="both"/>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2E5DCB25">
            <w:pPr>
              <w:pStyle w:val="63"/>
              <w:widowControl w:val="0"/>
              <w:numPr>
                <w:ilvl w:val="0"/>
                <w:numId w:val="34"/>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5F470B2E">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384BB27">
            <w:pPr>
              <w:pStyle w:val="63"/>
              <w:widowControl w:val="0"/>
              <w:numPr>
                <w:ilvl w:val="0"/>
                <w:numId w:val="34"/>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560CA00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3D643D15">
            <w:pPr>
              <w:widowControl w:val="0"/>
              <w:autoSpaceDE w:val="0"/>
              <w:autoSpaceDN w:val="0"/>
              <w:spacing w:afterLines="50"/>
              <w:jc w:val="both"/>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98810DE">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03FBDE02">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0809F88">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11751613">
            <w:pPr>
              <w:pStyle w:val="63"/>
              <w:widowControl w:val="0"/>
              <w:numPr>
                <w:ilvl w:val="0"/>
                <w:numId w:val="34"/>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53DC9F82">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51E01871">
            <w:pPr>
              <w:widowControl w:val="0"/>
              <w:autoSpaceDE w:val="0"/>
              <w:autoSpaceDN w:val="0"/>
              <w:spacing w:afterLines="50"/>
              <w:jc w:val="both"/>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019B10AE">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34DB8CF2">
            <w:pPr>
              <w:pStyle w:val="63"/>
              <w:widowControl w:val="0"/>
              <w:numPr>
                <w:ilvl w:val="0"/>
                <w:numId w:val="34"/>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65BB006C">
            <w:pPr>
              <w:pStyle w:val="63"/>
              <w:widowControl w:val="0"/>
              <w:numPr>
                <w:ilvl w:val="0"/>
                <w:numId w:val="34"/>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20C12C7">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34392EDD">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10C7B492">
            <w:pPr>
              <w:pStyle w:val="63"/>
              <w:widowControl w:val="0"/>
              <w:numPr>
                <w:ilvl w:val="0"/>
                <w:numId w:val="35"/>
              </w:numPr>
              <w:autoSpaceDE w:val="0"/>
              <w:autoSpaceDN w:val="0"/>
              <w:spacing w:afterLines="50"/>
              <w:jc w:val="both"/>
              <w:rPr>
                <w:b/>
                <w:bCs/>
                <w:sz w:val="20"/>
                <w:szCs w:val="20"/>
              </w:rPr>
            </w:pPr>
            <w:r>
              <w:rPr>
                <w:b/>
                <w:bCs/>
                <w:sz w:val="20"/>
                <w:szCs w:val="20"/>
              </w:rPr>
              <w:t>Additional 13.27dB is required for Msg3 in 6GR.</w:t>
            </w:r>
          </w:p>
          <w:p w14:paraId="5867082C">
            <w:pPr>
              <w:pStyle w:val="63"/>
              <w:widowControl w:val="0"/>
              <w:numPr>
                <w:ilvl w:val="0"/>
                <w:numId w:val="35"/>
              </w:numPr>
              <w:autoSpaceDE w:val="0"/>
              <w:autoSpaceDN w:val="0"/>
              <w:spacing w:afterLines="50"/>
              <w:jc w:val="both"/>
              <w:rPr>
                <w:b/>
                <w:bCs/>
                <w:sz w:val="20"/>
                <w:szCs w:val="20"/>
              </w:rPr>
            </w:pPr>
            <w:r>
              <w:rPr>
                <w:b/>
                <w:bCs/>
                <w:sz w:val="20"/>
                <w:szCs w:val="20"/>
              </w:rPr>
              <w:t>Additional 11dB is required for PRACH format 0 in 6GR.</w:t>
            </w:r>
          </w:p>
          <w:p w14:paraId="03B1769A">
            <w:pPr>
              <w:pStyle w:val="63"/>
              <w:widowControl w:val="0"/>
              <w:numPr>
                <w:ilvl w:val="0"/>
                <w:numId w:val="35"/>
              </w:numPr>
              <w:autoSpaceDE w:val="0"/>
              <w:autoSpaceDN w:val="0"/>
              <w:spacing w:afterLines="50"/>
              <w:jc w:val="both"/>
              <w:rPr>
                <w:b/>
                <w:bCs/>
                <w:sz w:val="20"/>
                <w:szCs w:val="20"/>
              </w:rPr>
            </w:pPr>
            <w:r>
              <w:rPr>
                <w:b/>
                <w:bCs/>
                <w:sz w:val="20"/>
                <w:szCs w:val="20"/>
              </w:rPr>
              <w:t>Additional 13.27dB is required for PUCCH format 1 in 6GR.</w:t>
            </w:r>
          </w:p>
          <w:p w14:paraId="4A1F93AA">
            <w:pPr>
              <w:pStyle w:val="63"/>
              <w:widowControl w:val="0"/>
              <w:numPr>
                <w:ilvl w:val="0"/>
                <w:numId w:val="35"/>
              </w:numPr>
              <w:autoSpaceDE w:val="0"/>
              <w:autoSpaceDN w:val="0"/>
              <w:spacing w:afterLines="50"/>
              <w:jc w:val="both"/>
              <w:rPr>
                <w:b/>
                <w:bCs/>
                <w:sz w:val="20"/>
                <w:szCs w:val="20"/>
              </w:rPr>
            </w:pPr>
            <w:r>
              <w:rPr>
                <w:b/>
                <w:bCs/>
                <w:sz w:val="20"/>
                <w:szCs w:val="20"/>
              </w:rPr>
              <w:t>Additional 15dB is required for PUCCH format 3 11bits in 6GR.</w:t>
            </w:r>
          </w:p>
          <w:p w14:paraId="3870B08F">
            <w:pPr>
              <w:pStyle w:val="63"/>
              <w:widowControl w:val="0"/>
              <w:numPr>
                <w:ilvl w:val="0"/>
                <w:numId w:val="35"/>
              </w:numPr>
              <w:autoSpaceDE w:val="0"/>
              <w:autoSpaceDN w:val="0"/>
              <w:spacing w:afterLines="50"/>
              <w:jc w:val="both"/>
              <w:rPr>
                <w:b/>
                <w:bCs/>
                <w:sz w:val="20"/>
                <w:szCs w:val="20"/>
              </w:rPr>
            </w:pPr>
            <w:r>
              <w:rPr>
                <w:b/>
                <w:bCs/>
                <w:sz w:val="20"/>
                <w:szCs w:val="20"/>
              </w:rPr>
              <w:t>Additional 17dB is required for PUCCH format 3 22bits in 6GR.</w:t>
            </w:r>
          </w:p>
          <w:p w14:paraId="56322295">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5C6596A7">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6dB is required for PDCCH 40bits with 16 beams</w:t>
            </w:r>
          </w:p>
          <w:p w14:paraId="40516D6B">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6dB is required for PDCCH 29bits for Msg2 with 16 beams</w:t>
            </w:r>
          </w:p>
          <w:p w14:paraId="0EDF792A">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2E380B30">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3711FC7E">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02F43">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2FF1EDBD">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6F3A41AD">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28F677C5">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125D8607">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6 dB is required for PBCH with 4 combinations within 80ms</w:t>
            </w:r>
          </w:p>
          <w:p w14:paraId="28EB7CA2">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9dB is required for PDCCH 40bits with 8 beams</w:t>
            </w:r>
          </w:p>
          <w:p w14:paraId="6D190E44">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9dB is required for PDCCH 29bits for Msg2 with 8 beams</w:t>
            </w:r>
          </w:p>
          <w:p w14:paraId="7DFA613C">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097130D0">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66A525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7E57E9D">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A3730EA">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25C5FB8">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6CD0E018">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2431F926">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0 dB is required for PBCH with 4 combinations within 80ms</w:t>
            </w:r>
          </w:p>
          <w:p w14:paraId="2C2FE72B">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3dB is required for PDCCH 40bits with 16 beams</w:t>
            </w:r>
          </w:p>
          <w:p w14:paraId="44C43796">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3dB is required for PDCCH 29bits for Msg2 with 16 beams</w:t>
            </w:r>
          </w:p>
          <w:p w14:paraId="1642A1E3">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5492EF3">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339ADD92">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732F3D8">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58C17C1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11C230EF">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61DC0B9A">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1B5F76C">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4CE1DA54">
            <w:pPr>
              <w:pStyle w:val="63"/>
              <w:widowControl w:val="0"/>
              <w:numPr>
                <w:ilvl w:val="0"/>
                <w:numId w:val="35"/>
              </w:numPr>
              <w:autoSpaceDE w:val="0"/>
              <w:autoSpaceDN w:val="0"/>
              <w:spacing w:afterLines="50"/>
              <w:jc w:val="both"/>
              <w:rPr>
                <w:b/>
                <w:bCs/>
                <w:sz w:val="20"/>
                <w:szCs w:val="20"/>
              </w:rPr>
            </w:pPr>
            <w:r>
              <w:rPr>
                <w:rFonts w:eastAsiaTheme="minorEastAsia"/>
                <w:b/>
                <w:bCs/>
                <w:sz w:val="20"/>
                <w:szCs w:val="20"/>
              </w:rPr>
              <w:t>6dB is required for PDCCH 40bits with 8 beams</w:t>
            </w:r>
          </w:p>
          <w:p w14:paraId="50D210EB">
            <w:pPr>
              <w:pStyle w:val="63"/>
              <w:widowControl w:val="0"/>
              <w:numPr>
                <w:ilvl w:val="0"/>
                <w:numId w:val="35"/>
              </w:numPr>
              <w:autoSpaceDE w:val="0"/>
              <w:autoSpaceDN w:val="0"/>
              <w:spacing w:afterLines="50"/>
              <w:jc w:val="both"/>
              <w:rPr>
                <w:rFonts w:eastAsiaTheme="minorEastAsia"/>
                <w:b/>
                <w:color w:val="000000"/>
                <w:sz w:val="20"/>
                <w:szCs w:val="20"/>
              </w:rPr>
            </w:pPr>
            <w:r>
              <w:rPr>
                <w:rFonts w:eastAsiaTheme="minorEastAsia"/>
                <w:b/>
                <w:bCs/>
                <w:sz w:val="20"/>
                <w:szCs w:val="20"/>
              </w:rPr>
              <w:t>6dB is required for PDCCH 29bits for Msg2 with 8 beams</w:t>
            </w:r>
          </w:p>
        </w:tc>
      </w:tr>
      <w:tr w14:paraId="1B8D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6039817">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60" w:type="pct"/>
          </w:tcPr>
          <w:p w14:paraId="3D15AE50">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auto"/>
                <w:szCs w:val="20"/>
                <w:u w:val="none"/>
              </w:rPr>
            </w:pPr>
            <w:r>
              <w:fldChar w:fldCharType="begin"/>
            </w:r>
            <w:r>
              <w:instrText xml:space="preserve"> HYPERLINK \l "_Toc220701047" </w:instrText>
            </w:r>
            <w:r>
              <w:fldChar w:fldCharType="separate"/>
            </w:r>
            <w:r>
              <w:rPr>
                <w:rStyle w:val="43"/>
                <w:rFonts w:ascii="Times New Roman" w:hAnsi="Times New Roman" w:cs="Times New Roman"/>
                <w:b w:val="0"/>
                <w:bCs/>
                <w:color w:val="auto"/>
                <w:szCs w:val="20"/>
                <w:u w:val="none"/>
              </w:rPr>
              <w:t>Proposal 20</w:t>
            </w:r>
            <w:r>
              <w:rPr>
                <w:rStyle w:val="43"/>
                <w:rFonts w:ascii="Times New Roman" w:hAnsi="Times New Roman" w:cs="Times New Roman"/>
                <w:b w:val="0"/>
                <w:bCs/>
                <w:color w:val="auto"/>
                <w:szCs w:val="20"/>
                <w:u w:val="none"/>
              </w:rPr>
              <w:tab/>
            </w:r>
            <w:r>
              <w:rPr>
                <w:rStyle w:val="43"/>
                <w:rFonts w:ascii="Times New Roman" w:hAnsi="Times New Roman" w:cs="Times New Roman"/>
                <w:b w:val="0"/>
                <w:bCs/>
                <w:color w:val="auto"/>
                <w:szCs w:val="20"/>
                <w:u w:val="none"/>
              </w:rPr>
              <w:t>RAN1 provides the following input to RAN: Consider methodology for setting an overall coverage requirement based on MaxCL calculated according to the template in Table 7.10.1-1 in TR 38.913 for both DL and UL.</w:t>
            </w:r>
            <w:r>
              <w:rPr>
                <w:rStyle w:val="43"/>
                <w:rFonts w:ascii="Times New Roman" w:hAnsi="Times New Roman" w:cs="Times New Roman"/>
                <w:b w:val="0"/>
                <w:bCs/>
                <w:color w:val="auto"/>
                <w:szCs w:val="20"/>
                <w:u w:val="none"/>
              </w:rPr>
              <w:fldChar w:fldCharType="end"/>
            </w:r>
          </w:p>
          <w:p w14:paraId="03CD0D94">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000000" w:themeColor="text1"/>
                <w:szCs w:val="20"/>
                <w:u w:val="none"/>
                <w14:textFill>
                  <w14:solidFill>
                    <w14:schemeClr w14:val="tx1"/>
                  </w14:solidFill>
                </w14:textFill>
              </w:rPr>
            </w:pPr>
            <w:r>
              <w:fldChar w:fldCharType="begin"/>
            </w:r>
            <w:r>
              <w:instrText xml:space="preserve"> HYPERLINK \l "_Toc220701048"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21</w:t>
            </w:r>
            <w:r>
              <w:rPr>
                <w:rStyle w:val="43"/>
                <w:rFonts w:ascii="Times New Roman" w:hAnsi="Times New Roman" w:cs="Times New Roman"/>
                <w:b w:val="0"/>
                <w:bCs/>
                <w:color w:val="000000" w:themeColor="text1"/>
                <w:szCs w:val="20"/>
                <w:u w:val="none"/>
                <w14:textFill>
                  <w14:solidFill>
                    <w14:schemeClr w14:val="tx1"/>
                  </w14:solidFill>
                </w14:textFill>
              </w:rPr>
              <w:tab/>
            </w:r>
            <w:r>
              <w:rPr>
                <w:rStyle w:val="43"/>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r>
              <w:rPr>
                <w:rStyle w:val="43"/>
                <w:rFonts w:ascii="Times New Roman" w:hAnsi="Times New Roman" w:cs="Times New Roman"/>
                <w:b w:val="0"/>
                <w:bCs/>
                <w:color w:val="auto"/>
                <w:szCs w:val="20"/>
                <w:u w:val="none"/>
              </w:rPr>
              <w:fldChar w:fldCharType="end"/>
            </w:r>
          </w:p>
          <w:p w14:paraId="082CF76D">
            <w:pPr>
              <w:widowControl w:val="0"/>
              <w:autoSpaceDE w:val="0"/>
              <w:autoSpaceDN w:val="0"/>
              <w:spacing w:afterLines="50"/>
              <w:jc w:val="both"/>
              <w:rPr>
                <w:rStyle w:val="43"/>
                <w:rFonts w:eastAsiaTheme="minorEastAsia"/>
                <w:bCs/>
                <w:color w:val="000000" w:themeColor="text1"/>
                <w:sz w:val="20"/>
                <w:szCs w:val="20"/>
                <w:u w:val="none"/>
                <w14:textFill>
                  <w14:solidFill>
                    <w14:schemeClr w14:val="tx1"/>
                  </w14:solidFill>
                </w14:textFill>
              </w:rPr>
            </w:pPr>
            <w:r>
              <w:rPr>
                <w:rStyle w:val="43"/>
                <w:rFonts w:eastAsiaTheme="minorHAnsi"/>
                <w:bCs/>
                <w:color w:val="000000" w:themeColor="text1"/>
                <w:sz w:val="20"/>
                <w:szCs w:val="20"/>
                <w:u w:val="none"/>
                <w:lang w:eastAsia="en-US"/>
                <w14:textFill>
                  <w14:solidFill>
                    <w14:schemeClr w14:val="tx1"/>
                  </w14:solidFill>
                </w14:textFill>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6C8EAA6C">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eastAsiaTheme="minorEastAsia"/>
                <w:b w:val="0"/>
                <w:bCs/>
                <w:color w:val="000000" w:themeColor="text1"/>
                <w:szCs w:val="20"/>
                <w:u w:val="none"/>
                <w14:textFill>
                  <w14:solidFill>
                    <w14:schemeClr w14:val="tx1"/>
                  </w14:solidFill>
                </w14:textFill>
              </w:rPr>
            </w:pPr>
            <w:r>
              <w:fldChar w:fldCharType="begin"/>
            </w:r>
            <w:r>
              <w:instrText xml:space="preserve"> HYPERLINK \l "_Toc220701049"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22</w:t>
            </w:r>
            <w:r>
              <w:rPr>
                <w:rStyle w:val="43"/>
                <w:rFonts w:ascii="Times New Roman" w:hAnsi="Times New Roman" w:cs="Times New Roman"/>
                <w:bCs/>
                <w:color w:val="000000" w:themeColor="text1"/>
                <w:szCs w:val="20"/>
                <w:u w:val="none"/>
                <w14:textFill>
                  <w14:solidFill>
                    <w14:schemeClr w14:val="tx1"/>
                  </w14:solidFill>
                </w14:textFill>
              </w:rPr>
              <w:tab/>
            </w:r>
            <w:r>
              <w:rPr>
                <w:rStyle w:val="43"/>
                <w:rFonts w:ascii="Times New Roman" w:hAnsi="Times New Roman" w:cs="Times New Roman"/>
                <w:b w:val="0"/>
                <w:bCs/>
                <w:color w:val="000000" w:themeColor="text1"/>
                <w:szCs w:val="20"/>
                <w:u w:val="none"/>
                <w14:textFill>
                  <w14:solidFill>
                    <w14:schemeClr w14:val="tx1"/>
                  </w14:solidFill>
                </w14:textFill>
              </w:rPr>
              <w:t>RAN1 provides the following input to RAN: Consider MaxCL = 153 dB for “extended coverage” target for both 2 and 1 UE Rx antennas corresponding to the following data rates. At this MaxCL, it is assumed that the relevant DL and UL control channels perform adequately.</w:t>
            </w:r>
            <w:r>
              <w:rPr>
                <w:rStyle w:val="43"/>
                <w:rFonts w:ascii="Times New Roman" w:hAnsi="Times New Roman" w:cs="Times New Roman"/>
                <w:b w:val="0"/>
                <w:bCs/>
                <w:color w:val="000000" w:themeColor="text1"/>
                <w:szCs w:val="20"/>
                <w:u w:val="none"/>
                <w14:textFill>
                  <w14:solidFill>
                    <w14:schemeClr w14:val="tx1"/>
                  </w14:solidFill>
                </w14:textFill>
              </w:rPr>
              <w:fldChar w:fldCharType="end"/>
            </w:r>
          </w:p>
          <w:p w14:paraId="52EE5058">
            <w:pPr>
              <w:widowControl w:val="0"/>
              <w:autoSpaceDE w:val="0"/>
              <w:autoSpaceDN w:val="0"/>
              <w:spacing w:afterLines="50"/>
              <w:jc w:val="both"/>
              <w:rPr>
                <w:rStyle w:val="43"/>
                <w:rFonts w:eastAsiaTheme="minorEastAsia"/>
                <w:bCs/>
                <w:color w:val="auto"/>
                <w:sz w:val="20"/>
                <w:szCs w:val="20"/>
                <w:u w:val="none"/>
              </w:rPr>
            </w:pPr>
            <w:r>
              <w:rPr>
                <w:rStyle w:val="43"/>
                <w:rFonts w:eastAsiaTheme="minorHAnsi"/>
                <w:bCs/>
                <w:color w:val="auto"/>
                <w:sz w:val="20"/>
                <w:szCs w:val="20"/>
                <w:u w:val="none"/>
                <w:lang w:eastAsia="en-US"/>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14:paraId="04AC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CA89A85">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60" w:type="pct"/>
          </w:tcPr>
          <w:p w14:paraId="2996F2AD">
            <w:pPr>
              <w:widowControl w:val="0"/>
              <w:autoSpaceDE w:val="0"/>
              <w:autoSpaceDN w:val="0"/>
              <w:spacing w:afterLines="50"/>
              <w:jc w:val="both"/>
              <w:rPr>
                <w:sz w:val="20"/>
                <w:szCs w:val="20"/>
                <w:lang w:eastAsia="ko-KR"/>
              </w:rPr>
            </w:pPr>
            <w:r>
              <w:rPr>
                <w:sz w:val="20"/>
                <w:szCs w:val="20"/>
                <w:lang w:eastAsia="ko-KR"/>
              </w:rPr>
              <w:t>Proposal 6: For overall coverage, it is proposed that:</w:t>
            </w:r>
          </w:p>
          <w:p w14:paraId="1EE8ABD2">
            <w:pPr>
              <w:widowControl w:val="0"/>
              <w:numPr>
                <w:ilvl w:val="0"/>
                <w:numId w:val="36"/>
              </w:numPr>
              <w:autoSpaceDE w:val="0"/>
              <w:autoSpaceDN w:val="0"/>
              <w:spacing w:afterLines="50"/>
              <w:jc w:val="both"/>
              <w:rPr>
                <w:sz w:val="20"/>
                <w:szCs w:val="20"/>
                <w:lang w:eastAsia="ko-KR"/>
              </w:rPr>
            </w:pPr>
            <w:r>
              <w:rPr>
                <w:sz w:val="20"/>
                <w:szCs w:val="20"/>
                <w:lang w:eastAsia="ko-KR"/>
              </w:rPr>
              <w:t>Enhancement techniques be included as a baseline feature from 6G Day-1, building on those introduced in 5G NR</w:t>
            </w:r>
          </w:p>
          <w:p w14:paraId="1B3CC061">
            <w:pPr>
              <w:widowControl w:val="0"/>
              <w:numPr>
                <w:ilvl w:val="0"/>
                <w:numId w:val="36"/>
              </w:numPr>
              <w:autoSpaceDE w:val="0"/>
              <w:autoSpaceDN w:val="0"/>
              <w:spacing w:afterLines="50"/>
              <w:jc w:val="both"/>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14:paraId="3E7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A717E01">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60" w:type="pct"/>
          </w:tcPr>
          <w:p w14:paraId="15857BE5">
            <w:pPr>
              <w:pStyle w:val="125"/>
              <w:widowControl w:val="0"/>
              <w:autoSpaceDE w:val="0"/>
              <w:autoSpaceDN w:val="0"/>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3CEEABA6">
            <w:pPr>
              <w:pStyle w:val="125"/>
              <w:widowControl w:val="0"/>
              <w:autoSpaceDE w:val="0"/>
              <w:autoSpaceDN w:val="0"/>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1EFBD6EA">
            <w:pPr>
              <w:pStyle w:val="125"/>
              <w:widowControl w:val="0"/>
              <w:autoSpaceDE w:val="0"/>
              <w:autoSpaceDN w:val="0"/>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14:paraId="556F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EA5A3FA">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60" w:type="pct"/>
          </w:tcPr>
          <w:p w14:paraId="41D440BC">
            <w:pPr>
              <w:widowControl w:val="0"/>
              <w:autoSpaceDE w:val="0"/>
              <w:autoSpaceDN w:val="0"/>
              <w:spacing w:afterLines="50"/>
              <w:jc w:val="both"/>
              <w:rPr>
                <w:sz w:val="20"/>
                <w:szCs w:val="20"/>
              </w:rPr>
            </w:pPr>
            <w:r>
              <w:rPr>
                <w:sz w:val="20"/>
                <w:szCs w:val="20"/>
              </w:rPr>
              <w:t>Proposal 12: For 6GR upper midband in at least around 7 GHz based on existing 5G mid-band site grid:</w:t>
            </w:r>
          </w:p>
          <w:p w14:paraId="06C44B03">
            <w:pPr>
              <w:pStyle w:val="63"/>
              <w:widowControl w:val="0"/>
              <w:numPr>
                <w:ilvl w:val="0"/>
                <w:numId w:val="37"/>
              </w:numPr>
              <w:autoSpaceDE w:val="0"/>
              <w:autoSpaceDN w:val="0"/>
              <w:spacing w:afterLines="50"/>
              <w:jc w:val="both"/>
              <w:rPr>
                <w:rFonts w:eastAsia="宋体"/>
                <w:sz w:val="20"/>
                <w:szCs w:val="20"/>
              </w:rPr>
            </w:pPr>
            <w:r>
              <w:rPr>
                <w:rFonts w:eastAsia="宋体"/>
                <w:sz w:val="20"/>
                <w:szCs w:val="20"/>
              </w:rPr>
              <w:t>The coverage range (distance in meters) is the most direct metric for coverage analysis.</w:t>
            </w:r>
          </w:p>
          <w:p w14:paraId="337E55FB">
            <w:pPr>
              <w:pStyle w:val="63"/>
              <w:widowControl w:val="0"/>
              <w:numPr>
                <w:ilvl w:val="0"/>
                <w:numId w:val="37"/>
              </w:numPr>
              <w:autoSpaceDE w:val="0"/>
              <w:autoSpaceDN w:val="0"/>
              <w:spacing w:afterLines="50"/>
              <w:jc w:val="both"/>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03906499">
            <w:pPr>
              <w:pStyle w:val="63"/>
              <w:widowControl w:val="0"/>
              <w:numPr>
                <w:ilvl w:val="1"/>
                <w:numId w:val="38"/>
              </w:numPr>
              <w:autoSpaceDE w:val="0"/>
              <w:autoSpaceDN w:val="0"/>
              <w:spacing w:afterLines="50"/>
              <w:jc w:val="both"/>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14:paraId="4852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AFD7198">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60" w:type="pct"/>
          </w:tcPr>
          <w:p w14:paraId="37FB8CB7">
            <w:pPr>
              <w:widowControl w:val="0"/>
              <w:autoSpaceDE w:val="0"/>
              <w:autoSpaceDN w:val="0"/>
              <w:spacing w:afterLines="50"/>
              <w:jc w:val="both"/>
              <w:rPr>
                <w:rFonts w:eastAsiaTheme="minorEastAsia"/>
                <w:bCs/>
                <w:i/>
                <w:sz w:val="20"/>
                <w:szCs w:val="20"/>
              </w:rPr>
            </w:pPr>
            <w:r>
              <w:rPr>
                <w:bCs/>
                <w:i/>
                <w:sz w:val="20"/>
                <w:szCs w:val="20"/>
              </w:rPr>
              <w:t>Proposal 12: Enhanced coverage should be supported in 6G first release.</w:t>
            </w:r>
          </w:p>
        </w:tc>
      </w:tr>
      <w:tr w14:paraId="2D64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5DEF5A2">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60" w:type="pct"/>
          </w:tcPr>
          <w:p w14:paraId="575ECC74">
            <w:pPr>
              <w:pStyle w:val="12"/>
              <w:widowControl w:val="0"/>
              <w:autoSpaceDE w:val="0"/>
              <w:autoSpaceDN w:val="0"/>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pPr>
              <w:pStyle w:val="12"/>
              <w:widowControl w:val="0"/>
              <w:autoSpaceDE w:val="0"/>
              <w:autoSpaceDN w:val="0"/>
              <w:spacing w:afterLines="50"/>
              <w:jc w:val="both"/>
              <w:rPr>
                <w:b w:val="0"/>
                <w:bCs w:val="0"/>
                <w:i/>
                <w:iCs/>
              </w:rPr>
            </w:pPr>
            <w:r>
              <w:rPr>
                <w:b w:val="0"/>
                <w:bCs w:val="0"/>
                <w:i/>
                <w:iCs/>
              </w:rPr>
              <w:t>Observation 2: Around 2.7 dB larger coverage gap required by 7.125GHz vs.2.5GHz than 8.4GHz vs. 3.3GHz.</w:t>
            </w:r>
          </w:p>
          <w:p w14:paraId="3F331034">
            <w:pPr>
              <w:pStyle w:val="12"/>
              <w:widowControl w:val="0"/>
              <w:autoSpaceDE w:val="0"/>
              <w:autoSpaceDN w:val="0"/>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pPr>
              <w:pStyle w:val="12"/>
              <w:widowControl w:val="0"/>
              <w:autoSpaceDE w:val="0"/>
              <w:autoSpaceDN w:val="0"/>
              <w:spacing w:afterLines="50"/>
              <w:jc w:val="both"/>
              <w:rPr>
                <w:rFonts w:eastAsiaTheme="minorEastAsia"/>
                <w:b w:val="0"/>
                <w:bCs w:val="0"/>
                <w:i/>
                <w:iCs/>
              </w:rPr>
            </w:pPr>
            <w:r>
              <w:rPr>
                <w:b w:val="0"/>
                <w:bCs w:val="0"/>
                <w:i/>
                <w:iCs/>
              </w:rPr>
              <w:t>Observation 4: There are large coverage gaps in ~7GHz band when co-site deployed with 5G mid-band.</w:t>
            </w:r>
          </w:p>
          <w:p w14:paraId="7DFD78FF">
            <w:pPr>
              <w:pStyle w:val="12"/>
              <w:widowControl w:val="0"/>
              <w:autoSpaceDE w:val="0"/>
              <w:autoSpaceDN w:val="0"/>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pPr>
              <w:pStyle w:val="63"/>
              <w:widowControl w:val="0"/>
              <w:numPr>
                <w:ilvl w:val="0"/>
                <w:numId w:val="39"/>
              </w:numPr>
              <w:overflowPunct w:val="0"/>
              <w:autoSpaceDE w:val="0"/>
              <w:autoSpaceDN w:val="0"/>
              <w:spacing w:afterLines="50"/>
              <w:jc w:val="both"/>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2ADA31B3">
            <w:pPr>
              <w:pStyle w:val="63"/>
              <w:widowControl w:val="0"/>
              <w:numPr>
                <w:ilvl w:val="0"/>
                <w:numId w:val="39"/>
              </w:numPr>
              <w:overflowPunct w:val="0"/>
              <w:autoSpaceDE w:val="0"/>
              <w:autoSpaceDN w:val="0"/>
              <w:spacing w:afterLines="50"/>
              <w:jc w:val="both"/>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7228C06">
            <w:pPr>
              <w:pStyle w:val="12"/>
              <w:widowControl w:val="0"/>
              <w:autoSpaceDE w:val="0"/>
              <w:autoSpaceDN w:val="0"/>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pPr>
              <w:pStyle w:val="12"/>
              <w:widowControl w:val="0"/>
              <w:autoSpaceDE w:val="0"/>
              <w:autoSpaceDN w:val="0"/>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33F6DC5B">
            <w:pPr>
              <w:pStyle w:val="63"/>
              <w:widowControl w:val="0"/>
              <w:numPr>
                <w:ilvl w:val="0"/>
                <w:numId w:val="39"/>
              </w:numPr>
              <w:overflowPunct w:val="0"/>
              <w:autoSpaceDE w:val="0"/>
              <w:autoSpaceDN w:val="0"/>
              <w:spacing w:afterLines="50"/>
              <w:jc w:val="both"/>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pPr>
              <w:pStyle w:val="12"/>
              <w:widowControl w:val="0"/>
              <w:autoSpaceDE w:val="0"/>
              <w:autoSpaceDN w:val="0"/>
              <w:spacing w:afterLines="50"/>
              <w:jc w:val="both"/>
              <w:rPr>
                <w:b w:val="0"/>
                <w:bCs w:val="0"/>
                <w:i/>
                <w:iCs/>
              </w:rPr>
            </w:pPr>
            <w:r>
              <w:rPr>
                <w:b w:val="0"/>
                <w:bCs w:val="0"/>
                <w:i/>
                <w:iCs/>
              </w:rPr>
              <w:t>Proposal 5: Non-ideal factors should be taken into account for coverage evaluation, at least including.</w:t>
            </w:r>
          </w:p>
          <w:p w14:paraId="103EF638">
            <w:pPr>
              <w:widowControl w:val="0"/>
              <w:numPr>
                <w:ilvl w:val="0"/>
                <w:numId w:val="40"/>
              </w:numPr>
              <w:overflowPunct w:val="0"/>
              <w:autoSpaceDE w:val="0"/>
              <w:autoSpaceDN w:val="0"/>
              <w:spacing w:afterLines="50"/>
              <w:jc w:val="both"/>
              <w:rPr>
                <w:i/>
                <w:iCs/>
                <w:sz w:val="20"/>
                <w:szCs w:val="20"/>
              </w:rPr>
            </w:pPr>
            <w:r>
              <w:rPr>
                <w:i/>
                <w:iCs/>
                <w:sz w:val="20"/>
                <w:szCs w:val="20"/>
              </w:rPr>
              <w:t>Coverage margin for handover in mobility scenario (e.g. 3 dB)</w:t>
            </w:r>
          </w:p>
          <w:p w14:paraId="5A786ABB">
            <w:pPr>
              <w:widowControl w:val="0"/>
              <w:numPr>
                <w:ilvl w:val="0"/>
                <w:numId w:val="40"/>
              </w:numPr>
              <w:overflowPunct w:val="0"/>
              <w:autoSpaceDE w:val="0"/>
              <w:autoSpaceDN w:val="0"/>
              <w:spacing w:afterLines="50"/>
              <w:jc w:val="both"/>
              <w:rPr>
                <w:i/>
                <w:iCs/>
                <w:sz w:val="20"/>
                <w:szCs w:val="20"/>
              </w:rPr>
            </w:pPr>
            <w:r>
              <w:rPr>
                <w:i/>
                <w:iCs/>
                <w:sz w:val="20"/>
                <w:szCs w:val="20"/>
              </w:rPr>
              <w:t>Coverage margin for Msg3 PUSCH retransmission used in NR mid-band</w:t>
            </w:r>
          </w:p>
          <w:p w14:paraId="58A35E1A">
            <w:pPr>
              <w:pStyle w:val="12"/>
              <w:widowControl w:val="0"/>
              <w:autoSpaceDE w:val="0"/>
              <w:autoSpaceDN w:val="0"/>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Style w:val="37"/>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4"/>
              <w:gridCol w:w="3690"/>
            </w:tblGrid>
            <w:tr w14:paraId="7257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2362" w:type="pct"/>
                  <w:shd w:val="clear" w:color="auto" w:fill="DDD9C4" w:themeFill="background2" w:themeFillShade="E6"/>
                  <w:tcMar>
                    <w:top w:w="0" w:type="dxa"/>
                    <w:left w:w="108" w:type="dxa"/>
                    <w:bottom w:w="0" w:type="dxa"/>
                    <w:right w:w="108" w:type="dxa"/>
                  </w:tcMar>
                  <w:vAlign w:val="center"/>
                </w:tcPr>
                <w:p w14:paraId="0E5DE0F1">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Parameters</w:t>
                  </w:r>
                </w:p>
              </w:tc>
              <w:tc>
                <w:tcPr>
                  <w:tcW w:w="2638" w:type="pct"/>
                  <w:shd w:val="clear" w:color="auto" w:fill="DDD9C4" w:themeFill="background2" w:themeFillShade="E6"/>
                  <w:vAlign w:val="center"/>
                </w:tcPr>
                <w:p w14:paraId="428B3AB1">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Values</w:t>
                  </w:r>
                </w:p>
              </w:tc>
            </w:tr>
            <w:tr w14:paraId="1823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62" w:type="pct"/>
                  <w:tcMar>
                    <w:top w:w="0" w:type="dxa"/>
                    <w:left w:w="108" w:type="dxa"/>
                    <w:bottom w:w="0" w:type="dxa"/>
                    <w:right w:w="108" w:type="dxa"/>
                  </w:tcMar>
                  <w:vAlign w:val="center"/>
                </w:tcPr>
                <w:p w14:paraId="21049245">
                  <w:pPr>
                    <w:spacing w:afterLines="50"/>
                    <w:ind w:left="44" w:leftChars="20"/>
                    <w:rPr>
                      <w:rFonts w:eastAsia="Batang"/>
                      <w:color w:val="000000" w:themeColor="text1"/>
                      <w:sz w:val="20"/>
                      <w:szCs w:val="20"/>
                      <w14:textFill>
                        <w14:solidFill>
                          <w14:schemeClr w14:val="tx1"/>
                        </w14:solidFill>
                      </w14:textFill>
                    </w:rPr>
                  </w:pPr>
                  <w:r>
                    <w:rPr>
                      <w:rFonts w:eastAsia="Batang"/>
                      <w:color w:val="000000" w:themeColor="text1"/>
                      <w:sz w:val="20"/>
                      <w:szCs w:val="20"/>
                      <w14:textFill>
                        <w14:solidFill>
                          <w14:schemeClr w14:val="tx1"/>
                        </w14:solidFill>
                      </w14:textFill>
                    </w:rPr>
                    <w:t>Channel model</w:t>
                  </w:r>
                </w:p>
              </w:tc>
              <w:tc>
                <w:tcPr>
                  <w:tcW w:w="2638" w:type="pct"/>
                  <w:vAlign w:val="center"/>
                </w:tcPr>
                <w:p w14:paraId="476C130B">
                  <w:pPr>
                    <w:spacing w:afterLines="50"/>
                    <w:ind w:left="44" w:leftChars="20"/>
                    <w:rPr>
                      <w:rFonts w:eastAsiaTheme="minorEastAsia"/>
                      <w:sz w:val="20"/>
                      <w:szCs w:val="20"/>
                    </w:rPr>
                  </w:pPr>
                  <w:r>
                    <w:rPr>
                      <w:rFonts w:eastAsia="Batang"/>
                      <w:sz w:val="20"/>
                      <w:szCs w:val="20"/>
                    </w:rPr>
                    <w:t>CDLB</w:t>
                  </w:r>
                </w:p>
              </w:tc>
            </w:tr>
            <w:tr w14:paraId="4624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2362" w:type="pct"/>
                  <w:tcMar>
                    <w:top w:w="0" w:type="dxa"/>
                    <w:left w:w="108" w:type="dxa"/>
                    <w:bottom w:w="0" w:type="dxa"/>
                    <w:right w:w="108" w:type="dxa"/>
                  </w:tcMar>
                  <w:vAlign w:val="center"/>
                </w:tcPr>
                <w:p w14:paraId="22100733">
                  <w:pPr>
                    <w:spacing w:afterLines="50"/>
                    <w:ind w:left="44" w:leftChars="20"/>
                    <w:rPr>
                      <w:rFonts w:eastAsia="Batang"/>
                      <w:sz w:val="20"/>
                      <w:szCs w:val="20"/>
                    </w:rPr>
                  </w:pPr>
                  <w:r>
                    <w:rPr>
                      <w:rFonts w:eastAsia="Batang"/>
                      <w:sz w:val="20"/>
                      <w:szCs w:val="20"/>
                    </w:rPr>
                    <w:t>UE speed</w:t>
                  </w:r>
                </w:p>
              </w:tc>
              <w:tc>
                <w:tcPr>
                  <w:tcW w:w="2638" w:type="pct"/>
                  <w:vAlign w:val="center"/>
                </w:tcPr>
                <w:p w14:paraId="5BF0F642">
                  <w:pPr>
                    <w:spacing w:afterLines="50"/>
                    <w:ind w:left="44" w:leftChars="20"/>
                    <w:rPr>
                      <w:rFonts w:eastAsia="Batang"/>
                      <w:sz w:val="20"/>
                      <w:szCs w:val="20"/>
                    </w:rPr>
                  </w:pPr>
                  <w:r>
                    <w:rPr>
                      <w:rFonts w:eastAsia="Batang"/>
                      <w:sz w:val="20"/>
                      <w:szCs w:val="20"/>
                    </w:rPr>
                    <w:t>3km/h</w:t>
                  </w:r>
                </w:p>
              </w:tc>
            </w:tr>
            <w:tr w14:paraId="1C6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Mar>
                    <w:top w:w="0" w:type="dxa"/>
                    <w:left w:w="108" w:type="dxa"/>
                    <w:bottom w:w="0" w:type="dxa"/>
                    <w:right w:w="108" w:type="dxa"/>
                  </w:tcMar>
                  <w:vAlign w:val="center"/>
                </w:tcPr>
                <w:p w14:paraId="74FDD38E">
                  <w:pPr>
                    <w:spacing w:afterLines="50"/>
                    <w:ind w:left="44" w:leftChars="20"/>
                    <w:rPr>
                      <w:rFonts w:eastAsia="Batang"/>
                      <w:sz w:val="20"/>
                      <w:szCs w:val="20"/>
                    </w:rPr>
                  </w:pPr>
                  <w:r>
                    <w:rPr>
                      <w:rFonts w:eastAsia="Batang"/>
                      <w:sz w:val="20"/>
                      <w:szCs w:val="20"/>
                    </w:rPr>
                    <w:t>Number of Rx antennas for CDL channel</w:t>
                  </w:r>
                </w:p>
              </w:tc>
              <w:tc>
                <w:tcPr>
                  <w:tcW w:w="2638" w:type="pct"/>
                  <w:vAlign w:val="center"/>
                </w:tcPr>
                <w:p w14:paraId="48A9F6BB">
                  <w:pPr>
                    <w:spacing w:afterLines="50"/>
                    <w:ind w:left="44" w:leftChars="20"/>
                    <w:rPr>
                      <w:rFonts w:eastAsia="Batang"/>
                      <w:sz w:val="20"/>
                      <w:szCs w:val="20"/>
                    </w:rPr>
                  </w:pPr>
                  <w:r>
                    <w:rPr>
                      <w:rFonts w:eastAsia="Batang"/>
                      <w:sz w:val="20"/>
                      <w:szCs w:val="20"/>
                    </w:rPr>
                    <w:t>mid-band: 64</w:t>
                  </w:r>
                </w:p>
                <w:p w14:paraId="3B6B3F6C">
                  <w:pPr>
                    <w:spacing w:afterLines="50"/>
                    <w:ind w:left="44" w:leftChars="20"/>
                    <w:rPr>
                      <w:rFonts w:eastAsia="Batang"/>
                      <w:sz w:val="20"/>
                      <w:szCs w:val="20"/>
                    </w:rPr>
                  </w:pPr>
                  <w:r>
                    <w:rPr>
                      <w:rFonts w:eastAsia="Batang"/>
                      <w:sz w:val="20"/>
                      <w:szCs w:val="20"/>
                    </w:rPr>
                    <w:t xml:space="preserve"> ~7GHz: 128</w:t>
                  </w:r>
                </w:p>
              </w:tc>
            </w:tr>
            <w:tr w14:paraId="064E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6A54EF">
                  <w:pPr>
                    <w:spacing w:afterLines="50"/>
                    <w:ind w:left="44" w:leftChars="20"/>
                    <w:rPr>
                      <w:rFonts w:eastAsia="Batang"/>
                      <w:sz w:val="20"/>
                      <w:szCs w:val="20"/>
                    </w:rPr>
                  </w:pPr>
                  <w:r>
                    <w:rPr>
                      <w:rFonts w:eastAsia="Batang"/>
                      <w:sz w:val="20"/>
                      <w:szCs w:val="20"/>
                    </w:rPr>
                    <w:t>Frequency hopping</w:t>
                  </w:r>
                </w:p>
              </w:tc>
              <w:tc>
                <w:tcPr>
                  <w:tcW w:w="2638" w:type="pct"/>
                  <w:tcBorders>
                    <w:top w:val="single" w:color="auto" w:sz="4" w:space="0"/>
                    <w:left w:val="single" w:color="auto" w:sz="4" w:space="0"/>
                    <w:bottom w:val="single" w:color="auto" w:sz="4" w:space="0"/>
                    <w:right w:val="single" w:color="auto" w:sz="4" w:space="0"/>
                  </w:tcBorders>
                  <w:vAlign w:val="center"/>
                </w:tcPr>
                <w:p w14:paraId="424904EE">
                  <w:pPr>
                    <w:spacing w:afterLines="50"/>
                    <w:ind w:left="44" w:leftChars="20"/>
                    <w:rPr>
                      <w:rFonts w:eastAsia="Batang"/>
                      <w:sz w:val="20"/>
                      <w:szCs w:val="20"/>
                    </w:rPr>
                  </w:pPr>
                  <w:r>
                    <w:rPr>
                      <w:rFonts w:eastAsia="Batang"/>
                      <w:sz w:val="20"/>
                      <w:szCs w:val="20"/>
                    </w:rPr>
                    <w:t>w/o frequency hopping</w:t>
                  </w:r>
                </w:p>
              </w:tc>
            </w:tr>
            <w:tr w14:paraId="5E25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5F4D41">
                  <w:pPr>
                    <w:spacing w:afterLines="50"/>
                    <w:ind w:left="44" w:leftChars="20"/>
                    <w:rPr>
                      <w:rFonts w:eastAsia="Batang"/>
                      <w:sz w:val="20"/>
                      <w:szCs w:val="20"/>
                    </w:rPr>
                  </w:pPr>
                  <w:r>
                    <w:rPr>
                      <w:rFonts w:eastAsia="Batang"/>
                      <w:sz w:val="20"/>
                      <w:szCs w:val="20"/>
                    </w:rPr>
                    <w:t>Number of UE transmit chains</w:t>
                  </w:r>
                </w:p>
              </w:tc>
              <w:tc>
                <w:tcPr>
                  <w:tcW w:w="2638" w:type="pct"/>
                  <w:tcBorders>
                    <w:top w:val="single" w:color="auto" w:sz="4" w:space="0"/>
                    <w:left w:val="single" w:color="auto" w:sz="4" w:space="0"/>
                    <w:bottom w:val="single" w:color="auto" w:sz="4" w:space="0"/>
                    <w:right w:val="single" w:color="auto" w:sz="4" w:space="0"/>
                  </w:tcBorders>
                  <w:vAlign w:val="center"/>
                </w:tcPr>
                <w:p w14:paraId="0F2373FC">
                  <w:pPr>
                    <w:spacing w:afterLines="50"/>
                    <w:ind w:left="44" w:leftChars="20"/>
                    <w:rPr>
                      <w:rFonts w:eastAsiaTheme="minorEastAsia"/>
                      <w:sz w:val="20"/>
                      <w:szCs w:val="20"/>
                    </w:rPr>
                  </w:pPr>
                  <w:r>
                    <w:rPr>
                      <w:rFonts w:eastAsiaTheme="minorEastAsia"/>
                      <w:sz w:val="20"/>
                      <w:szCs w:val="20"/>
                    </w:rPr>
                    <w:t>1</w:t>
                  </w:r>
                </w:p>
              </w:tc>
            </w:tr>
            <w:tr w14:paraId="1D3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6D6D80">
                  <w:pPr>
                    <w:spacing w:afterLines="50"/>
                    <w:ind w:left="44" w:leftChars="20"/>
                    <w:rPr>
                      <w:rFonts w:eastAsia="Batang"/>
                      <w:sz w:val="20"/>
                      <w:szCs w:val="20"/>
                    </w:rPr>
                  </w:pPr>
                  <w:r>
                    <w:rPr>
                      <w:rFonts w:eastAsia="Batang"/>
                      <w:sz w:val="20"/>
                      <w:szCs w:val="20"/>
                    </w:rPr>
                    <w:t>Number of DMRS symbol</w:t>
                  </w:r>
                </w:p>
              </w:tc>
              <w:tc>
                <w:tcPr>
                  <w:tcW w:w="2638" w:type="pct"/>
                  <w:tcBorders>
                    <w:top w:val="single" w:color="auto" w:sz="4" w:space="0"/>
                    <w:left w:val="single" w:color="auto" w:sz="4" w:space="0"/>
                    <w:bottom w:val="single" w:color="auto" w:sz="4" w:space="0"/>
                    <w:right w:val="single" w:color="auto" w:sz="4" w:space="0"/>
                  </w:tcBorders>
                  <w:vAlign w:val="center"/>
                </w:tcPr>
                <w:p w14:paraId="050EA0D2">
                  <w:pPr>
                    <w:spacing w:afterLines="50"/>
                    <w:ind w:left="44" w:leftChars="20"/>
                    <w:rPr>
                      <w:rFonts w:eastAsia="Batang"/>
                      <w:sz w:val="20"/>
                      <w:szCs w:val="20"/>
                    </w:rPr>
                  </w:pPr>
                  <w:r>
                    <w:rPr>
                      <w:rFonts w:eastAsia="Batang"/>
                      <w:sz w:val="20"/>
                      <w:szCs w:val="20"/>
                    </w:rPr>
                    <w:t>3</w:t>
                  </w:r>
                </w:p>
              </w:tc>
            </w:tr>
            <w:tr w14:paraId="742A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6A8FF3">
                  <w:pPr>
                    <w:spacing w:afterLines="50"/>
                    <w:ind w:left="44" w:leftChars="20"/>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color="auto" w:sz="4" w:space="0"/>
                    <w:left w:val="single" w:color="auto" w:sz="4" w:space="0"/>
                    <w:bottom w:val="single" w:color="auto" w:sz="4" w:space="0"/>
                    <w:right w:val="single" w:color="auto" w:sz="4" w:space="0"/>
                  </w:tcBorders>
                  <w:vAlign w:val="center"/>
                </w:tcPr>
                <w:p w14:paraId="552128E1">
                  <w:pPr>
                    <w:spacing w:afterLines="50"/>
                    <w:ind w:left="44" w:leftChars="20"/>
                    <w:rPr>
                      <w:rFonts w:eastAsia="Batang"/>
                      <w:sz w:val="20"/>
                      <w:szCs w:val="20"/>
                    </w:rPr>
                  </w:pPr>
                  <w:r>
                    <w:rPr>
                      <w:rFonts w:eastAsia="Batang"/>
                      <w:sz w:val="20"/>
                      <w:szCs w:val="20"/>
                    </w:rPr>
                    <w:t>14 OS</w:t>
                  </w:r>
                </w:p>
              </w:tc>
            </w:tr>
            <w:tr w14:paraId="5502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B96235">
                  <w:pPr>
                    <w:spacing w:afterLines="50"/>
                    <w:ind w:left="44" w:leftChars="20"/>
                    <w:rPr>
                      <w:rFonts w:eastAsia="Batang"/>
                      <w:sz w:val="20"/>
                      <w:szCs w:val="20"/>
                    </w:rPr>
                  </w:pPr>
                  <w:r>
                    <w:rPr>
                      <w:rFonts w:eastAsia="Batang"/>
                      <w:sz w:val="20"/>
                      <w:szCs w:val="20"/>
                    </w:rPr>
                    <w:t>Number of PRBs</w:t>
                  </w:r>
                </w:p>
              </w:tc>
              <w:tc>
                <w:tcPr>
                  <w:tcW w:w="2638" w:type="pct"/>
                  <w:tcBorders>
                    <w:top w:val="single" w:color="auto" w:sz="4" w:space="0"/>
                    <w:left w:val="single" w:color="auto" w:sz="4" w:space="0"/>
                    <w:bottom w:val="single" w:color="auto" w:sz="4" w:space="0"/>
                    <w:right w:val="single" w:color="auto" w:sz="4" w:space="0"/>
                  </w:tcBorders>
                  <w:vAlign w:val="center"/>
                </w:tcPr>
                <w:p w14:paraId="55F938BC">
                  <w:pPr>
                    <w:spacing w:afterLines="50"/>
                    <w:ind w:left="44" w:leftChars="20"/>
                    <w:rPr>
                      <w:rFonts w:eastAsia="Batang"/>
                      <w:sz w:val="20"/>
                      <w:szCs w:val="20"/>
                    </w:rPr>
                  </w:pPr>
                  <w:r>
                    <w:rPr>
                      <w:rFonts w:eastAsia="Batang"/>
                      <w:sz w:val="20"/>
                      <w:szCs w:val="20"/>
                    </w:rPr>
                    <w:t>2</w:t>
                  </w:r>
                </w:p>
              </w:tc>
            </w:tr>
            <w:tr w14:paraId="43AA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5AC572">
                  <w:pPr>
                    <w:spacing w:afterLines="50"/>
                    <w:ind w:left="44" w:leftChars="20"/>
                    <w:rPr>
                      <w:rFonts w:eastAsia="Batang"/>
                      <w:sz w:val="20"/>
                      <w:szCs w:val="20"/>
                    </w:rPr>
                  </w:pPr>
                  <w:r>
                    <w:rPr>
                      <w:rFonts w:eastAsia="Batang"/>
                      <w:sz w:val="20"/>
                      <w:szCs w:val="20"/>
                    </w:rPr>
                    <w:t>TBS</w:t>
                  </w:r>
                </w:p>
              </w:tc>
              <w:tc>
                <w:tcPr>
                  <w:tcW w:w="2638" w:type="pct"/>
                  <w:tcBorders>
                    <w:top w:val="single" w:color="auto" w:sz="4" w:space="0"/>
                    <w:left w:val="single" w:color="auto" w:sz="4" w:space="0"/>
                    <w:bottom w:val="single" w:color="auto" w:sz="4" w:space="0"/>
                    <w:right w:val="single" w:color="auto" w:sz="4" w:space="0"/>
                  </w:tcBorders>
                  <w:vAlign w:val="center"/>
                </w:tcPr>
                <w:p w14:paraId="2D557D08">
                  <w:pPr>
                    <w:spacing w:afterLines="50"/>
                    <w:ind w:left="44" w:leftChars="20"/>
                    <w:rPr>
                      <w:rFonts w:eastAsia="Batang"/>
                      <w:sz w:val="20"/>
                      <w:szCs w:val="20"/>
                    </w:rPr>
                  </w:pPr>
                  <w:r>
                    <w:rPr>
                      <w:rFonts w:eastAsia="Batang"/>
                      <w:sz w:val="20"/>
                      <w:szCs w:val="20"/>
                    </w:rPr>
                    <w:t>56 bits</w:t>
                  </w:r>
                </w:p>
              </w:tc>
            </w:tr>
            <w:tr w14:paraId="2D57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51739B">
                  <w:pPr>
                    <w:spacing w:afterLines="50"/>
                    <w:ind w:left="44" w:leftChars="20"/>
                    <w:rPr>
                      <w:rFonts w:eastAsiaTheme="minorEastAsia"/>
                      <w:sz w:val="20"/>
                      <w:szCs w:val="20"/>
                    </w:rPr>
                  </w:pPr>
                  <w:r>
                    <w:rPr>
                      <w:rFonts w:eastAsiaTheme="minorEastAsia"/>
                      <w:sz w:val="20"/>
                      <w:szCs w:val="20"/>
                    </w:rPr>
                    <w:t>Number of receiving beams</w:t>
                  </w:r>
                </w:p>
              </w:tc>
              <w:tc>
                <w:tcPr>
                  <w:tcW w:w="2638" w:type="pct"/>
                  <w:tcBorders>
                    <w:top w:val="single" w:color="auto" w:sz="4" w:space="0"/>
                    <w:left w:val="single" w:color="auto" w:sz="4" w:space="0"/>
                    <w:bottom w:val="single" w:color="auto" w:sz="4" w:space="0"/>
                    <w:right w:val="single" w:color="auto" w:sz="4" w:space="0"/>
                  </w:tcBorders>
                  <w:vAlign w:val="center"/>
                </w:tcPr>
                <w:p w14:paraId="38CD0C27">
                  <w:pPr>
                    <w:spacing w:afterLines="50"/>
                    <w:ind w:left="44" w:leftChars="20"/>
                    <w:rPr>
                      <w:rFonts w:eastAsiaTheme="minorEastAsia"/>
                      <w:sz w:val="20"/>
                      <w:szCs w:val="20"/>
                    </w:rPr>
                  </w:pPr>
                  <w:r>
                    <w:rPr>
                      <w:rFonts w:eastAsiaTheme="minorEastAsia"/>
                      <w:sz w:val="20"/>
                      <w:szCs w:val="20"/>
                    </w:rPr>
                    <w:t>32</w:t>
                  </w:r>
                </w:p>
              </w:tc>
            </w:tr>
          </w:tbl>
          <w:p w14:paraId="40F081D8">
            <w:pPr>
              <w:pStyle w:val="12"/>
              <w:widowControl w:val="0"/>
              <w:autoSpaceDE w:val="0"/>
              <w:autoSpaceDN w:val="0"/>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pPr>
              <w:pStyle w:val="12"/>
              <w:widowControl w:val="0"/>
              <w:autoSpaceDE w:val="0"/>
              <w:autoSpaceDN w:val="0"/>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58228CF">
            <w:pPr>
              <w:pStyle w:val="63"/>
              <w:widowControl w:val="0"/>
              <w:numPr>
                <w:ilvl w:val="0"/>
                <w:numId w:val="41"/>
              </w:numPr>
              <w:overflowPunct w:val="0"/>
              <w:autoSpaceDE w:val="0"/>
              <w:autoSpaceDN w:val="0"/>
              <w:spacing w:afterLines="50"/>
              <w:jc w:val="both"/>
              <w:textAlignment w:val="baseline"/>
              <w:rPr>
                <w:sz w:val="20"/>
                <w:szCs w:val="20"/>
              </w:rPr>
            </w:pPr>
            <w:r>
              <w:rPr>
                <w:rFonts w:eastAsiaTheme="minorEastAsia"/>
                <w:i/>
                <w:sz w:val="20"/>
                <w:szCs w:val="20"/>
              </w:rPr>
              <w:t>Additional coverage margin can be further discussed and accounted.</w:t>
            </w:r>
          </w:p>
        </w:tc>
      </w:tr>
      <w:tr w14:paraId="6618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2CFCE5BA">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60" w:type="pct"/>
          </w:tcPr>
          <w:p w14:paraId="7D05E469">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14:paraId="3781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F6CD8E8">
            <w:pPr>
              <w:widowControl w:val="0"/>
              <w:autoSpaceDE w:val="0"/>
              <w:autoSpaceDN w:val="0"/>
              <w:spacing w:afterLines="50"/>
              <w:jc w:val="both"/>
              <w:rPr>
                <w:rFonts w:eastAsiaTheme="minorEastAsia"/>
                <w:iCs/>
                <w:sz w:val="20"/>
                <w:szCs w:val="20"/>
              </w:rPr>
            </w:pPr>
            <w:r>
              <w:rPr>
                <w:rFonts w:eastAsiaTheme="minorEastAsia"/>
                <w:iCs/>
                <w:sz w:val="20"/>
                <w:szCs w:val="20"/>
              </w:rPr>
              <w:t>Lenovo</w:t>
            </w:r>
          </w:p>
        </w:tc>
        <w:tc>
          <w:tcPr>
            <w:tcW w:w="3860" w:type="pct"/>
          </w:tcPr>
          <w:p w14:paraId="11248EE1">
            <w:pPr>
              <w:widowControl/>
              <w:autoSpaceDE w:val="0"/>
              <w:autoSpaceDN w:val="0"/>
              <w:spacing w:afterLines="50"/>
              <w:jc w:val="left"/>
              <w:rPr>
                <w:rFonts w:eastAsiaTheme="minorEastAsia"/>
                <w:b/>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 xml:space="preserve">Observation </w:t>
            </w:r>
            <w:r>
              <w:rPr>
                <w:rFonts w:eastAsia="等线"/>
                <w:b/>
                <w:bCs/>
                <w:color w:val="000000" w:themeColor="text1"/>
                <w:sz w:val="20"/>
                <w:szCs w:val="20"/>
                <w:u w:val="single"/>
                <w14:textFill>
                  <w14:solidFill>
                    <w14:schemeClr w14:val="tx1"/>
                  </w14:solidFill>
                </w14:textFill>
              </w:rPr>
              <w:t>1</w:t>
            </w:r>
            <w:r>
              <w:rPr>
                <w:rFonts w:eastAsia="Calibri"/>
                <w:b/>
                <w:bCs/>
                <w:color w:val="000000" w:themeColor="text1"/>
                <w:sz w:val="20"/>
                <w:szCs w:val="20"/>
                <w:u w:val="single"/>
                <w:lang w:eastAsia="ja-JP"/>
                <w14:textFill>
                  <w14:solidFill>
                    <w14:schemeClr w14:val="tx1"/>
                  </w14:solidFill>
                </w14:textFill>
              </w:rPr>
              <w:t>:</w:t>
            </w:r>
            <w:r>
              <w:rPr>
                <w:rFonts w:eastAsia="Calibri"/>
                <w:b/>
                <w:bCs/>
                <w:color w:val="000000" w:themeColor="text1"/>
                <w:sz w:val="20"/>
                <w:szCs w:val="20"/>
                <w:lang w:eastAsia="ja-JP"/>
                <w14:textFill>
                  <w14:solidFill>
                    <w14:schemeClr w14:val="tx1"/>
                  </w14:solidFill>
                </w14:textFill>
              </w:rPr>
              <w:t xml:space="preserve"> In a </w:t>
            </w:r>
            <w:r>
              <w:rPr>
                <w:b/>
                <w:color w:val="000000" w:themeColor="text1"/>
                <w:sz w:val="20"/>
                <w:szCs w:val="20"/>
                <w14:textFill>
                  <w14:solidFill>
                    <w14:schemeClr w14:val="tx1"/>
                  </w14:solidFill>
                </w14:textFill>
              </w:rPr>
              <w:t>co-sited deployment</w:t>
            </w:r>
            <w:r>
              <w:rPr>
                <w:rFonts w:eastAsia="Calibri"/>
                <w:b/>
                <w:bCs/>
                <w:color w:val="000000" w:themeColor="text1"/>
                <w:sz w:val="20"/>
                <w:szCs w:val="20"/>
                <w:lang w:eastAsia="ja-JP"/>
                <w14:textFill>
                  <w14:solidFill>
                    <w14:schemeClr w14:val="tx1"/>
                  </w14:solidFill>
                </w14:textFill>
              </w:rPr>
              <w:t xml:space="preserve">, a 7.5 GHz site with 768 antenna elements can provide similar Msg3 coverage to a 3.5 GHz site with 192 </w:t>
            </w:r>
            <w:r>
              <w:rPr>
                <w:b/>
                <w:color w:val="000000" w:themeColor="text1"/>
                <w:sz w:val="20"/>
                <w:szCs w:val="20"/>
                <w14:textFill>
                  <w14:solidFill>
                    <w14:schemeClr w14:val="tx1"/>
                  </w14:solidFill>
                </w14:textFill>
              </w:rPr>
              <w:t xml:space="preserve">antenna elements </w:t>
            </w:r>
            <w:r>
              <w:rPr>
                <w:rFonts w:eastAsia="Calibri"/>
                <w:b/>
                <w:bCs/>
                <w:color w:val="000000" w:themeColor="text1"/>
                <w:sz w:val="20"/>
                <w:szCs w:val="20"/>
                <w:lang w:eastAsia="ja-JP"/>
                <w14:textFill>
                  <w14:solidFill>
                    <w14:schemeClr w14:val="tx1"/>
                  </w14:solidFill>
                </w14:textFill>
              </w:rPr>
              <w:t>for MPL values</w:t>
            </w:r>
            <w:r>
              <w:rPr>
                <w:b/>
                <w:color w:val="000000" w:themeColor="text1"/>
                <w:sz w:val="20"/>
                <w:szCs w:val="20"/>
                <w14:textFill>
                  <w14:solidFill>
                    <w14:schemeClr w14:val="tx1"/>
                  </w14:solidFill>
                </w14:textFill>
              </w:rPr>
              <w:t xml:space="preserve"> in </w:t>
            </w:r>
            <w:r>
              <w:rPr>
                <w:rFonts w:eastAsia="Calibri"/>
                <w:b/>
                <w:bCs/>
                <w:color w:val="000000" w:themeColor="text1"/>
                <w:sz w:val="20"/>
                <w:szCs w:val="20"/>
                <w:lang w:eastAsia="ja-JP"/>
                <w14:textFill>
                  <w14:solidFill>
                    <w14:schemeClr w14:val="tx1"/>
                  </w14:solidFill>
                </w14:textFill>
              </w:rPr>
              <w:t>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147–153</w:t>
            </w:r>
            <w:r>
              <w:rPr>
                <w:b/>
                <w:color w:val="000000" w:themeColor="text1"/>
                <w:sz w:val="20"/>
                <w:szCs w:val="20"/>
                <w14:textFill>
                  <w14:solidFill>
                    <w14:schemeClr w14:val="tx1"/>
                  </w14:solidFill>
                </w14:textFill>
              </w:rPr>
              <w:t xml:space="preserve"> dB</w:t>
            </w:r>
            <w:r>
              <w:rPr>
                <w:rFonts w:eastAsia="Calibri"/>
                <w:b/>
                <w:bCs/>
                <w:color w:val="000000" w:themeColor="text1"/>
                <w:sz w:val="20"/>
                <w:szCs w:val="20"/>
                <w:lang w:eastAsia="ja-JP"/>
                <w14:textFill>
                  <w14:solidFill>
                    <w14:schemeClr w14:val="tx1"/>
                  </w14:solidFill>
                </w14:textFill>
              </w:rPr>
              <w:t xml:space="preserve"> and MIL values in 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164–170</w:t>
            </w:r>
            <w:r>
              <w:rPr>
                <w:b/>
                <w:color w:val="000000" w:themeColor="text1"/>
                <w:sz w:val="20"/>
                <w:szCs w:val="20"/>
                <w14:textFill>
                  <w14:solidFill>
                    <w14:schemeClr w14:val="tx1"/>
                  </w14:solidFill>
                </w14:textFill>
              </w:rPr>
              <w:t xml:space="preserve"> dB.</w:t>
            </w:r>
          </w:p>
          <w:p w14:paraId="6727D64D">
            <w:pPr>
              <w:widowControl w:val="0"/>
              <w:autoSpaceDE w:val="0"/>
              <w:autoSpaceDN w:val="0"/>
              <w:spacing w:afterLines="50"/>
              <w:jc w:val="both"/>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678AC404">
            <w:pPr>
              <w:widowControl w:val="0"/>
              <w:autoSpaceDE w:val="0"/>
              <w:autoSpaceDN w:val="0"/>
              <w:spacing w:afterLines="50"/>
              <w:jc w:val="both"/>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518EACC3">
            <w:pPr>
              <w:pStyle w:val="63"/>
              <w:widowControl/>
              <w:numPr>
                <w:ilvl w:val="0"/>
                <w:numId w:val="42"/>
              </w:numPr>
              <w:autoSpaceDE w:val="0"/>
              <w:autoSpaceDN w:val="0"/>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6986907A">
            <w:pPr>
              <w:pStyle w:val="63"/>
              <w:widowControl/>
              <w:numPr>
                <w:ilvl w:val="0"/>
                <w:numId w:val="42"/>
              </w:numPr>
              <w:autoSpaceDE w:val="0"/>
              <w:autoSpaceDN w:val="0"/>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600520A">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w:t>
            </w:r>
            <w:r>
              <w:rPr>
                <w:rFonts w:eastAsia="Calibri"/>
                <w:b/>
                <w:bCs/>
                <w:color w:val="000000" w:themeColor="text1"/>
                <w:sz w:val="20"/>
                <w:szCs w:val="20"/>
                <w:u w:val="single"/>
                <w14:textFill>
                  <w14:solidFill>
                    <w14:schemeClr w14:val="tx1"/>
                  </w14:solidFill>
                </w14:textFill>
              </w:rPr>
              <w:t xml:space="preserve">roposal </w:t>
            </w:r>
            <w:r>
              <w:rPr>
                <w:rFonts w:eastAsia="等线"/>
                <w:b/>
                <w:bCs/>
                <w:color w:val="000000" w:themeColor="text1"/>
                <w:sz w:val="20"/>
                <w:szCs w:val="20"/>
                <w:u w:val="single"/>
                <w14:textFill>
                  <w14:solidFill>
                    <w14:schemeClr w14:val="tx1"/>
                  </w14:solidFill>
                </w14:textFill>
              </w:rPr>
              <w:t>4</w:t>
            </w:r>
            <w:r>
              <w:rPr>
                <w:rFonts w:eastAsia="Calibri"/>
                <w:b/>
                <w:bCs/>
                <w:color w:val="000000" w:themeColor="text1"/>
                <w:sz w:val="20"/>
                <w:szCs w:val="20"/>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Coverage enhancement features developed in 5G NR could be as starting point for 6G coverage enhancement study.</w:t>
            </w:r>
          </w:p>
          <w:p w14:paraId="2DC9F321">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Observation 3</w:t>
            </w:r>
            <w:r>
              <w:rPr>
                <w:rFonts w:eastAsia="Calibri"/>
                <w:b/>
                <w:bCs/>
                <w:color w:val="000000" w:themeColor="text1"/>
                <w:sz w:val="20"/>
                <w:szCs w:val="20"/>
                <w:lang w:eastAsia="ja-JP"/>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To avoid the complexity arising from channel-specific repetition mechanisms in 5G NR, 6G is expected to adopt a unified design for coverage enhancement.</w:t>
            </w:r>
          </w:p>
        </w:tc>
      </w:tr>
      <w:tr w14:paraId="43E3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53626FF3">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60" w:type="pct"/>
          </w:tcPr>
          <w:p w14:paraId="28B31623">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21</w:t>
            </w:r>
            <w:r>
              <w:rPr>
                <w:b/>
                <w:bCs/>
                <w:sz w:val="20"/>
                <w:szCs w:val="20"/>
                <w:lang w:eastAsia="ko-KR"/>
              </w:rPr>
              <w:tab/>
            </w:r>
            <w:r>
              <w:rPr>
                <w:b/>
                <w:bCs/>
                <w:sz w:val="20"/>
                <w:szCs w:val="20"/>
                <w:lang w:eastAsia="ko-KR"/>
              </w:rPr>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79650A90">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22</w:t>
            </w:r>
            <w:r>
              <w:rPr>
                <w:b/>
                <w:bCs/>
                <w:sz w:val="20"/>
                <w:szCs w:val="20"/>
                <w:lang w:eastAsia="ko-KR"/>
              </w:rPr>
              <w:tab/>
            </w:r>
            <w:r>
              <w:rPr>
                <w:b/>
                <w:bCs/>
                <w:sz w:val="20"/>
                <w:szCs w:val="20"/>
                <w:lang w:eastAsia="ko-KR"/>
              </w:rPr>
              <w:t>Define the reference lower</w:t>
            </w:r>
            <w:r>
              <w:rPr>
                <w:b/>
                <w:bCs/>
                <w:sz w:val="20"/>
                <w:szCs w:val="20"/>
                <w:lang w:eastAsia="ko-KR"/>
              </w:rPr>
              <w:noBreakHyphen/>
            </w:r>
            <w:r>
              <w:rPr>
                <w:b/>
                <w:bCs/>
                <w:sz w:val="20"/>
                <w:szCs w:val="20"/>
                <w:lang w:eastAsia="ko-KR"/>
              </w:rPr>
              <w:t>band (e.g., 3.5 or 4 GHz) when targeting 7 GHz coverage equivalence and study the required schemes (e.g., beamforming or repetition gain).</w:t>
            </w:r>
          </w:p>
          <w:p w14:paraId="026DA86E">
            <w:pPr>
              <w:widowControl w:val="0"/>
              <w:autoSpaceDE w:val="0"/>
              <w:autoSpaceDN w:val="0"/>
              <w:spacing w:afterLines="50"/>
              <w:ind w:left="1200" w:hanging="1201" w:hangingChars="600"/>
              <w:jc w:val="both"/>
              <w:rPr>
                <w:rFonts w:eastAsiaTheme="minorEastAsia"/>
                <w:b/>
                <w:bCs/>
                <w:sz w:val="20"/>
                <w:szCs w:val="20"/>
              </w:rPr>
            </w:pPr>
            <w:r>
              <w:rPr>
                <w:b/>
                <w:bCs/>
                <w:sz w:val="20"/>
                <w:szCs w:val="20"/>
                <w:lang w:eastAsia="ko-KR"/>
              </w:rPr>
              <w:t>Proposal 23</w:t>
            </w:r>
            <w:r>
              <w:rPr>
                <w:b/>
                <w:bCs/>
                <w:sz w:val="20"/>
                <w:szCs w:val="20"/>
                <w:lang w:eastAsia="ko-KR"/>
              </w:rPr>
              <w:tab/>
            </w:r>
            <w:r>
              <w:rPr>
                <w:b/>
                <w:bCs/>
                <w:sz w:val="20"/>
                <w:szCs w:val="20"/>
                <w:lang w:eastAsia="ko-KR"/>
              </w:rPr>
              <w:t>For target coverage in NTN, the CNR as defined in TR38.821 is considered as a baseline</w:t>
            </w:r>
            <w:r>
              <w:rPr>
                <w:b/>
                <w:bCs/>
                <w:sz w:val="20"/>
                <w:szCs w:val="20"/>
              </w:rPr>
              <w:t xml:space="preserve">.  </w:t>
            </w:r>
          </w:p>
        </w:tc>
      </w:tr>
      <w:tr w14:paraId="3EAD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496531">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14:paraId="146446CE">
            <w:pPr>
              <w:widowControl w:val="0"/>
              <w:autoSpaceDE w:val="0"/>
              <w:autoSpaceDN w:val="0"/>
              <w:spacing w:afterLines="50"/>
              <w:jc w:val="both"/>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3729E16A">
            <w:pPr>
              <w:widowControl w:val="0"/>
              <w:autoSpaceDE w:val="0"/>
              <w:autoSpaceDN w:val="0"/>
              <w:spacing w:afterLines="50"/>
              <w:jc w:val="both"/>
              <w:rPr>
                <w:b/>
                <w:bCs/>
                <w:sz w:val="20"/>
                <w:szCs w:val="20"/>
              </w:rPr>
            </w:pPr>
            <w:r>
              <w:rPr>
                <w:b/>
                <w:bCs/>
                <w:sz w:val="20"/>
                <w:szCs w:val="20"/>
                <w:u w:val="single"/>
              </w:rPr>
              <w:t>Proposal 23</w:t>
            </w:r>
            <w:r>
              <w:rPr>
                <w:b/>
                <w:bCs/>
                <w:sz w:val="20"/>
                <w:szCs w:val="20"/>
              </w:rPr>
              <w:t xml:space="preserve">: Discuss the following Observation: </w:t>
            </w:r>
          </w:p>
          <w:p w14:paraId="5CB9766C">
            <w:pPr>
              <w:pStyle w:val="63"/>
              <w:widowControl w:val="0"/>
              <w:numPr>
                <w:ilvl w:val="0"/>
                <w:numId w:val="43"/>
              </w:numPr>
              <w:autoSpaceDE w:val="0"/>
              <w:autoSpaceDN w:val="0"/>
              <w:spacing w:afterLines="50"/>
              <w:jc w:val="both"/>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pPr>
              <w:widowControl w:val="0"/>
              <w:autoSpaceDE w:val="0"/>
              <w:autoSpaceDN w:val="0"/>
              <w:spacing w:afterLines="50"/>
              <w:jc w:val="both"/>
              <w:rPr>
                <w:b/>
                <w:bCs/>
                <w:sz w:val="20"/>
                <w:szCs w:val="20"/>
              </w:rPr>
            </w:pPr>
            <w:r>
              <w:rPr>
                <w:b/>
                <w:bCs/>
                <w:sz w:val="20"/>
                <w:szCs w:val="20"/>
                <w:u w:val="single"/>
              </w:rPr>
              <w:t>Proposal 24</w:t>
            </w:r>
            <w:r>
              <w:rPr>
                <w:b/>
                <w:bCs/>
                <w:sz w:val="20"/>
                <w:szCs w:val="20"/>
              </w:rPr>
              <w:t xml:space="preserve">: Discuss the following Observation: </w:t>
            </w:r>
          </w:p>
          <w:p w14:paraId="3C54EA6E">
            <w:pPr>
              <w:pStyle w:val="63"/>
              <w:widowControl w:val="0"/>
              <w:numPr>
                <w:ilvl w:val="0"/>
                <w:numId w:val="44"/>
              </w:numPr>
              <w:autoSpaceDE w:val="0"/>
              <w:autoSpaceDN w:val="0"/>
              <w:spacing w:afterLines="50"/>
              <w:jc w:val="both"/>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pPr>
              <w:widowControl w:val="0"/>
              <w:autoSpaceDE w:val="0"/>
              <w:autoSpaceDN w:val="0"/>
              <w:spacing w:afterLines="50"/>
              <w:jc w:val="both"/>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2BBEE2E">
            <w:pPr>
              <w:widowControl w:val="0"/>
              <w:autoSpaceDE w:val="0"/>
              <w:autoSpaceDN w:val="0"/>
              <w:spacing w:afterLines="50"/>
              <w:jc w:val="both"/>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14:paraId="3BBF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5BF2339">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60" w:type="pct"/>
          </w:tcPr>
          <w:p w14:paraId="4096D912">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7.1:</w:t>
            </w:r>
            <w:r>
              <w:rPr>
                <w:i/>
                <w:iCs/>
                <w:color w:val="000000" w:themeColor="text1"/>
                <w:sz w:val="20"/>
                <w:szCs w:val="20"/>
                <w14:textFill>
                  <w14:solidFill>
                    <w14:schemeClr w14:val="tx1"/>
                  </w14:solidFill>
                </w14:textFill>
              </w:rPr>
              <w:t xml:space="preserve"> Candidate 1 link budget table is used as part of the analysis of the coverage of 6GR data channels around 7 GHz when re-using same site grid as for 5G mid-band (~3.5 GHz).</w:t>
            </w:r>
          </w:p>
          <w:p w14:paraId="70B71C25">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7.2:</w:t>
            </w:r>
            <w:r>
              <w:rPr>
                <w:i/>
                <w:iCs/>
                <w:color w:val="000000" w:themeColor="text1"/>
                <w:sz w:val="20"/>
                <w:szCs w:val="20"/>
                <w14:textFill>
                  <w14:solidFill>
                    <w14:schemeClr w14:val="tx1"/>
                  </w14:solidFill>
                </w14:textFill>
              </w:rPr>
              <w:t xml:space="preserve"> Candidate 2 link budget table is used for the analysis of overall coverage target of 6GR (MaxCL).</w:t>
            </w:r>
          </w:p>
        </w:tc>
      </w:tr>
      <w:tr w14:paraId="1863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70DE1B9">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60" w:type="pct"/>
          </w:tcPr>
          <w:p w14:paraId="4E703321">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1665BAB">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7CB71AB">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25EC4F5">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B6BA21">
            <w:pPr>
              <w:pStyle w:val="63"/>
              <w:widowControl w:val="0"/>
              <w:numPr>
                <w:ilvl w:val="1"/>
                <w:numId w:val="45"/>
              </w:numPr>
              <w:autoSpaceDE w:val="0"/>
              <w:autoSpaceDN w:val="0"/>
              <w:spacing w:afterLines="50"/>
              <w:jc w:val="both"/>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250F56A3">
            <w:pPr>
              <w:pStyle w:val="63"/>
              <w:widowControl w:val="0"/>
              <w:numPr>
                <w:ilvl w:val="2"/>
                <w:numId w:val="45"/>
              </w:numPr>
              <w:autoSpaceDE w:val="0"/>
              <w:autoSpaceDN w:val="0"/>
              <w:spacing w:afterLines="50"/>
              <w:jc w:val="both"/>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587B6C1A">
            <w:pPr>
              <w:pStyle w:val="63"/>
              <w:widowControl w:val="0"/>
              <w:numPr>
                <w:ilvl w:val="2"/>
                <w:numId w:val="45"/>
              </w:numPr>
              <w:autoSpaceDE w:val="0"/>
              <w:autoSpaceDN w:val="0"/>
              <w:spacing w:afterLines="50"/>
              <w:jc w:val="both"/>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19E59D47">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18CF715B">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4DEB631F">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5A46732D">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w:t>
            </w:r>
          </w:p>
          <w:p w14:paraId="5BBD7A29">
            <w:pPr>
              <w:pStyle w:val="63"/>
              <w:widowControl w:val="0"/>
              <w:numPr>
                <w:ilvl w:val="1"/>
                <w:numId w:val="45"/>
              </w:numPr>
              <w:autoSpaceDE w:val="0"/>
              <w:autoSpaceDN w:val="0"/>
              <w:spacing w:afterLines="50"/>
              <w:jc w:val="both"/>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0F04578E">
            <w:pPr>
              <w:pStyle w:val="63"/>
              <w:widowControl w:val="0"/>
              <w:numPr>
                <w:ilvl w:val="1"/>
                <w:numId w:val="45"/>
              </w:numPr>
              <w:autoSpaceDE w:val="0"/>
              <w:autoSpaceDN w:val="0"/>
              <w:spacing w:afterLines="50"/>
              <w:jc w:val="both"/>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6B1E6088">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076A31BA">
            <w:pPr>
              <w:pStyle w:val="63"/>
              <w:widowControl w:val="0"/>
              <w:numPr>
                <w:ilvl w:val="0"/>
                <w:numId w:val="45"/>
              </w:numPr>
              <w:autoSpaceDE w:val="0"/>
              <w:autoSpaceDN w:val="0"/>
              <w:spacing w:afterLines="50"/>
              <w:jc w:val="both"/>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10026AD7">
            <w:pPr>
              <w:pStyle w:val="63"/>
              <w:widowControl w:val="0"/>
              <w:numPr>
                <w:ilvl w:val="1"/>
                <w:numId w:val="45"/>
              </w:numPr>
              <w:autoSpaceDE w:val="0"/>
              <w:autoSpaceDN w:val="0"/>
              <w:spacing w:afterLines="50"/>
              <w:jc w:val="both"/>
              <w:rPr>
                <w:rFonts w:eastAsiaTheme="minorEastAsia"/>
                <w:b/>
                <w:sz w:val="20"/>
                <w:szCs w:val="20"/>
              </w:rPr>
            </w:pPr>
            <w:r>
              <w:rPr>
                <w:rFonts w:eastAsiaTheme="minorEastAsia"/>
                <w:b/>
                <w:sz w:val="20"/>
                <w:szCs w:val="20"/>
              </w:rPr>
              <w:t>Identify physical signals/channels to evaluate</w:t>
            </w:r>
          </w:p>
          <w:p w14:paraId="47C96B68">
            <w:pPr>
              <w:pStyle w:val="63"/>
              <w:widowControl w:val="0"/>
              <w:numPr>
                <w:ilvl w:val="1"/>
                <w:numId w:val="45"/>
              </w:numPr>
              <w:autoSpaceDE w:val="0"/>
              <w:autoSpaceDN w:val="0"/>
              <w:spacing w:afterLines="50"/>
              <w:jc w:val="both"/>
              <w:rPr>
                <w:rFonts w:eastAsiaTheme="minorEastAsia"/>
                <w:b/>
                <w:sz w:val="20"/>
                <w:szCs w:val="20"/>
              </w:rPr>
            </w:pPr>
            <w:r>
              <w:rPr>
                <w:rFonts w:eastAsiaTheme="minorEastAsia"/>
                <w:b/>
                <w:sz w:val="20"/>
                <w:szCs w:val="20"/>
              </w:rPr>
              <w:t>Solutions to be applied</w:t>
            </w:r>
          </w:p>
          <w:p w14:paraId="152A628E">
            <w:pPr>
              <w:pStyle w:val="63"/>
              <w:widowControl w:val="0"/>
              <w:numPr>
                <w:ilvl w:val="2"/>
                <w:numId w:val="45"/>
              </w:numPr>
              <w:autoSpaceDE w:val="0"/>
              <w:autoSpaceDN w:val="0"/>
              <w:spacing w:afterLines="50"/>
              <w:jc w:val="both"/>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6A995BCF">
            <w:pPr>
              <w:pStyle w:val="63"/>
              <w:widowControl w:val="0"/>
              <w:numPr>
                <w:ilvl w:val="2"/>
                <w:numId w:val="45"/>
              </w:numPr>
              <w:autoSpaceDE w:val="0"/>
              <w:autoSpaceDN w:val="0"/>
              <w:spacing w:afterLines="50"/>
              <w:jc w:val="both"/>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14:paraId="15B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1879AA2">
            <w:pPr>
              <w:widowControl w:val="0"/>
              <w:autoSpaceDE w:val="0"/>
              <w:autoSpaceDN w:val="0"/>
              <w:spacing w:afterLines="50"/>
              <w:jc w:val="both"/>
              <w:rPr>
                <w:rFonts w:eastAsiaTheme="minorEastAsia"/>
                <w:iCs/>
                <w:sz w:val="20"/>
                <w:szCs w:val="20"/>
              </w:rPr>
            </w:pPr>
            <w:r>
              <w:rPr>
                <w:rFonts w:eastAsiaTheme="minorEastAsia"/>
                <w:iCs/>
                <w:sz w:val="20"/>
                <w:szCs w:val="20"/>
              </w:rPr>
              <w:t>Nvidia</w:t>
            </w:r>
          </w:p>
        </w:tc>
        <w:tc>
          <w:tcPr>
            <w:tcW w:w="3860" w:type="pct"/>
          </w:tcPr>
          <w:p w14:paraId="781C58C4">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2A443502">
            <w:pPr>
              <w:widowControl w:val="0"/>
              <w:overflowPunct w:val="0"/>
              <w:autoSpaceDE w:val="0"/>
              <w:autoSpaceDN w:val="0"/>
              <w:spacing w:afterLines="50"/>
              <w:jc w:val="both"/>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14:paraId="2FC2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5FF35F2">
            <w:pPr>
              <w:widowControl w:val="0"/>
              <w:autoSpaceDE w:val="0"/>
              <w:autoSpaceDN w:val="0"/>
              <w:spacing w:afterLines="50"/>
              <w:jc w:val="both"/>
              <w:rPr>
                <w:rFonts w:eastAsiaTheme="minorEastAsia"/>
                <w:iCs/>
                <w:sz w:val="20"/>
                <w:szCs w:val="20"/>
              </w:rPr>
            </w:pPr>
            <w:r>
              <w:rPr>
                <w:rFonts w:hint="eastAsia" w:eastAsiaTheme="minorEastAsia"/>
                <w:iCs/>
                <w:sz w:val="20"/>
                <w:szCs w:val="20"/>
              </w:rPr>
              <w:t>OPPO</w:t>
            </w:r>
          </w:p>
        </w:tc>
        <w:tc>
          <w:tcPr>
            <w:tcW w:w="3860" w:type="pct"/>
          </w:tcPr>
          <w:p w14:paraId="6DA49806">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8BA63CC">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BB65533">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203EFC94">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2B6C7C01">
            <w:pPr>
              <w:widowControl w:val="0"/>
              <w:autoSpaceDE w:val="0"/>
              <w:autoSpaceDN w:val="0"/>
              <w:spacing w:afterLines="50"/>
              <w:jc w:val="both"/>
              <w:rPr>
                <w:rFonts w:eastAsiaTheme="minorEastAsia"/>
                <w:b/>
                <w:bCs/>
                <w:i/>
                <w:iCs/>
                <w:sz w:val="20"/>
                <w:szCs w:val="21"/>
              </w:rPr>
            </w:pPr>
            <w:r>
              <w:rPr>
                <w:rFonts w:hint="eastAsia" w:eastAsiaTheme="minor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hint="eastAsia" w:eastAsiaTheme="minorEastAsia"/>
                <w:b/>
                <w:bCs/>
                <w:i/>
                <w:iCs/>
                <w:sz w:val="20"/>
                <w:szCs w:val="21"/>
              </w:rPr>
              <w:t>dB</w:t>
            </w:r>
            <w:r>
              <w:rPr>
                <w:rFonts w:eastAsiaTheme="minorEastAsia"/>
                <w:b/>
                <w:bCs/>
                <w:i/>
                <w:iCs/>
                <w:sz w:val="20"/>
                <w:szCs w:val="21"/>
              </w:rPr>
              <w:t>, MPL=~126dB.</w:t>
            </w:r>
          </w:p>
          <w:p w14:paraId="7BDDFBB7">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hint="eastAsia" w:eastAsiaTheme="minorEastAsia"/>
                <w:b/>
                <w:bCs/>
                <w:i/>
                <w:iCs/>
                <w:sz w:val="20"/>
                <w:szCs w:val="21"/>
              </w:rPr>
              <w:t>dB</w:t>
            </w:r>
            <w:r>
              <w:rPr>
                <w:rFonts w:eastAsiaTheme="minorEastAsia"/>
                <w:b/>
                <w:bCs/>
                <w:i/>
                <w:iCs/>
                <w:sz w:val="20"/>
                <w:szCs w:val="21"/>
              </w:rPr>
              <w:t>, MPL=~132dB.</w:t>
            </w:r>
          </w:p>
          <w:p w14:paraId="0BE1C63B">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6F7E7469">
            <w:pPr>
              <w:widowControl w:val="0"/>
              <w:numPr>
                <w:ilvl w:val="0"/>
                <w:numId w:val="46"/>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MCL (if determined as the metric of coverage target): </w:t>
            </w:r>
          </w:p>
          <w:p w14:paraId="6144DC13">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29BBAF87">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204993BB">
            <w:pPr>
              <w:widowControl w:val="0"/>
              <w:numPr>
                <w:ilvl w:val="0"/>
                <w:numId w:val="46"/>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MIL (if determined as the metric of coverage target): </w:t>
            </w:r>
          </w:p>
          <w:p w14:paraId="41B51D90">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5C3BF2BB">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02DBCC79">
            <w:pPr>
              <w:widowControl w:val="0"/>
              <w:numPr>
                <w:ilvl w:val="0"/>
                <w:numId w:val="46"/>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MPL (if determined as the metric of coverage target): </w:t>
            </w:r>
          </w:p>
          <w:p w14:paraId="453FFDF2">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42FE0B67">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27083AC6">
            <w:pPr>
              <w:widowControl w:val="0"/>
              <w:numPr>
                <w:ilvl w:val="0"/>
                <w:numId w:val="46"/>
              </w:numPr>
              <w:autoSpaceDE w:val="0"/>
              <w:autoSpaceDN w:val="0"/>
              <w:spacing w:afterLines="50"/>
              <w:jc w:val="both"/>
              <w:rPr>
                <w:rFonts w:eastAsiaTheme="minorEastAsia"/>
                <w:b/>
                <w:bCs/>
                <w:i/>
                <w:iCs/>
                <w:sz w:val="20"/>
                <w:szCs w:val="21"/>
              </w:rPr>
            </w:pPr>
            <w:r>
              <w:rPr>
                <w:rFonts w:hint="eastAsia" w:eastAsiaTheme="minorEastAsia"/>
                <w:b/>
                <w:bCs/>
                <w:i/>
                <w:iCs/>
                <w:sz w:val="20"/>
                <w:szCs w:val="21"/>
              </w:rPr>
              <w:t>F</w:t>
            </w:r>
            <w:r>
              <w:rPr>
                <w:rFonts w:eastAsiaTheme="minorEastAsia"/>
                <w:b/>
                <w:bCs/>
                <w:i/>
                <w:iCs/>
                <w:sz w:val="20"/>
                <w:szCs w:val="21"/>
              </w:rPr>
              <w:t>FS the exactly value of X1, X2, Y1, Y2.</w:t>
            </w:r>
          </w:p>
          <w:p w14:paraId="6AC557B5">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14:paraId="07AF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7AC5B5A8">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60" w:type="pct"/>
          </w:tcPr>
          <w:p w14:paraId="71F90D53">
            <w:pPr>
              <w:widowControl w:val="0"/>
              <w:overflowPunct w:val="0"/>
              <w:autoSpaceDE w:val="0"/>
              <w:autoSpaceDN w:val="0"/>
              <w:spacing w:afterLines="50"/>
              <w:jc w:val="both"/>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8125E8">
            <w:pPr>
              <w:widowControl w:val="0"/>
              <w:autoSpaceDE w:val="0"/>
              <w:autoSpaceDN w:val="0"/>
              <w:spacing w:afterLines="50"/>
              <w:ind w:left="537" w:leftChars="244"/>
              <w:jc w:val="both"/>
              <w:rPr>
                <w:b/>
                <w:sz w:val="20"/>
                <w:szCs w:val="20"/>
                <w:lang w:eastAsia="ja-JP"/>
              </w:rPr>
            </w:pPr>
            <w:r>
              <w:rPr>
                <w:b/>
                <w:sz w:val="20"/>
                <w:szCs w:val="20"/>
                <w:lang w:eastAsia="ja-JP"/>
              </w:rPr>
              <w:t>- Use MaxCL as metric to define quantitative overall coverage target values</w:t>
            </w:r>
          </w:p>
          <w:p w14:paraId="47981FC1">
            <w:pPr>
              <w:widowControl w:val="0"/>
              <w:autoSpaceDE w:val="0"/>
              <w:autoSpaceDN w:val="0"/>
              <w:spacing w:afterLines="50"/>
              <w:ind w:left="757" w:leftChars="344"/>
              <w:jc w:val="both"/>
              <w:rPr>
                <w:b/>
                <w:sz w:val="20"/>
                <w:szCs w:val="20"/>
                <w:lang w:eastAsia="ja-JP"/>
              </w:rPr>
            </w:pPr>
            <w:r>
              <w:rPr>
                <w:b/>
                <w:sz w:val="20"/>
                <w:szCs w:val="20"/>
                <w:lang w:eastAsia="ja-JP"/>
              </w:rPr>
              <w:t>- UL MaxCL = UL Max Tx power - eNB Sensitivity</w:t>
            </w:r>
          </w:p>
          <w:p w14:paraId="32070D4D">
            <w:pPr>
              <w:widowControl w:val="0"/>
              <w:autoSpaceDE w:val="0"/>
              <w:autoSpaceDN w:val="0"/>
              <w:spacing w:afterLines="50"/>
              <w:ind w:left="757" w:leftChars="344"/>
              <w:jc w:val="both"/>
              <w:rPr>
                <w:b/>
                <w:sz w:val="20"/>
                <w:szCs w:val="20"/>
                <w:lang w:eastAsia="ja-JP"/>
              </w:rPr>
            </w:pPr>
            <w:r>
              <w:rPr>
                <w:b/>
                <w:sz w:val="20"/>
                <w:szCs w:val="20"/>
                <w:lang w:eastAsia="ja-JP"/>
              </w:rPr>
              <w:t>- DL MaxCL = DL Max Tx power - UE Sensitivity</w:t>
            </w:r>
          </w:p>
          <w:p w14:paraId="539602D0">
            <w:pPr>
              <w:widowControl w:val="0"/>
              <w:autoSpaceDE w:val="0"/>
              <w:autoSpaceDN w:val="0"/>
              <w:spacing w:afterLines="50"/>
              <w:ind w:left="537" w:leftChars="244"/>
              <w:jc w:val="both"/>
              <w:rPr>
                <w:b/>
                <w:sz w:val="20"/>
                <w:szCs w:val="20"/>
                <w:lang w:eastAsia="ja-JP"/>
              </w:rPr>
            </w:pPr>
            <w:r>
              <w:rPr>
                <w:b/>
                <w:sz w:val="20"/>
                <w:szCs w:val="20"/>
                <w:lang w:eastAsia="ja-JP"/>
              </w:rPr>
              <w:t>- Define overall coverage target values for existing bands as:</w:t>
            </w:r>
          </w:p>
          <w:p w14:paraId="3CF6B61C">
            <w:pPr>
              <w:widowControl w:val="0"/>
              <w:autoSpaceDE w:val="0"/>
              <w:autoSpaceDN w:val="0"/>
              <w:spacing w:afterLines="50"/>
              <w:ind w:left="757" w:leftChars="344"/>
              <w:jc w:val="both"/>
              <w:rPr>
                <w:b/>
                <w:sz w:val="20"/>
                <w:szCs w:val="20"/>
                <w:lang w:eastAsia="ja-JP"/>
              </w:rPr>
            </w:pPr>
            <w:r>
              <w:rPr>
                <w:b/>
                <w:sz w:val="20"/>
                <w:szCs w:val="20"/>
                <w:lang w:eastAsia="ja-JP"/>
              </w:rPr>
              <w:t>- For normal/basic coverage, define coverage target as: MaxCL=[143~146dB] @ DL data rate of [1 Mbps] and UL data rate of [30 kbps].</w:t>
            </w:r>
          </w:p>
          <w:p w14:paraId="5FB53420">
            <w:pPr>
              <w:widowControl w:val="0"/>
              <w:autoSpaceDE w:val="0"/>
              <w:autoSpaceDN w:val="0"/>
              <w:spacing w:afterLines="50"/>
              <w:ind w:left="757" w:leftChars="344"/>
              <w:jc w:val="both"/>
              <w:rPr>
                <w:b/>
                <w:sz w:val="20"/>
                <w:szCs w:val="20"/>
                <w:lang w:eastAsia="ja-JP"/>
              </w:rPr>
            </w:pPr>
            <w:r>
              <w:rPr>
                <w:b/>
                <w:sz w:val="20"/>
                <w:szCs w:val="20"/>
                <w:lang w:eastAsia="ja-JP"/>
              </w:rPr>
              <w:t>- For extended coverage, define coverage target as: MaxCL=[153-154dB] @ DL data rate of [100kbps] and UL data rate of [3kbps].</w:t>
            </w:r>
          </w:p>
          <w:p w14:paraId="0DD6E22C">
            <w:pPr>
              <w:widowControl w:val="0"/>
              <w:autoSpaceDE w:val="0"/>
              <w:autoSpaceDN w:val="0"/>
              <w:spacing w:afterLines="50"/>
              <w:ind w:left="757" w:leftChars="344"/>
              <w:jc w:val="both"/>
              <w:rPr>
                <w:rFonts w:eastAsiaTheme="minorEastAsia"/>
                <w:b/>
                <w:sz w:val="20"/>
                <w:szCs w:val="20"/>
              </w:rPr>
            </w:pPr>
            <w:r>
              <w:rPr>
                <w:b/>
                <w:sz w:val="20"/>
                <w:szCs w:val="20"/>
                <w:lang w:eastAsia="ja-JP"/>
              </w:rPr>
              <w:t>- FFS on data rate for UEs with 1Rx.</w:t>
            </w:r>
          </w:p>
        </w:tc>
      </w:tr>
      <w:tr w14:paraId="1A21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32EAAEC">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60" w:type="pct"/>
          </w:tcPr>
          <w:p w14:paraId="4369FD78">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#14.</w:t>
            </w:r>
            <w:r>
              <w:rPr>
                <w:b/>
                <w:sz w:val="20"/>
                <w:szCs w:val="20"/>
                <w:lang w:eastAsia="ja-JP"/>
              </w:rPr>
              <w:tab/>
            </w:r>
            <w:r>
              <w:rPr>
                <w:b/>
                <w:sz w:val="20"/>
                <w:szCs w:val="20"/>
                <w:lang w:eastAsia="ja-JP"/>
              </w:rPr>
              <w:t>Rel-21 6GR supports a unified and streamlined repetition behavior for DL/UL channels/signals such as PUSCH, PUCCH, PRACH, SRS and PDSCH, PDCCH.</w:t>
            </w:r>
          </w:p>
          <w:p w14:paraId="542DAFBF">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#15.</w:t>
            </w:r>
            <w:r>
              <w:rPr>
                <w:b/>
                <w:sz w:val="20"/>
                <w:szCs w:val="20"/>
                <w:lang w:eastAsia="ja-JP"/>
              </w:rPr>
              <w:tab/>
            </w:r>
            <w:r>
              <w:rPr>
                <w:b/>
                <w:sz w:val="20"/>
                <w:szCs w:val="20"/>
                <w:lang w:eastAsia="ja-JP"/>
              </w:rPr>
              <w:t>6GR Rel-21 supports repetition for at least PUSCH, PUCCH, PRACH, and PDSCH, PDCCH.</w:t>
            </w:r>
          </w:p>
          <w:p w14:paraId="77BC1357">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#16.</w:t>
            </w:r>
            <w:r>
              <w:rPr>
                <w:b/>
                <w:sz w:val="20"/>
                <w:szCs w:val="20"/>
                <w:lang w:eastAsia="ja-JP"/>
              </w:rPr>
              <w:tab/>
            </w:r>
            <w:r>
              <w:rPr>
                <w:b/>
                <w:sz w:val="20"/>
                <w:szCs w:val="20"/>
                <w:lang w:eastAsia="ja-JP"/>
              </w:rPr>
              <w:t>6GR Rel-21 supports Available Slot Counting (ASC), DMRS bundling/Joint Channel Estimation (JCE) for PUSCH and PUCCH, and TBoMS features.</w:t>
            </w:r>
          </w:p>
          <w:p w14:paraId="053EF276">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#17.</w:t>
            </w:r>
            <w:r>
              <w:rPr>
                <w:b/>
                <w:sz w:val="20"/>
                <w:szCs w:val="20"/>
                <w:lang w:eastAsia="ja-JP"/>
              </w:rPr>
              <w:tab/>
            </w:r>
            <w:r>
              <w:rPr>
                <w:b/>
                <w:sz w:val="20"/>
                <w:szCs w:val="20"/>
                <w:lang w:eastAsia="ja-JP"/>
              </w:rPr>
              <w:t>6GR Rel-21 supports sNB-side SBFD and UL Tx switching for PUSCH as UL coverage/performance enhancement techniques.</w:t>
            </w:r>
          </w:p>
          <w:p w14:paraId="205FE6B2">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#18.</w:t>
            </w:r>
            <w:r>
              <w:rPr>
                <w:b/>
                <w:sz w:val="20"/>
                <w:szCs w:val="20"/>
                <w:lang w:eastAsia="ja-JP"/>
              </w:rPr>
              <w:tab/>
            </w:r>
            <w:r>
              <w:rPr>
                <w:b/>
                <w:sz w:val="20"/>
                <w:szCs w:val="20"/>
                <w:lang w:eastAsia="ja-JP"/>
              </w:rPr>
              <w:t>Study and evaluate low PAPR waveform enhancements, relaxed Tx EVM requirements with AI-based compensation, and enhanced CA power utilization as improved UL coverage/performance techniques for 6GR Rel-21.</w:t>
            </w:r>
          </w:p>
        </w:tc>
      </w:tr>
      <w:tr w14:paraId="0C1D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1363E9AE">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60" w:type="pct"/>
          </w:tcPr>
          <w:p w14:paraId="7B08652A">
            <w:pPr>
              <w:widowControl w:val="0"/>
              <w:autoSpaceDE w:val="0"/>
              <w:autoSpaceDN w:val="0"/>
              <w:spacing w:afterLines="50"/>
              <w:jc w:val="both"/>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14:paraId="592A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EAE92C">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60" w:type="pct"/>
          </w:tcPr>
          <w:p w14:paraId="5AC01491">
            <w:pPr>
              <w:widowControl w:val="0"/>
              <w:autoSpaceDE w:val="0"/>
              <w:autoSpaceDN w:val="0"/>
              <w:spacing w:afterLines="50"/>
              <w:jc w:val="both"/>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15E1F01F">
            <w:pPr>
              <w:widowControl w:val="0"/>
              <w:autoSpaceDE w:val="0"/>
              <w:autoSpaceDN w:val="0"/>
              <w:spacing w:afterLines="50"/>
              <w:jc w:val="both"/>
              <w:rPr>
                <w:b/>
                <w:bCs/>
                <w:sz w:val="20"/>
                <w:szCs w:val="20"/>
                <w:lang w:eastAsia="ja-JP"/>
              </w:rPr>
            </w:pPr>
            <w:r>
              <w:rPr>
                <w:b/>
                <w:bCs/>
                <w:sz w:val="20"/>
                <w:szCs w:val="20"/>
                <w:lang w:eastAsia="ja-JP"/>
              </w:rPr>
              <w:t>Observation 15: Devices operating around 7 GHz are expected to support a maximum uplink transmit power of 26 dBm.</w:t>
            </w:r>
          </w:p>
          <w:p w14:paraId="17C588E4">
            <w:pPr>
              <w:widowControl w:val="0"/>
              <w:autoSpaceDE w:val="0"/>
              <w:autoSpaceDN w:val="0"/>
              <w:spacing w:afterLines="50"/>
              <w:jc w:val="both"/>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770014CC">
            <w:pPr>
              <w:widowControl w:val="0"/>
              <w:autoSpaceDE w:val="0"/>
              <w:autoSpaceDN w:val="0"/>
              <w:spacing w:afterLines="50"/>
              <w:jc w:val="both"/>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14:paraId="1089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64F11A5C">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60" w:type="pct"/>
          </w:tcPr>
          <w:p w14:paraId="10EE9CD8">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pPr>
              <w:widowControl w:val="0"/>
              <w:autoSpaceDE w:val="0"/>
              <w:autoSpaceDN w:val="0"/>
              <w:spacing w:afterLines="50"/>
              <w:jc w:val="both"/>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pPr>
              <w:widowControl w:val="0"/>
              <w:autoSpaceDE w:val="0"/>
              <w:autoSpaceDN w:val="0"/>
              <w:spacing w:afterLines="50"/>
              <w:jc w:val="both"/>
              <w:rPr>
                <w:b/>
                <w:bCs/>
                <w:sz w:val="20"/>
                <w:szCs w:val="20"/>
                <w:lang w:eastAsia="ja-JP"/>
              </w:rPr>
            </w:pPr>
            <w:r>
              <w:rPr>
                <w:b/>
                <w:bCs/>
                <w:sz w:val="20"/>
                <w:szCs w:val="20"/>
                <w:lang w:eastAsia="ja-JP"/>
              </w:rPr>
              <w:t>Proposal 16: To design the coverage features, the following key aspects should be considered for 6GR day1:</w:t>
            </w:r>
          </w:p>
          <w:p w14:paraId="2808AFBE">
            <w:pPr>
              <w:pStyle w:val="63"/>
              <w:widowControl w:val="0"/>
              <w:numPr>
                <w:ilvl w:val="0"/>
                <w:numId w:val="41"/>
              </w:numPr>
              <w:autoSpaceDE w:val="0"/>
              <w:autoSpaceDN w:val="0"/>
              <w:spacing w:afterLines="50"/>
              <w:jc w:val="both"/>
              <w:rPr>
                <w:b/>
                <w:bCs/>
                <w:sz w:val="20"/>
                <w:szCs w:val="20"/>
                <w:lang w:eastAsia="ja-JP"/>
              </w:rPr>
            </w:pPr>
            <w:r>
              <w:rPr>
                <w:b/>
                <w:bCs/>
                <w:sz w:val="20"/>
                <w:szCs w:val="20"/>
                <w:lang w:eastAsia="ja-JP"/>
              </w:rPr>
              <w:t xml:space="preserve">Identify the potential bottleneck DL and UL channels during all RRC states for all device types </w:t>
            </w:r>
          </w:p>
          <w:p w14:paraId="7B5F6CC4">
            <w:pPr>
              <w:pStyle w:val="63"/>
              <w:widowControl w:val="0"/>
              <w:numPr>
                <w:ilvl w:val="0"/>
                <w:numId w:val="41"/>
              </w:numPr>
              <w:autoSpaceDE w:val="0"/>
              <w:autoSpaceDN w:val="0"/>
              <w:spacing w:afterLines="50"/>
              <w:jc w:val="both"/>
              <w:rPr>
                <w:b/>
                <w:bCs/>
                <w:sz w:val="20"/>
                <w:szCs w:val="20"/>
                <w:lang w:eastAsia="ja-JP"/>
              </w:rPr>
            </w:pPr>
            <w:r>
              <w:rPr>
                <w:b/>
                <w:bCs/>
                <w:sz w:val="20"/>
                <w:szCs w:val="20"/>
                <w:lang w:eastAsia="ja-JP"/>
              </w:rPr>
              <w:t>Coverage features in NR can be regarded as a starting point</w:t>
            </w:r>
          </w:p>
          <w:p w14:paraId="108D1C75">
            <w:pPr>
              <w:pStyle w:val="63"/>
              <w:widowControl w:val="0"/>
              <w:numPr>
                <w:ilvl w:val="0"/>
                <w:numId w:val="41"/>
              </w:numPr>
              <w:autoSpaceDE w:val="0"/>
              <w:autoSpaceDN w:val="0"/>
              <w:spacing w:afterLines="50"/>
              <w:jc w:val="both"/>
              <w:rPr>
                <w:b/>
                <w:bCs/>
                <w:sz w:val="20"/>
                <w:szCs w:val="20"/>
                <w:lang w:eastAsia="ja-JP"/>
              </w:rPr>
            </w:pPr>
            <w:r>
              <w:rPr>
                <w:b/>
                <w:bCs/>
                <w:sz w:val="20"/>
                <w:szCs w:val="20"/>
                <w:lang w:eastAsia="ja-JP"/>
              </w:rPr>
              <w:t>Coverage features to meet coverage target should be applicable to all device types</w:t>
            </w:r>
          </w:p>
        </w:tc>
      </w:tr>
      <w:tr w14:paraId="3122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2968B438">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60" w:type="pct"/>
          </w:tcPr>
          <w:p w14:paraId="30D687BC">
            <w:pPr>
              <w:pStyle w:val="132"/>
              <w:widowControl w:val="0"/>
              <w:autoSpaceDE w:val="0"/>
              <w:autoSpaceDN w:val="0"/>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14:paraId="66CB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0FF21134">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60" w:type="pct"/>
          </w:tcPr>
          <w:p w14:paraId="281AE0D6">
            <w:pPr>
              <w:pStyle w:val="132"/>
              <w:widowControl w:val="0"/>
              <w:autoSpaceDE w:val="0"/>
              <w:autoSpaceDN w:val="0"/>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2A30497C">
            <w:pPr>
              <w:pStyle w:val="132"/>
              <w:widowControl w:val="0"/>
              <w:numPr>
                <w:ilvl w:val="0"/>
                <w:numId w:val="40"/>
              </w:numPr>
              <w:autoSpaceDE w:val="0"/>
              <w:autoSpaceDN w:val="0"/>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pPr>
              <w:pStyle w:val="132"/>
              <w:widowControl w:val="0"/>
              <w:numPr>
                <w:ilvl w:val="0"/>
                <w:numId w:val="40"/>
              </w:numPr>
              <w:autoSpaceDE w:val="0"/>
              <w:autoSpaceDN w:val="0"/>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pPr>
              <w:pStyle w:val="132"/>
              <w:widowControl w:val="0"/>
              <w:autoSpaceDE w:val="0"/>
              <w:autoSpaceDN w:val="0"/>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pPr>
              <w:pStyle w:val="132"/>
              <w:widowControl w:val="0"/>
              <w:autoSpaceDE w:val="0"/>
              <w:autoSpaceDN w:val="0"/>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pPr>
              <w:pStyle w:val="132"/>
              <w:widowControl w:val="0"/>
              <w:autoSpaceDE w:val="0"/>
              <w:autoSpaceDN w:val="0"/>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2CAA0891">
            <w:pPr>
              <w:pStyle w:val="132"/>
              <w:widowControl w:val="0"/>
              <w:autoSpaceDE w:val="0"/>
              <w:autoSpaceDN w:val="0"/>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pPr>
              <w:pStyle w:val="132"/>
              <w:widowControl w:val="0"/>
              <w:autoSpaceDE w:val="0"/>
              <w:autoSpaceDN w:val="0"/>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29083186">
            <w:pPr>
              <w:pStyle w:val="132"/>
              <w:widowControl w:val="0"/>
              <w:numPr>
                <w:ilvl w:val="0"/>
                <w:numId w:val="40"/>
              </w:numPr>
              <w:autoSpaceDE w:val="0"/>
              <w:autoSpaceDN w:val="0"/>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3A60B693">
            <w:pPr>
              <w:pStyle w:val="132"/>
              <w:widowControl w:val="0"/>
              <w:numPr>
                <w:ilvl w:val="0"/>
                <w:numId w:val="40"/>
              </w:numPr>
              <w:autoSpaceDE w:val="0"/>
              <w:autoSpaceDN w:val="0"/>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2B48F786">
            <w:pPr>
              <w:pStyle w:val="132"/>
              <w:widowControl w:val="0"/>
              <w:autoSpaceDE w:val="0"/>
              <w:autoSpaceDN w:val="0"/>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pPr>
              <w:pStyle w:val="132"/>
              <w:widowControl w:val="0"/>
              <w:autoSpaceDE w:val="0"/>
              <w:autoSpaceDN w:val="0"/>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pPr>
              <w:pStyle w:val="132"/>
              <w:widowControl w:val="0"/>
              <w:autoSpaceDE w:val="0"/>
              <w:autoSpaceDN w:val="0"/>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pPr>
              <w:pStyle w:val="132"/>
              <w:widowControl w:val="0"/>
              <w:numPr>
                <w:ilvl w:val="0"/>
                <w:numId w:val="40"/>
              </w:numPr>
              <w:autoSpaceDE w:val="0"/>
              <w:autoSpaceDN w:val="0"/>
              <w:adjustRightInd w:val="0"/>
              <w:snapToGrid w:val="0"/>
              <w:spacing w:afterLines="50"/>
              <w:rPr>
                <w:sz w:val="20"/>
                <w:szCs w:val="20"/>
              </w:rPr>
            </w:pPr>
            <w:r>
              <w:rPr>
                <w:sz w:val="20"/>
                <w:szCs w:val="20"/>
              </w:rPr>
              <w:t xml:space="preserve">Power relevant parameters: DL PSD and UL Tx power </w:t>
            </w:r>
          </w:p>
          <w:p w14:paraId="32B047E4">
            <w:pPr>
              <w:pStyle w:val="132"/>
              <w:widowControl w:val="0"/>
              <w:numPr>
                <w:ilvl w:val="0"/>
                <w:numId w:val="40"/>
              </w:numPr>
              <w:autoSpaceDE w:val="0"/>
              <w:autoSpaceDN w:val="0"/>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2FC2D716">
            <w:pPr>
              <w:pStyle w:val="132"/>
              <w:widowControl w:val="0"/>
              <w:numPr>
                <w:ilvl w:val="0"/>
                <w:numId w:val="40"/>
              </w:numPr>
              <w:autoSpaceDE w:val="0"/>
              <w:autoSpaceDN w:val="0"/>
              <w:adjustRightInd w:val="0"/>
              <w:snapToGrid w:val="0"/>
              <w:spacing w:afterLines="50"/>
              <w:rPr>
                <w:sz w:val="20"/>
                <w:szCs w:val="20"/>
              </w:rPr>
            </w:pPr>
            <w:r>
              <w:rPr>
                <w:sz w:val="20"/>
                <w:szCs w:val="20"/>
              </w:rPr>
              <w:t xml:space="preserve">Pathloss relevant parameter: penetration loss </w:t>
            </w:r>
          </w:p>
          <w:p w14:paraId="60C237FD">
            <w:pPr>
              <w:pStyle w:val="132"/>
              <w:widowControl w:val="0"/>
              <w:autoSpaceDE w:val="0"/>
              <w:autoSpaceDN w:val="0"/>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15EACC50">
            <w:pPr>
              <w:pStyle w:val="132"/>
              <w:widowControl w:val="0"/>
              <w:numPr>
                <w:ilvl w:val="0"/>
                <w:numId w:val="40"/>
              </w:numPr>
              <w:autoSpaceDE w:val="0"/>
              <w:autoSpaceDN w:val="0"/>
              <w:adjustRightInd w:val="0"/>
              <w:snapToGrid w:val="0"/>
              <w:spacing w:afterLines="50"/>
              <w:rPr>
                <w:sz w:val="20"/>
                <w:szCs w:val="20"/>
              </w:rPr>
            </w:pPr>
            <w:r>
              <w:rPr>
                <w:sz w:val="20"/>
                <w:szCs w:val="20"/>
              </w:rPr>
              <w:t>DL 10Mbps and UL 1Mbps can be the baseline to identify coverage gap/margin for mid-band and 7GHz.</w:t>
            </w:r>
          </w:p>
          <w:p w14:paraId="6BACE603">
            <w:pPr>
              <w:pStyle w:val="132"/>
              <w:widowControl w:val="0"/>
              <w:numPr>
                <w:ilvl w:val="0"/>
                <w:numId w:val="40"/>
              </w:numPr>
              <w:autoSpaceDE w:val="0"/>
              <w:autoSpaceDN w:val="0"/>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6300EFD5">
            <w:pPr>
              <w:pStyle w:val="132"/>
              <w:widowControl w:val="0"/>
              <w:autoSpaceDE w:val="0"/>
              <w:autoSpaceDN w:val="0"/>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35FDAA34">
            <w:pPr>
              <w:pStyle w:val="132"/>
              <w:widowControl w:val="0"/>
              <w:numPr>
                <w:ilvl w:val="0"/>
                <w:numId w:val="40"/>
              </w:numPr>
              <w:autoSpaceDE w:val="0"/>
              <w:autoSpaceDN w:val="0"/>
              <w:adjustRightInd w:val="0"/>
              <w:snapToGrid w:val="0"/>
              <w:spacing w:afterLines="50"/>
              <w:rPr>
                <w:sz w:val="20"/>
                <w:szCs w:val="20"/>
              </w:rPr>
            </w:pPr>
            <w:r>
              <w:rPr>
                <w:sz w:val="20"/>
                <w:szCs w:val="20"/>
              </w:rPr>
              <w:t xml:space="preserve">For the minimum target, exclude MPL and MIL as metric </w:t>
            </w:r>
          </w:p>
          <w:p w14:paraId="7264F604">
            <w:pPr>
              <w:pStyle w:val="132"/>
              <w:widowControl w:val="0"/>
              <w:numPr>
                <w:ilvl w:val="0"/>
                <w:numId w:val="40"/>
              </w:numPr>
              <w:autoSpaceDE w:val="0"/>
              <w:autoSpaceDN w:val="0"/>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7F1DAE99">
            <w:pPr>
              <w:pStyle w:val="132"/>
              <w:widowControl w:val="0"/>
              <w:numPr>
                <w:ilvl w:val="1"/>
                <w:numId w:val="40"/>
              </w:numPr>
              <w:autoSpaceDE w:val="0"/>
              <w:autoSpaceDN w:val="0"/>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6E63DFAD">
            <w:pPr>
              <w:pStyle w:val="132"/>
              <w:widowControl w:val="0"/>
              <w:numPr>
                <w:ilvl w:val="0"/>
                <w:numId w:val="40"/>
              </w:numPr>
              <w:autoSpaceDE w:val="0"/>
              <w:autoSpaceDN w:val="0"/>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566604F9">
            <w:pPr>
              <w:pStyle w:val="132"/>
              <w:widowControl w:val="0"/>
              <w:numPr>
                <w:ilvl w:val="1"/>
                <w:numId w:val="40"/>
              </w:numPr>
              <w:autoSpaceDE w:val="0"/>
              <w:autoSpaceDN w:val="0"/>
              <w:adjustRightInd w:val="0"/>
              <w:snapToGrid w:val="0"/>
              <w:spacing w:afterLines="50"/>
              <w:rPr>
                <w:sz w:val="20"/>
                <w:szCs w:val="20"/>
              </w:rPr>
            </w:pPr>
            <w:r>
              <w:rPr>
                <w:sz w:val="20"/>
                <w:szCs w:val="20"/>
              </w:rPr>
              <w:t xml:space="preserve">FFS reference antenna configuration for each representative band.    </w:t>
            </w:r>
          </w:p>
          <w:p w14:paraId="22D9BA65">
            <w:pPr>
              <w:pStyle w:val="132"/>
              <w:widowControl w:val="0"/>
              <w:autoSpaceDE w:val="0"/>
              <w:autoSpaceDN w:val="0"/>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15D08AC9">
            <w:pPr>
              <w:pStyle w:val="132"/>
              <w:widowControl w:val="0"/>
              <w:numPr>
                <w:ilvl w:val="0"/>
                <w:numId w:val="40"/>
              </w:numPr>
              <w:autoSpaceDE w:val="0"/>
              <w:autoSpaceDN w:val="0"/>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7C690F8B">
            <w:pPr>
              <w:pStyle w:val="132"/>
              <w:widowControl w:val="0"/>
              <w:numPr>
                <w:ilvl w:val="0"/>
                <w:numId w:val="40"/>
              </w:numPr>
              <w:autoSpaceDE w:val="0"/>
              <w:autoSpaceDN w:val="0"/>
              <w:adjustRightInd w:val="0"/>
              <w:snapToGrid w:val="0"/>
              <w:spacing w:afterLines="50"/>
              <w:rPr>
                <w:sz w:val="20"/>
                <w:szCs w:val="20"/>
              </w:rPr>
            </w:pPr>
            <w:r>
              <w:rPr>
                <w:sz w:val="20"/>
                <w:szCs w:val="20"/>
              </w:rPr>
              <w:t xml:space="preserve">Note: Common channels can achieve this coverage target regardless of device type. </w:t>
            </w:r>
          </w:p>
          <w:p w14:paraId="65862F1F">
            <w:pPr>
              <w:pStyle w:val="132"/>
              <w:widowControl w:val="0"/>
              <w:autoSpaceDE w:val="0"/>
              <w:autoSpaceDN w:val="0"/>
              <w:adjustRightInd w:val="0"/>
              <w:snapToGrid w:val="0"/>
              <w:spacing w:afterLines="50"/>
              <w:rPr>
                <w:sz w:val="20"/>
                <w:szCs w:val="20"/>
              </w:rPr>
            </w:pPr>
            <w:r>
              <w:rPr>
                <w:sz w:val="20"/>
                <w:szCs w:val="20"/>
              </w:rPr>
              <w:t>Proposal 6: Adopt MCL as the unified link budget metric for 6G coverage studies for all scenarios.</w:t>
            </w:r>
          </w:p>
          <w:p w14:paraId="67CA9A31">
            <w:pPr>
              <w:pStyle w:val="132"/>
              <w:widowControl w:val="0"/>
              <w:autoSpaceDE w:val="0"/>
              <w:autoSpaceDN w:val="0"/>
              <w:adjustRightInd w:val="0"/>
              <w:snapToGrid w:val="0"/>
              <w:spacing w:afterLines="50"/>
              <w:rPr>
                <w:sz w:val="20"/>
                <w:szCs w:val="20"/>
              </w:rPr>
            </w:pPr>
            <w:r>
              <w:rPr>
                <w:sz w:val="20"/>
                <w:szCs w:val="20"/>
              </w:rPr>
              <w:t>Proposal 7: Study 6GR native coverage techniques considering following aspects:</w:t>
            </w:r>
          </w:p>
          <w:p w14:paraId="628A3326">
            <w:pPr>
              <w:pStyle w:val="132"/>
              <w:widowControl w:val="0"/>
              <w:numPr>
                <w:ilvl w:val="0"/>
                <w:numId w:val="40"/>
              </w:numPr>
              <w:autoSpaceDE w:val="0"/>
              <w:autoSpaceDN w:val="0"/>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6AD9217A">
            <w:pPr>
              <w:pStyle w:val="132"/>
              <w:widowControl w:val="0"/>
              <w:numPr>
                <w:ilvl w:val="0"/>
                <w:numId w:val="40"/>
              </w:numPr>
              <w:autoSpaceDE w:val="0"/>
              <w:autoSpaceDN w:val="0"/>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26E63C02">
            <w:pPr>
              <w:pStyle w:val="132"/>
              <w:widowControl w:val="0"/>
              <w:numPr>
                <w:ilvl w:val="0"/>
                <w:numId w:val="40"/>
              </w:numPr>
              <w:autoSpaceDE w:val="0"/>
              <w:autoSpaceDN w:val="0"/>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548AAAEA">
            <w:pPr>
              <w:pStyle w:val="132"/>
              <w:widowControl w:val="0"/>
              <w:numPr>
                <w:ilvl w:val="0"/>
                <w:numId w:val="47"/>
              </w:numPr>
              <w:autoSpaceDE w:val="0"/>
              <w:autoSpaceDN w:val="0"/>
              <w:adjustRightInd w:val="0"/>
              <w:snapToGrid w:val="0"/>
              <w:spacing w:afterLines="50"/>
              <w:rPr>
                <w:sz w:val="20"/>
                <w:szCs w:val="20"/>
              </w:rPr>
            </w:pPr>
            <w:r>
              <w:rPr>
                <w:sz w:val="20"/>
                <w:szCs w:val="20"/>
              </w:rPr>
              <w:t>•</w:t>
            </w:r>
            <w:r>
              <w:rPr>
                <w:sz w:val="20"/>
                <w:szCs w:val="20"/>
              </w:rPr>
              <w:tab/>
            </w:r>
            <w:r>
              <w:rPr>
                <w:sz w:val="20"/>
                <w:szCs w:val="20"/>
              </w:rPr>
              <w:t>The techniques considered for coverage improvement for both control and data channels shall be applicable for all device types.</w:t>
            </w:r>
          </w:p>
        </w:tc>
      </w:tr>
      <w:tr w14:paraId="6C57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2F065BE">
            <w:pPr>
              <w:widowControl w:val="0"/>
              <w:autoSpaceDE w:val="0"/>
              <w:autoSpaceDN w:val="0"/>
              <w:spacing w:afterLines="50"/>
              <w:jc w:val="both"/>
              <w:rPr>
                <w:rFonts w:eastAsiaTheme="minorEastAsia"/>
                <w:iCs/>
                <w:sz w:val="20"/>
                <w:szCs w:val="20"/>
              </w:rPr>
            </w:pPr>
            <w:r>
              <w:rPr>
                <w:rFonts w:eastAsiaTheme="minorEastAsia"/>
                <w:iCs/>
                <w:sz w:val="20"/>
                <w:szCs w:val="20"/>
              </w:rPr>
              <w:t>Vodafone, Deutsche Telekom, Orange, Bouygues Telecom, Telecom Italia, British Telecom</w:t>
            </w:r>
          </w:p>
        </w:tc>
        <w:tc>
          <w:tcPr>
            <w:tcW w:w="3860" w:type="pct"/>
          </w:tcPr>
          <w:p w14:paraId="6C3FE4DD">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10971543">
            <w:pPr>
              <w:widowControl w:val="0"/>
              <w:autoSpaceDE w:val="0"/>
              <w:autoSpaceDN w:val="0"/>
              <w:spacing w:afterLines="50"/>
              <w:jc w:val="both"/>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11EA6394">
            <w:pPr>
              <w:widowControl w:val="0"/>
              <w:autoSpaceDE w:val="0"/>
              <w:autoSpaceDN w:val="0"/>
              <w:spacing w:afterLines="50"/>
              <w:jc w:val="both"/>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67FAE7D3">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1F9C794C">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281F0EFD">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Proposal 3:</w:t>
            </w:r>
          </w:p>
          <w:p w14:paraId="4A8EC811">
            <w:pPr>
              <w:widowControl w:val="0"/>
              <w:autoSpaceDE w:val="0"/>
              <w:autoSpaceDN w:val="0"/>
              <w:spacing w:afterLines="50"/>
              <w:jc w:val="both"/>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629E0AF1">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53FB8C7F">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7449C95D">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DBEDDD6">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2E5127B2">
            <w:pPr>
              <w:pStyle w:val="63"/>
              <w:widowControl w:val="0"/>
              <w:numPr>
                <w:ilvl w:val="1"/>
                <w:numId w:val="48"/>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10Mbps, UL 1Mbps</w:t>
            </w:r>
          </w:p>
          <w:p w14:paraId="7A6CA00B">
            <w:pPr>
              <w:pStyle w:val="63"/>
              <w:widowControl w:val="0"/>
              <w:numPr>
                <w:ilvl w:val="1"/>
                <w:numId w:val="48"/>
              </w:numPr>
              <w:autoSpaceDE w:val="0"/>
              <w:autoSpaceDN w:val="0"/>
              <w:spacing w:afterLines="50"/>
              <w:jc w:val="both"/>
              <w:rPr>
                <w:rFonts w:eastAsia="宋体"/>
                <w:i/>
                <w:iCs/>
                <w:sz w:val="20"/>
                <w:szCs w:val="20"/>
                <w:lang w:val="pt-PT" w:eastAsia="zh-TW"/>
              </w:rPr>
            </w:pPr>
            <w:r>
              <w:rPr>
                <w:rFonts w:eastAsia="宋体"/>
                <w:i/>
                <w:iCs/>
                <w:sz w:val="20"/>
                <w:szCs w:val="20"/>
                <w:lang w:val="pt-PT" w:eastAsia="zh-TW"/>
              </w:rPr>
              <w:t>Rural scenario: DL 1Mbps, UL 100kbps</w:t>
            </w:r>
          </w:p>
          <w:p w14:paraId="3444B1AB">
            <w:pPr>
              <w:pStyle w:val="63"/>
              <w:widowControl w:val="0"/>
              <w:numPr>
                <w:ilvl w:val="1"/>
                <w:numId w:val="48"/>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Suburban scenario: DL FFS, UL FFS</w:t>
            </w:r>
          </w:p>
          <w:p w14:paraId="4A60C7B6">
            <w:pPr>
              <w:pStyle w:val="63"/>
              <w:widowControl w:val="0"/>
              <w:numPr>
                <w:ilvl w:val="0"/>
                <w:numId w:val="48"/>
              </w:numPr>
              <w:autoSpaceDE w:val="0"/>
              <w:autoSpaceDN w:val="0"/>
              <w:spacing w:afterLines="50"/>
              <w:jc w:val="both"/>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14:paraId="7DDA5BBE">
            <w:pPr>
              <w:pStyle w:val="63"/>
              <w:widowControl w:val="0"/>
              <w:numPr>
                <w:ilvl w:val="1"/>
                <w:numId w:val="48"/>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100Mbps DL, UL 10Mbps</w:t>
            </w:r>
          </w:p>
          <w:p w14:paraId="3CFE84EE">
            <w:pPr>
              <w:pStyle w:val="63"/>
              <w:widowControl w:val="0"/>
              <w:numPr>
                <w:ilvl w:val="1"/>
                <w:numId w:val="48"/>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 xml:space="preserve">Suburban scenario: DL FFS, UL FFS  </w:t>
            </w:r>
          </w:p>
          <w:p w14:paraId="0B3E7083">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56F0117">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3E89D5B4">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7BED9C">
            <w:pPr>
              <w:pStyle w:val="63"/>
              <w:widowControl w:val="0"/>
              <w:numPr>
                <w:ilvl w:val="0"/>
                <w:numId w:val="50"/>
              </w:numPr>
              <w:autoSpaceDE w:val="0"/>
              <w:autoSpaceDN w:val="0"/>
              <w:spacing w:afterLines="50"/>
              <w:jc w:val="both"/>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14:paraId="346C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31EF4C66">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60" w:type="pct"/>
          </w:tcPr>
          <w:p w14:paraId="448EDBA0">
            <w:pPr>
              <w:widowControl w:val="0"/>
              <w:autoSpaceDE w:val="0"/>
              <w:autoSpaceDN w:val="0"/>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348FAD1C">
            <w:pPr>
              <w:widowControl w:val="0"/>
              <w:autoSpaceDE w:val="0"/>
              <w:autoSpaceDN w:val="0"/>
              <w:spacing w:before="120" w:line="240" w:lineRule="atLeast"/>
              <w:jc w:val="center"/>
              <w:rPr>
                <w:sz w:val="20"/>
              </w:rPr>
            </w:pPr>
            <w:r>
              <w:rPr>
                <w:sz w:val="20"/>
              </w:rPr>
              <w:t>Table 5-1 Aligned assumptions for link budget calculation</w:t>
            </w:r>
          </w:p>
          <w:tbl>
            <w:tblPr>
              <w:tblStyle w:val="38"/>
              <w:tblW w:w="7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4515"/>
            </w:tblGrid>
            <w:tr w14:paraId="0F0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06F0C7CB">
                  <w:pPr>
                    <w:widowControl w:val="0"/>
                    <w:autoSpaceDE w:val="0"/>
                    <w:autoSpaceDN w:val="0"/>
                    <w:spacing w:before="120" w:line="240" w:lineRule="atLeast"/>
                    <w:jc w:val="center"/>
                    <w:rPr>
                      <w:b/>
                      <w:sz w:val="20"/>
                    </w:rPr>
                  </w:pPr>
                  <w:r>
                    <w:rPr>
                      <w:b/>
                      <w:sz w:val="20"/>
                    </w:rPr>
                    <w:t>Items</w:t>
                  </w:r>
                </w:p>
              </w:tc>
              <w:tc>
                <w:tcPr>
                  <w:tcW w:w="4515" w:type="dxa"/>
                  <w:vAlign w:val="center"/>
                </w:tcPr>
                <w:p w14:paraId="5E2D6832">
                  <w:pPr>
                    <w:widowControl w:val="0"/>
                    <w:autoSpaceDE w:val="0"/>
                    <w:autoSpaceDN w:val="0"/>
                    <w:spacing w:before="120" w:line="240" w:lineRule="atLeast"/>
                    <w:jc w:val="center"/>
                    <w:rPr>
                      <w:b/>
                      <w:sz w:val="20"/>
                    </w:rPr>
                  </w:pPr>
                  <w:r>
                    <w:rPr>
                      <w:b/>
                      <w:sz w:val="20"/>
                    </w:rPr>
                    <w:t>Assumptions</w:t>
                  </w:r>
                </w:p>
              </w:tc>
            </w:tr>
            <w:tr w14:paraId="51CE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0B02DD95">
                  <w:pPr>
                    <w:widowControl w:val="0"/>
                    <w:autoSpaceDE w:val="0"/>
                    <w:autoSpaceDN w:val="0"/>
                    <w:spacing w:before="120" w:line="240" w:lineRule="atLeast"/>
                    <w:jc w:val="center"/>
                    <w:rPr>
                      <w:sz w:val="20"/>
                    </w:rPr>
                  </w:pPr>
                  <w:r>
                    <w:rPr>
                      <w:sz w:val="20"/>
                    </w:rPr>
                    <w:t>Channel model</w:t>
                  </w:r>
                </w:p>
              </w:tc>
              <w:tc>
                <w:tcPr>
                  <w:tcW w:w="4515" w:type="dxa"/>
                  <w:vAlign w:val="center"/>
                </w:tcPr>
                <w:p w14:paraId="07FB613E">
                  <w:pPr>
                    <w:widowControl w:val="0"/>
                    <w:autoSpaceDE w:val="0"/>
                    <w:autoSpaceDN w:val="0"/>
                    <w:spacing w:before="120" w:line="240" w:lineRule="atLeast"/>
                    <w:jc w:val="center"/>
                    <w:rPr>
                      <w:sz w:val="20"/>
                    </w:rPr>
                  </w:pPr>
                  <w:r>
                    <w:rPr>
                      <w:rFonts w:hint="eastAsia"/>
                      <w:sz w:val="20"/>
                    </w:rPr>
                    <w:t>U</w:t>
                  </w:r>
                  <w:r>
                    <w:rPr>
                      <w:sz w:val="20"/>
                    </w:rPr>
                    <w:t>ma or Umi</w:t>
                  </w:r>
                </w:p>
              </w:tc>
            </w:tr>
            <w:tr w14:paraId="6A4A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705E194C">
                  <w:pPr>
                    <w:widowControl w:val="0"/>
                    <w:autoSpaceDE w:val="0"/>
                    <w:autoSpaceDN w:val="0"/>
                    <w:spacing w:before="120" w:line="240" w:lineRule="atLeast"/>
                    <w:jc w:val="center"/>
                    <w:rPr>
                      <w:sz w:val="20"/>
                    </w:rPr>
                  </w:pPr>
                  <w:r>
                    <w:rPr>
                      <w:sz w:val="20"/>
                    </w:rPr>
                    <w:t>Penetration loss model</w:t>
                  </w:r>
                </w:p>
              </w:tc>
              <w:tc>
                <w:tcPr>
                  <w:tcW w:w="4515" w:type="dxa"/>
                  <w:vAlign w:val="center"/>
                </w:tcPr>
                <w:p w14:paraId="64FD73A4">
                  <w:pPr>
                    <w:widowControl w:val="0"/>
                    <w:autoSpaceDE w:val="0"/>
                    <w:autoSpaceDN w:val="0"/>
                    <w:spacing w:before="120" w:line="240" w:lineRule="atLeast"/>
                    <w:jc w:val="center"/>
                    <w:rPr>
                      <w:sz w:val="20"/>
                    </w:rPr>
                  </w:pPr>
                  <w:r>
                    <w:rPr>
                      <w:sz w:val="20"/>
                    </w:rPr>
                    <w:t>High-loss model or low-loss model</w:t>
                  </w:r>
                </w:p>
              </w:tc>
            </w:tr>
            <w:tr w14:paraId="4E1E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3D452D79">
                  <w:pPr>
                    <w:widowControl w:val="0"/>
                    <w:autoSpaceDE w:val="0"/>
                    <w:autoSpaceDN w:val="0"/>
                    <w:spacing w:before="120" w:line="240" w:lineRule="atLeast"/>
                    <w:jc w:val="center"/>
                    <w:rPr>
                      <w:sz w:val="20"/>
                    </w:rPr>
                  </w:pPr>
                  <w:r>
                    <w:rPr>
                      <w:rFonts w:hint="eastAsia"/>
                      <w:sz w:val="20"/>
                    </w:rPr>
                    <w:t>U</w:t>
                  </w:r>
                  <w:r>
                    <w:rPr>
                      <w:sz w:val="20"/>
                    </w:rPr>
                    <w:t>E transmit power</w:t>
                  </w:r>
                </w:p>
              </w:tc>
              <w:tc>
                <w:tcPr>
                  <w:tcW w:w="4515" w:type="dxa"/>
                  <w:vAlign w:val="center"/>
                </w:tcPr>
                <w:p w14:paraId="21EE4D75">
                  <w:pPr>
                    <w:widowControl w:val="0"/>
                    <w:autoSpaceDE w:val="0"/>
                    <w:autoSpaceDN w:val="0"/>
                    <w:spacing w:before="120" w:line="240" w:lineRule="atLeast"/>
                    <w:jc w:val="center"/>
                    <w:rPr>
                      <w:sz w:val="20"/>
                    </w:rPr>
                  </w:pPr>
                  <w:r>
                    <w:rPr>
                      <w:sz w:val="20"/>
                    </w:rPr>
                    <w:t>23dB for both mid-band and 7GHz or 26 dBm for 7GHz</w:t>
                  </w:r>
                </w:p>
              </w:tc>
            </w:tr>
            <w:tr w14:paraId="4DF3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77CF33C2">
                  <w:pPr>
                    <w:widowControl w:val="0"/>
                    <w:autoSpaceDE w:val="0"/>
                    <w:autoSpaceDN w:val="0"/>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3018FB6">
                  <w:pPr>
                    <w:widowControl w:val="0"/>
                    <w:autoSpaceDE w:val="0"/>
                    <w:autoSpaceDN w:val="0"/>
                    <w:spacing w:before="120" w:line="240" w:lineRule="atLeast"/>
                    <w:jc w:val="center"/>
                    <w:rPr>
                      <w:sz w:val="20"/>
                    </w:rPr>
                  </w:pPr>
                  <w:r>
                    <w:rPr>
                      <w:sz w:val="20"/>
                    </w:rPr>
                    <w:t>33 dBm/MHz as NR for both mid-band and 7GHz</w:t>
                  </w:r>
                </w:p>
              </w:tc>
            </w:tr>
            <w:tr w14:paraId="0B40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95" w:type="dxa"/>
                  <w:vAlign w:val="center"/>
                </w:tcPr>
                <w:p w14:paraId="04CE68C7">
                  <w:pPr>
                    <w:widowControl w:val="0"/>
                    <w:autoSpaceDE w:val="0"/>
                    <w:autoSpaceDN w:val="0"/>
                    <w:spacing w:before="120" w:line="240" w:lineRule="atLeast"/>
                    <w:jc w:val="center"/>
                    <w:rPr>
                      <w:sz w:val="20"/>
                    </w:rPr>
                  </w:pPr>
                  <w:r>
                    <w:rPr>
                      <w:sz w:val="20"/>
                    </w:rPr>
                    <w:t>Transmit/receive chains modeled in LLS for required SNR</w:t>
                  </w:r>
                </w:p>
              </w:tc>
              <w:tc>
                <w:tcPr>
                  <w:tcW w:w="4515" w:type="dxa"/>
                  <w:vAlign w:val="center"/>
                </w:tcPr>
                <w:p w14:paraId="7D9654CF">
                  <w:pPr>
                    <w:widowControl w:val="0"/>
                    <w:autoSpaceDE w:val="0"/>
                    <w:autoSpaceDN w:val="0"/>
                    <w:spacing w:before="120" w:line="240" w:lineRule="atLeast"/>
                    <w:jc w:val="center"/>
                    <w:rPr>
                      <w:sz w:val="20"/>
                    </w:rPr>
                  </w:pPr>
                  <w:r>
                    <w:rPr>
                      <w:rFonts w:hint="eastAsia"/>
                      <w:sz w:val="20"/>
                    </w:rPr>
                    <w:t>1</w:t>
                  </w:r>
                  <w:r>
                    <w:rPr>
                      <w:sz w:val="20"/>
                    </w:rPr>
                    <w:t>T4R or 2T4R</w:t>
                  </w:r>
                </w:p>
              </w:tc>
            </w:tr>
          </w:tbl>
          <w:p w14:paraId="6C8A7C9B">
            <w:pPr>
              <w:widowControl w:val="0"/>
              <w:autoSpaceDE w:val="0"/>
              <w:autoSpaceDN w:val="0"/>
              <w:spacing w:afterLines="50"/>
              <w:jc w:val="both"/>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37FD95CC">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16689079">
            <w:pPr>
              <w:widowControl w:val="0"/>
              <w:numPr>
                <w:ilvl w:val="0"/>
                <w:numId w:val="51"/>
              </w:numPr>
              <w:autoSpaceDE w:val="0"/>
              <w:autoSpaceDN w:val="0"/>
              <w:spacing w:afterLines="50"/>
              <w:ind w:left="420"/>
              <w:jc w:val="both"/>
              <w:rPr>
                <w:i/>
                <w:sz w:val="20"/>
                <w:szCs w:val="20"/>
              </w:rPr>
            </w:pPr>
            <w:r>
              <w:rPr>
                <w:i/>
                <w:sz w:val="20"/>
                <w:szCs w:val="20"/>
              </w:rPr>
              <w:t>Unified repetition solution across multiple channels, e.g., at least during initial access.</w:t>
            </w:r>
          </w:p>
          <w:p w14:paraId="447B31DF">
            <w:pPr>
              <w:widowControl w:val="0"/>
              <w:numPr>
                <w:ilvl w:val="0"/>
                <w:numId w:val="51"/>
              </w:numPr>
              <w:autoSpaceDE w:val="0"/>
              <w:autoSpaceDN w:val="0"/>
              <w:spacing w:afterLines="50"/>
              <w:ind w:left="420"/>
              <w:jc w:val="both"/>
              <w:rPr>
                <w:i/>
                <w:sz w:val="20"/>
                <w:szCs w:val="20"/>
              </w:rPr>
            </w:pPr>
            <w:r>
              <w:rPr>
                <w:i/>
                <w:sz w:val="20"/>
                <w:szCs w:val="20"/>
              </w:rPr>
              <w:t>Enhancements on PUSCH repetition for low-latency as well as transmission performance.</w:t>
            </w:r>
          </w:p>
          <w:p w14:paraId="45350F87">
            <w:pPr>
              <w:widowControl w:val="0"/>
              <w:numPr>
                <w:ilvl w:val="0"/>
                <w:numId w:val="51"/>
              </w:numPr>
              <w:autoSpaceDE w:val="0"/>
              <w:autoSpaceDN w:val="0"/>
              <w:spacing w:afterLines="50"/>
              <w:ind w:left="420"/>
              <w:jc w:val="both"/>
              <w:rPr>
                <w:i/>
                <w:sz w:val="20"/>
                <w:szCs w:val="20"/>
              </w:rPr>
            </w:pPr>
            <w:r>
              <w:rPr>
                <w:i/>
                <w:sz w:val="20"/>
                <w:szCs w:val="20"/>
              </w:rPr>
              <w:t>MIMO technology along with other topology related mechanisms</w:t>
            </w:r>
          </w:p>
          <w:p w14:paraId="4452B813">
            <w:pPr>
              <w:widowControl w:val="0"/>
              <w:numPr>
                <w:ilvl w:val="0"/>
                <w:numId w:val="51"/>
              </w:numPr>
              <w:autoSpaceDE w:val="0"/>
              <w:autoSpaceDN w:val="0"/>
              <w:spacing w:afterLines="50"/>
              <w:ind w:left="420"/>
              <w:jc w:val="both"/>
              <w:rPr>
                <w:i/>
                <w:sz w:val="20"/>
                <w:szCs w:val="20"/>
              </w:rPr>
            </w:pPr>
            <w:r>
              <w:rPr>
                <w:i/>
                <w:sz w:val="20"/>
                <w:szCs w:val="20"/>
              </w:rPr>
              <w:t>Low PAPR waveform and modulation, along with other power domain enhancement</w:t>
            </w:r>
          </w:p>
        </w:tc>
      </w:tr>
    </w:tbl>
    <w:p w14:paraId="1F419683">
      <w:pPr>
        <w:spacing w:before="120"/>
        <w:rPr>
          <w:rFonts w:eastAsia="等线"/>
        </w:rPr>
      </w:pPr>
    </w:p>
    <w:p w14:paraId="3237DE3B">
      <w:pPr>
        <w:pStyle w:val="3"/>
        <w:spacing w:before="120" w:after="120"/>
        <w:rPr>
          <w:rFonts w:eastAsia="等线"/>
        </w:rPr>
      </w:pPr>
      <w:r>
        <w:rPr>
          <w:rFonts w:hint="eastAsia" w:eastAsia="等线"/>
        </w:rPr>
        <w:t>Discussion</w:t>
      </w:r>
    </w:p>
    <w:p w14:paraId="304A7BB8">
      <w:pPr>
        <w:spacing w:before="120"/>
        <w:jc w:val="both"/>
        <w:rPr>
          <w:szCs w:val="22"/>
        </w:rPr>
      </w:pPr>
      <w:r>
        <w:rPr>
          <w:szCs w:val="22"/>
        </w:rPr>
        <w:t>At RAN1#123, the following agreement was reached:</w:t>
      </w:r>
    </w:p>
    <w:p w14:paraId="34791491">
      <w:pPr>
        <w:spacing w:after="0"/>
        <w:jc w:val="both"/>
        <w:rPr>
          <w:bCs/>
          <w:szCs w:val="22"/>
        </w:rPr>
      </w:pPr>
      <w:r>
        <w:rPr>
          <w:bCs/>
          <w:szCs w:val="22"/>
          <w:highlight w:val="green"/>
        </w:rPr>
        <w:t>Agreement</w:t>
      </w:r>
    </w:p>
    <w:p w14:paraId="2416C689">
      <w:pPr>
        <w:pStyle w:val="63"/>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18CB30AA">
      <w:pPr>
        <w:pStyle w:val="63"/>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616BAC1">
      <w:pPr>
        <w:pStyle w:val="63"/>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71076583">
      <w:pPr>
        <w:pStyle w:val="63"/>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3CE45E8">
      <w:pPr>
        <w:pStyle w:val="63"/>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5B5C9DBC">
      <w:pPr>
        <w:pStyle w:val="63"/>
        <w:numPr>
          <w:ilvl w:val="1"/>
          <w:numId w:val="8"/>
        </w:numPr>
        <w:adjustRightInd/>
        <w:snapToGrid/>
        <w:spacing w:after="0"/>
        <w:ind w:hanging="442"/>
        <w:contextualSpacing/>
        <w:jc w:val="both"/>
        <w:rPr>
          <w:i/>
          <w:iCs/>
          <w:szCs w:val="22"/>
        </w:rPr>
      </w:pPr>
      <w:r>
        <w:rPr>
          <w:i/>
          <w:iCs/>
          <w:szCs w:val="22"/>
        </w:rPr>
        <w:t>Following deployment scenarios are considered</w:t>
      </w:r>
    </w:p>
    <w:p w14:paraId="0B1C27F1">
      <w:pPr>
        <w:pStyle w:val="63"/>
        <w:numPr>
          <w:ilvl w:val="2"/>
          <w:numId w:val="8"/>
        </w:numPr>
        <w:adjustRightInd/>
        <w:snapToGrid/>
        <w:spacing w:after="0"/>
        <w:ind w:hanging="442"/>
        <w:contextualSpacing/>
        <w:jc w:val="both"/>
        <w:rPr>
          <w:i/>
          <w:iCs/>
          <w:szCs w:val="22"/>
        </w:rPr>
      </w:pPr>
      <w:r>
        <w:rPr>
          <w:i/>
          <w:iCs/>
          <w:szCs w:val="22"/>
        </w:rPr>
        <w:t>Urban macro (both O2I and outdoor)</w:t>
      </w:r>
    </w:p>
    <w:p w14:paraId="5234F894">
      <w:pPr>
        <w:pStyle w:val="63"/>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5531302A">
      <w:pPr>
        <w:pStyle w:val="63"/>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5B119266">
      <w:pPr>
        <w:pStyle w:val="63"/>
        <w:numPr>
          <w:ilvl w:val="2"/>
          <w:numId w:val="8"/>
        </w:numPr>
        <w:adjustRightInd/>
        <w:snapToGrid/>
        <w:spacing w:after="0"/>
        <w:ind w:hanging="442"/>
        <w:contextualSpacing/>
        <w:jc w:val="both"/>
        <w:rPr>
          <w:i/>
          <w:iCs/>
          <w:szCs w:val="22"/>
        </w:rPr>
      </w:pPr>
      <w:r>
        <w:rPr>
          <w:i/>
          <w:iCs/>
          <w:szCs w:val="22"/>
        </w:rPr>
        <w:t>[4 GHz] as the existing 5G mid-band</w:t>
      </w:r>
    </w:p>
    <w:p w14:paraId="4C2A3669">
      <w:pPr>
        <w:pStyle w:val="63"/>
        <w:numPr>
          <w:ilvl w:val="2"/>
          <w:numId w:val="8"/>
        </w:numPr>
        <w:adjustRightInd/>
        <w:snapToGrid/>
        <w:spacing w:after="0"/>
        <w:ind w:hanging="442"/>
        <w:contextualSpacing/>
        <w:jc w:val="both"/>
        <w:rPr>
          <w:i/>
          <w:iCs/>
          <w:szCs w:val="22"/>
        </w:rPr>
      </w:pPr>
      <w:r>
        <w:rPr>
          <w:i/>
          <w:iCs/>
          <w:szCs w:val="22"/>
        </w:rPr>
        <w:t>7 GHz as 6G deployment</w:t>
      </w:r>
    </w:p>
    <w:p w14:paraId="0A762E71">
      <w:pPr>
        <w:pStyle w:val="63"/>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71E7397">
      <w:pPr>
        <w:jc w:val="both"/>
        <w:rPr>
          <w:szCs w:val="22"/>
        </w:rPr>
      </w:pPr>
      <w:r>
        <w:rPr>
          <w:szCs w:val="22"/>
        </w:rPr>
        <w:t>At RAN#110, the following agreement on coverage target was reached:</w:t>
      </w:r>
    </w:p>
    <w:p w14:paraId="364529DE">
      <w:pPr>
        <w:spacing w:after="60"/>
        <w:jc w:val="both"/>
        <w:rPr>
          <w:rFonts w:eastAsia="宋体"/>
          <w:szCs w:val="22"/>
        </w:rPr>
      </w:pPr>
      <w:r>
        <w:rPr>
          <w:rFonts w:eastAsia="宋体"/>
          <w:szCs w:val="22"/>
          <w:highlight w:val="green"/>
        </w:rPr>
        <w:t>Agreement</w:t>
      </w:r>
    </w:p>
    <w:p w14:paraId="16640477">
      <w:pPr>
        <w:spacing w:after="0"/>
        <w:jc w:val="both"/>
        <w:rPr>
          <w:i/>
          <w:iCs/>
          <w:szCs w:val="22"/>
        </w:rPr>
      </w:pPr>
      <w:r>
        <w:rPr>
          <w:i/>
          <w:iCs/>
          <w:szCs w:val="22"/>
        </w:rPr>
        <w:t xml:space="preserve">6GR aims to re-use existing 5G mid-band (~3.5 GHz) site grid for 6G deployments in at least around 7 GHz and targeting </w:t>
      </w:r>
    </w:p>
    <w:p w14:paraId="160C0267">
      <w:pPr>
        <w:spacing w:after="0"/>
        <w:jc w:val="both"/>
        <w:rPr>
          <w:i/>
          <w:iCs/>
          <w:szCs w:val="22"/>
        </w:rPr>
      </w:pPr>
      <w:r>
        <w:rPr>
          <w:i/>
          <w:iCs/>
          <w:szCs w:val="22"/>
        </w:rPr>
        <w:t>•</w:t>
      </w:r>
      <w:r>
        <w:rPr>
          <w:i/>
          <w:iCs/>
          <w:szCs w:val="22"/>
        </w:rPr>
        <w:tab/>
      </w:r>
      <w:r>
        <w:rPr>
          <w:i/>
          <w:iCs/>
          <w:szCs w:val="22"/>
        </w:rPr>
        <w:t>Same coverage (as 5G mid-band) for initial access</w:t>
      </w:r>
    </w:p>
    <w:p w14:paraId="65C4F398">
      <w:pPr>
        <w:jc w:val="both"/>
        <w:rPr>
          <w:i/>
          <w:iCs/>
          <w:szCs w:val="22"/>
        </w:rPr>
      </w:pPr>
      <w:r>
        <w:rPr>
          <w:i/>
          <w:iCs/>
          <w:szCs w:val="22"/>
        </w:rPr>
        <w:t>•</w:t>
      </w:r>
      <w:r>
        <w:rPr>
          <w:i/>
          <w:iCs/>
          <w:szCs w:val="22"/>
        </w:rPr>
        <w:tab/>
      </w:r>
      <w:r>
        <w:rPr>
          <w:i/>
          <w:iCs/>
          <w:szCs w:val="22"/>
        </w:rPr>
        <w:t>Comparable to same (as 5G mid-band) coverage for data channels with same data rate</w:t>
      </w:r>
    </w:p>
    <w:p w14:paraId="7720F4C2">
      <w:pPr>
        <w:jc w:val="both"/>
        <w:rPr>
          <w:rFonts w:eastAsia="等线"/>
        </w:rPr>
      </w:pPr>
      <w:r>
        <w:rPr>
          <w:rFonts w:hint="eastAsia" w:eastAsia="等线"/>
        </w:rPr>
        <w:t xml:space="preserve">The email discussion for collecting </w:t>
      </w:r>
      <w:r>
        <w:rPr>
          <w:rFonts w:eastAsia="等线"/>
        </w:rPr>
        <w:t xml:space="preserve">companies’ inputs </w:t>
      </w:r>
      <w:r>
        <w:rPr>
          <w:rFonts w:hint="eastAsia" w:eastAsia="等线"/>
        </w:rPr>
        <w:t>of</w:t>
      </w:r>
      <w:r>
        <w:rPr>
          <w:rFonts w:eastAsia="等线"/>
        </w:rPr>
        <w:t xml:space="preserve"> link budget </w:t>
      </w:r>
      <w:r>
        <w:rPr>
          <w:rFonts w:hint="eastAsia" w:eastAsia="等线"/>
        </w:rPr>
        <w:t>evaluation was summarized in R1-2601181 and 15 companies provided evaluations results. Based on companies</w:t>
      </w:r>
      <w:r>
        <w:rPr>
          <w:rFonts w:eastAsia="等线"/>
        </w:rPr>
        <w:t>’</w:t>
      </w:r>
      <w:r>
        <w:rPr>
          <w:rFonts w:hint="eastAsia" w:eastAsia="等线"/>
        </w:rPr>
        <w:t xml:space="preserve"> input, it can be observed that </w:t>
      </w:r>
      <w:r>
        <w:rPr>
          <w:rFonts w:eastAsia="等线"/>
        </w:rPr>
        <w:t>the</w:t>
      </w:r>
      <w:r>
        <w:rPr>
          <w:rFonts w:hint="eastAsia" w:eastAsia="等线"/>
        </w:rPr>
        <w:t xml:space="preserve"> link budget </w:t>
      </w:r>
      <w:r>
        <w:rPr>
          <w:rFonts w:eastAsia="等线"/>
        </w:rPr>
        <w:t>evaluation</w:t>
      </w:r>
      <w:r>
        <w:rPr>
          <w:rFonts w:hint="eastAsia" w:eastAsia="等线"/>
        </w:rPr>
        <w:t xml:space="preserve"> results are divergent. To identify the reason behind, the </w:t>
      </w:r>
      <w:r>
        <w:rPr>
          <w:rFonts w:eastAsia="等线"/>
        </w:rPr>
        <w:t>performance</w:t>
      </w:r>
      <w:r>
        <w:rPr>
          <w:rFonts w:hint="eastAsia" w:eastAsia="等线"/>
        </w:rPr>
        <w:t xml:space="preserve"> for the </w:t>
      </w:r>
      <w:r>
        <w:rPr>
          <w:rFonts w:eastAsia="等线"/>
        </w:rPr>
        <w:t>bottleneck</w:t>
      </w:r>
      <w:r>
        <w:rPr>
          <w:rFonts w:hint="eastAsia" w:eastAsia="等线"/>
        </w:rPr>
        <w:t xml:space="preserve"> channel, Msg3 in NR mid-band for UMa O2I scenario (</w:t>
      </w:r>
      <w:r>
        <w:rPr>
          <w:rFonts w:eastAsia="等线"/>
        </w:rPr>
        <w:t>Candidate1_UMa - O2I</w:t>
      </w:r>
      <w:r>
        <w:rPr>
          <w:rFonts w:hint="eastAsia" w:eastAsia="等线"/>
        </w:rPr>
        <w:t xml:space="preserve">) are further compared as show in the table below. Therefore, it was proposed to align the parameters for the link budget calculation as much as possible. </w:t>
      </w:r>
    </w:p>
    <w:p w14:paraId="1FB2DD4D">
      <w:pPr>
        <w:jc w:val="both"/>
        <w:rPr>
          <w:rFonts w:eastAsia="等线" w:cs="Times"/>
          <w:iCs/>
          <w:szCs w:val="20"/>
        </w:rPr>
      </w:pPr>
      <w:r>
        <w:rPr>
          <w:rFonts w:hint="eastAsia" w:eastAsia="等线"/>
        </w:rPr>
        <w:t xml:space="preserve">In </w:t>
      </w:r>
      <w:r>
        <w:rPr>
          <w:rFonts w:eastAsia="等线"/>
        </w:rPr>
        <w:t>particular</w:t>
      </w:r>
      <w:r>
        <w:rPr>
          <w:rFonts w:hint="eastAsia" w:eastAsia="等线"/>
        </w:rPr>
        <w:t xml:space="preserve">, </w:t>
      </w:r>
      <w:r>
        <w:rPr>
          <w:rFonts w:eastAsia="等线"/>
        </w:rPr>
        <w:t>companies</w:t>
      </w:r>
      <w:r>
        <w:rPr>
          <w:rFonts w:hint="eastAsia" w:eastAsia="等线"/>
        </w:rPr>
        <w:t xml:space="preserve"> used different parameters in the link budget for the bottleneck channel</w:t>
      </w:r>
      <w:r>
        <w:rPr>
          <w:rFonts w:hint="eastAsia" w:eastAsia="等线" w:cs="Times"/>
          <w:iCs/>
          <w:szCs w:val="20"/>
        </w:rPr>
        <w:t xml:space="preserve">, i.e., Msg3 PUSCH in 5G mid-band. The following table provides a summary of </w:t>
      </w:r>
      <w:r>
        <w:rPr>
          <w:rFonts w:eastAsia="等线" w:cs="Times"/>
          <w:iCs/>
          <w:szCs w:val="20"/>
        </w:rPr>
        <w:t>companies’</w:t>
      </w:r>
      <w:r>
        <w:rPr>
          <w:rFonts w:hint="eastAsia" w:eastAsia="等线" w:cs="Times"/>
          <w:iCs/>
          <w:szCs w:val="20"/>
        </w:rPr>
        <w:t xml:space="preserve"> assumptions and FL </w:t>
      </w:r>
      <w:r>
        <w:rPr>
          <w:rFonts w:eastAsia="等线" w:cs="Times"/>
          <w:iCs/>
          <w:szCs w:val="20"/>
        </w:rPr>
        <w:t>recommendation</w:t>
      </w:r>
      <w:r>
        <w:rPr>
          <w:rFonts w:hint="eastAsia" w:eastAsia="等线" w:cs="Times"/>
          <w:iCs/>
          <w:szCs w:val="20"/>
        </w:rPr>
        <w:t xml:space="preserve">. </w:t>
      </w:r>
    </w:p>
    <w:tbl>
      <w:tblPr>
        <w:tblStyle w:val="1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286"/>
        <w:gridCol w:w="3217"/>
      </w:tblGrid>
      <w:tr w14:paraId="16B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shd w:val="clear" w:color="auto" w:fill="D9E2F3"/>
            <w:vAlign w:val="center"/>
          </w:tcPr>
          <w:p w14:paraId="0C6FC37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36AA17A0">
            <w:pPr>
              <w:keepNext/>
              <w:keepLines/>
              <w:overflowPunct w:val="0"/>
              <w:ind w:left="880" w:hanging="440"/>
              <w:textAlignment w:val="baseline"/>
              <w:rPr>
                <w:rFonts w:ascii="Arial" w:hAnsi="Arial" w:eastAsiaTheme="minorEastAsia"/>
                <w:b/>
                <w:sz w:val="18"/>
                <w:szCs w:val="20"/>
                <w:lang w:val="en-GB"/>
              </w:rPr>
            </w:pPr>
            <w:r>
              <w:rPr>
                <w:rFonts w:hint="eastAsia" w:ascii="Arial" w:hAnsi="Arial" w:eastAsiaTheme="minorEastAsia"/>
                <w:b/>
                <w:sz w:val="18"/>
                <w:szCs w:val="20"/>
                <w:lang w:val="en-GB"/>
              </w:rPr>
              <w:t xml:space="preserve">FL </w:t>
            </w:r>
            <w:r>
              <w:rPr>
                <w:rFonts w:ascii="Arial" w:hAnsi="Arial" w:eastAsiaTheme="minorEastAsia"/>
                <w:b/>
                <w:sz w:val="18"/>
                <w:szCs w:val="20"/>
                <w:lang w:val="en-GB"/>
              </w:rPr>
              <w:t>recommendation</w:t>
            </w:r>
          </w:p>
        </w:tc>
        <w:tc>
          <w:tcPr>
            <w:tcW w:w="3217" w:type="dxa"/>
            <w:shd w:val="clear" w:color="auto" w:fill="D9E2F3"/>
          </w:tcPr>
          <w:p w14:paraId="365930D7">
            <w:pPr>
              <w:keepNext/>
              <w:keepLines/>
              <w:overflowPunct w:val="0"/>
              <w:ind w:left="880" w:hanging="991"/>
              <w:textAlignment w:val="baseline"/>
              <w:rPr>
                <w:rFonts w:ascii="Arial" w:hAnsi="Arial" w:eastAsiaTheme="minorEastAsia"/>
                <w:b/>
                <w:sz w:val="18"/>
                <w:szCs w:val="20"/>
              </w:rPr>
            </w:pPr>
            <w:r>
              <w:rPr>
                <w:rFonts w:ascii="Arial" w:hAnsi="Arial" w:eastAsiaTheme="minorEastAsia"/>
                <w:b/>
                <w:sz w:val="18"/>
                <w:szCs w:val="20"/>
              </w:rPr>
              <w:t>S</w:t>
            </w:r>
            <w:r>
              <w:rPr>
                <w:rFonts w:hint="eastAsia" w:ascii="Arial" w:hAnsi="Arial" w:eastAsiaTheme="minorEastAsia"/>
                <w:b/>
                <w:sz w:val="18"/>
                <w:szCs w:val="20"/>
              </w:rPr>
              <w:t>ummary of companies</w:t>
            </w:r>
            <w:r>
              <w:rPr>
                <w:rFonts w:ascii="Arial" w:hAnsi="Arial" w:eastAsiaTheme="minorEastAsia"/>
                <w:b/>
                <w:sz w:val="18"/>
                <w:szCs w:val="20"/>
              </w:rPr>
              <w:t>’</w:t>
            </w:r>
            <w:r>
              <w:rPr>
                <w:rFonts w:hint="eastAsia" w:ascii="Arial" w:hAnsi="Arial" w:eastAsiaTheme="minorEastAsia"/>
                <w:b/>
                <w:sz w:val="18"/>
                <w:szCs w:val="20"/>
              </w:rPr>
              <w:t xml:space="preserve"> input</w:t>
            </w:r>
          </w:p>
        </w:tc>
      </w:tr>
      <w:tr w14:paraId="614B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BB01F12">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3286" w:type="dxa"/>
            <w:vAlign w:val="center"/>
          </w:tcPr>
          <w:p w14:paraId="2EA4F37F">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c>
          <w:tcPr>
            <w:tcW w:w="3217" w:type="dxa"/>
          </w:tcPr>
          <w:p w14:paraId="091E0FA7">
            <w:pPr>
              <w:spacing w:afterLines="50"/>
              <w:rPr>
                <w:rFonts w:ascii="Arial" w:hAnsi="Arial" w:eastAsia="等线" w:cs="Arial"/>
                <w:sz w:val="18"/>
                <w:szCs w:val="18"/>
                <w:highlight w:val="yellow"/>
              </w:rPr>
            </w:pPr>
            <w:r>
              <w:rPr>
                <w:rFonts w:hint="eastAsia" w:ascii="Arial" w:hAnsi="Arial" w:eastAsiaTheme="minorEastAsia"/>
                <w:sz w:val="18"/>
                <w:szCs w:val="20"/>
                <w:lang w:val="en-GB"/>
              </w:rPr>
              <w:t>Aligned among companies</w:t>
            </w:r>
          </w:p>
        </w:tc>
      </w:tr>
      <w:tr w14:paraId="7CC8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E517C1F">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3286" w:type="dxa"/>
            <w:vAlign w:val="center"/>
          </w:tcPr>
          <w:p w14:paraId="371373F3">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c>
          <w:tcPr>
            <w:tcW w:w="3217" w:type="dxa"/>
          </w:tcPr>
          <w:p w14:paraId="0053FE15">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4GHz</w:t>
            </w:r>
            <w:r>
              <w:rPr>
                <w:rFonts w:hint="eastAsia" w:ascii="Arial" w:hAnsi="Arial" w:eastAsiaTheme="minorEastAsia"/>
                <w:sz w:val="18"/>
                <w:szCs w:val="20"/>
                <w:lang w:val="en-GB"/>
              </w:rPr>
              <w:t>: NTT DOCOMO, [Ericsson], ZTE, Nokia, Sharp, Samsung, OPPO, Spreadtrum,</w:t>
            </w:r>
          </w:p>
          <w:p w14:paraId="31472613">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3.5GHz: </w:t>
            </w:r>
            <w:r>
              <w:rPr>
                <w:rFonts w:hint="eastAsia" w:ascii="Arial" w:hAnsi="Arial" w:eastAsiaTheme="minorEastAsia"/>
                <w:sz w:val="18"/>
                <w:szCs w:val="20"/>
                <w:lang w:val="en-GB"/>
              </w:rPr>
              <w:t>CATT, CMCC, vivo, Xiaomi</w:t>
            </w:r>
          </w:p>
          <w:p w14:paraId="118C7475">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2.6GHz: </w:t>
            </w:r>
            <w:r>
              <w:rPr>
                <w:rFonts w:hint="eastAsia" w:ascii="Arial" w:hAnsi="Arial" w:eastAsiaTheme="minorEastAsia"/>
                <w:sz w:val="18"/>
                <w:szCs w:val="20"/>
                <w:lang w:val="en-GB"/>
              </w:rPr>
              <w:t xml:space="preserve">CATT, </w:t>
            </w:r>
            <w:r>
              <w:rPr>
                <w:rFonts w:ascii="Arial" w:hAnsi="Arial" w:eastAsia="MS Mincho"/>
                <w:sz w:val="18"/>
                <w:szCs w:val="20"/>
                <w:lang w:val="en-GB" w:eastAsia="en-US"/>
              </w:rPr>
              <w:t xml:space="preserve">CMCC, </w:t>
            </w:r>
            <w:r>
              <w:rPr>
                <w:rFonts w:hint="eastAsia" w:ascii="Arial" w:hAnsi="Arial" w:eastAsiaTheme="minorEastAsia"/>
                <w:sz w:val="18"/>
                <w:szCs w:val="20"/>
                <w:lang w:val="en-GB"/>
              </w:rPr>
              <w:t>vivo, Xiaomi, ZTE</w:t>
            </w:r>
          </w:p>
          <w:p w14:paraId="545C6E4A">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3.3GHz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H</w:t>
            </w:r>
            <w:r>
              <w:rPr>
                <w:rFonts w:hint="eastAsia" w:ascii="Arial" w:hAnsi="Arial" w:eastAsiaTheme="minorEastAsia"/>
                <w:sz w:val="18"/>
                <w:szCs w:val="20"/>
                <w:lang w:val="en-GB"/>
              </w:rPr>
              <w:t>uawei</w:t>
            </w:r>
          </w:p>
          <w:p w14:paraId="78FFF927">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3.4GHz: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China Telecom</w:t>
            </w:r>
          </w:p>
          <w:p w14:paraId="0F063911">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2.5GHz</w:t>
            </w:r>
            <w:r>
              <w:rPr>
                <w:rFonts w:hint="eastAsia" w:ascii="Arial" w:hAnsi="Arial" w:eastAsiaTheme="minorEastAsia"/>
                <w:sz w:val="18"/>
                <w:szCs w:val="20"/>
                <w:lang w:val="en-GB"/>
              </w:rPr>
              <w:t>: Huawei</w:t>
            </w:r>
          </w:p>
        </w:tc>
      </w:tr>
      <w:tr w14:paraId="54E1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13D5719">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3286" w:type="dxa"/>
            <w:vAlign w:val="center"/>
          </w:tcPr>
          <w:p w14:paraId="49430FA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c>
          <w:tcPr>
            <w:tcW w:w="3217" w:type="dxa"/>
          </w:tcPr>
          <w:p w14:paraId="2CBC7500">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3F3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449FD12">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3286" w:type="dxa"/>
            <w:vAlign w:val="center"/>
          </w:tcPr>
          <w:p w14:paraId="057E77C8">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c>
          <w:tcPr>
            <w:tcW w:w="3217" w:type="dxa"/>
          </w:tcPr>
          <w:p w14:paraId="5FC5D7C5">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5D44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1D654FB">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3286" w:type="dxa"/>
            <w:vAlign w:val="center"/>
          </w:tcPr>
          <w:p w14:paraId="468715B2">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c>
          <w:tcPr>
            <w:tcW w:w="3217" w:type="dxa"/>
          </w:tcPr>
          <w:p w14:paraId="475838E3">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90%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1E8B3389">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95%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581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23E782A">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3286" w:type="dxa"/>
            <w:vAlign w:val="center"/>
          </w:tcPr>
          <w:p w14:paraId="2194A3A0">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c>
          <w:tcPr>
            <w:tcW w:w="3217" w:type="dxa"/>
          </w:tcPr>
          <w:p w14:paraId="5E55E5B9">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vivo, CMCC, Xiaomi, Samsung, OPPO, Spreadtrum, China Telecom, Sharp</w:t>
            </w:r>
          </w:p>
          <w:p w14:paraId="205AD7AE">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6: CATT, Huawei</w:t>
            </w:r>
          </w:p>
        </w:tc>
      </w:tr>
      <w:tr w14:paraId="5E2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CD9B5A7">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3286" w:type="dxa"/>
            <w:vAlign w:val="center"/>
          </w:tcPr>
          <w:p w14:paraId="671A84F5">
            <w:pPr>
              <w:keepNext/>
              <w:keepLines/>
              <w:rPr>
                <w:rFonts w:ascii="Arial" w:hAnsi="Arial" w:eastAsiaTheme="minorEastAsia"/>
                <w:sz w:val="18"/>
                <w:szCs w:val="20"/>
                <w:lang w:val="en-GB"/>
              </w:rPr>
            </w:pPr>
          </w:p>
        </w:tc>
        <w:tc>
          <w:tcPr>
            <w:tcW w:w="3217" w:type="dxa"/>
          </w:tcPr>
          <w:p w14:paraId="7F6B9B2B">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N/A</w:t>
            </w:r>
          </w:p>
        </w:tc>
      </w:tr>
      <w:tr w14:paraId="402F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57295E2">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3286" w:type="dxa"/>
            <w:vAlign w:val="center"/>
          </w:tcPr>
          <w:p w14:paraId="47ECF03E">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c>
          <w:tcPr>
            <w:tcW w:w="3217" w:type="dxa"/>
          </w:tcPr>
          <w:p w14:paraId="67C95F26">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8: Huawei, Sharp</w:t>
            </w:r>
          </w:p>
          <w:p w14:paraId="335432D6">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China Telecom</w:t>
            </w:r>
          </w:p>
        </w:tc>
      </w:tr>
      <w:tr w14:paraId="7A6E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6698A69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093CBEC3">
            <w:pPr>
              <w:keepNext/>
              <w:keepLines/>
              <w:overflowPunct w:val="0"/>
              <w:spacing w:afterLines="50"/>
              <w:ind w:left="880" w:hanging="440"/>
              <w:jc w:val="center"/>
              <w:textAlignment w:val="baseline"/>
              <w:rPr>
                <w:rFonts w:ascii="Arial" w:hAnsi="Arial"/>
                <w:b/>
                <w:sz w:val="18"/>
                <w:szCs w:val="20"/>
                <w:lang w:eastAsia="en-GB"/>
              </w:rPr>
            </w:pPr>
          </w:p>
        </w:tc>
      </w:tr>
      <w:tr w14:paraId="2BB1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F04EB93">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3286" w:type="dxa"/>
            <w:vAlign w:val="center"/>
          </w:tcPr>
          <w:p w14:paraId="4ACE1109">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5E706DAB">
            <w:pPr>
              <w:spacing w:afterLines="50"/>
              <w:rPr>
                <w:rFonts w:ascii="Arial" w:hAnsi="Arial" w:eastAsia="等线" w:cs="Arial"/>
                <w:sz w:val="18"/>
                <w:szCs w:val="18"/>
                <w:highlight w:val="yellow"/>
              </w:rPr>
            </w:pPr>
            <w:r>
              <w:rPr>
                <w:rFonts w:ascii="Arial" w:hAnsi="Arial" w:cs="Arial" w:eastAsiaTheme="minorEastAsia"/>
                <w:sz w:val="18"/>
                <w:szCs w:val="18"/>
                <w:lang w:val="en-GB"/>
              </w:rPr>
              <w:t xml:space="preserve">1: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1A2C2C70">
            <w:pPr>
              <w:keepNext/>
              <w:keepLines/>
              <w:spacing w:afterLines="50"/>
              <w:rPr>
                <w:rFonts w:ascii="Arial" w:hAnsi="Arial" w:eastAsiaTheme="minorEastAsia"/>
                <w:sz w:val="18"/>
                <w:szCs w:val="20"/>
              </w:rPr>
            </w:pPr>
            <w:r>
              <w:rPr>
                <w:rFonts w:ascii="Arial" w:hAnsi="Arial" w:cs="Arial" w:eastAsiaTheme="minorEastAsia"/>
                <w:sz w:val="18"/>
                <w:szCs w:val="18"/>
              </w:rPr>
              <w:t>2: ZTE</w:t>
            </w:r>
          </w:p>
        </w:tc>
      </w:tr>
      <w:tr w14:paraId="771B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57DB0D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3286" w:type="dxa"/>
            <w:vAlign w:val="center"/>
          </w:tcPr>
          <w:p w14:paraId="51F64F58">
            <w:pPr>
              <w:keepNext/>
              <w:keepLines/>
              <w:rPr>
                <w:rFonts w:ascii="Arial" w:hAnsi="Arial" w:eastAsiaTheme="minorEastAsia"/>
                <w:sz w:val="18"/>
                <w:szCs w:val="20"/>
                <w:lang w:val="en-GB"/>
              </w:rPr>
            </w:pPr>
          </w:p>
        </w:tc>
        <w:tc>
          <w:tcPr>
            <w:tcW w:w="3217" w:type="dxa"/>
          </w:tcPr>
          <w:p w14:paraId="714ECCFD">
            <w:pPr>
              <w:keepNext/>
              <w:keepLines/>
              <w:spacing w:afterLines="50"/>
              <w:rPr>
                <w:rFonts w:ascii="Arial" w:hAnsi="Arial" w:eastAsiaTheme="minorEastAsia"/>
                <w:sz w:val="18"/>
                <w:szCs w:val="20"/>
                <w:lang w:val="en-GB"/>
              </w:rPr>
            </w:pPr>
          </w:p>
        </w:tc>
      </w:tr>
      <w:tr w14:paraId="04C2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2E5F6EF">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3286" w:type="dxa"/>
            <w:vAlign w:val="center"/>
          </w:tcPr>
          <w:p w14:paraId="2B3F0F42">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2D39280D">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3631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B86C8C4">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3286" w:type="dxa"/>
            <w:vAlign w:val="center"/>
          </w:tcPr>
          <w:p w14:paraId="6CD0CFF5">
            <w:pPr>
              <w:keepLines/>
              <w:rPr>
                <w:rFonts w:ascii="Arial" w:hAnsi="Arial" w:eastAsiaTheme="minorEastAsia"/>
                <w:sz w:val="18"/>
                <w:szCs w:val="20"/>
                <w:lang w:val="en-GB"/>
              </w:rPr>
            </w:pPr>
            <w:r>
              <w:rPr>
                <w:rFonts w:hint="eastAsia" w:ascii="Arial" w:hAnsi="Arial" w:eastAsiaTheme="minorEastAsia"/>
                <w:sz w:val="18"/>
                <w:szCs w:val="20"/>
                <w:lang w:val="en-GB"/>
              </w:rPr>
              <w:t>23</w:t>
            </w:r>
          </w:p>
        </w:tc>
        <w:tc>
          <w:tcPr>
            <w:tcW w:w="3217" w:type="dxa"/>
          </w:tcPr>
          <w:p w14:paraId="21C6D228">
            <w:pPr>
              <w:keepLines/>
              <w:spacing w:afterLines="50"/>
              <w:jc w:val="both"/>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63790E96">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3BDB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5947955">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3286" w:type="dxa"/>
            <w:vAlign w:val="center"/>
          </w:tcPr>
          <w:p w14:paraId="4BFF69ED">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c>
          <w:tcPr>
            <w:tcW w:w="3217" w:type="dxa"/>
          </w:tcPr>
          <w:p w14:paraId="208F7DD8">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1A5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0896AB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3286" w:type="dxa"/>
            <w:vAlign w:val="center"/>
          </w:tcPr>
          <w:p w14:paraId="62D0FC7F">
            <w:pPr>
              <w:keepNext/>
              <w:keepLines/>
              <w:rPr>
                <w:rFonts w:ascii="Arial" w:hAnsi="Arial" w:eastAsia="MS Mincho"/>
                <w:sz w:val="18"/>
                <w:szCs w:val="20"/>
                <w:lang w:val="en-GB" w:eastAsia="en-US"/>
              </w:rPr>
            </w:pPr>
          </w:p>
        </w:tc>
        <w:tc>
          <w:tcPr>
            <w:tcW w:w="3217" w:type="dxa"/>
          </w:tcPr>
          <w:p w14:paraId="06738F8C">
            <w:pPr>
              <w:keepNext/>
              <w:keepLines/>
              <w:spacing w:afterLines="50"/>
              <w:rPr>
                <w:rFonts w:ascii="Arial" w:hAnsi="Arial" w:eastAsia="MS Mincho"/>
                <w:sz w:val="18"/>
                <w:szCs w:val="20"/>
                <w:lang w:val="en-GB" w:eastAsia="en-US"/>
              </w:rPr>
            </w:pPr>
          </w:p>
        </w:tc>
      </w:tr>
      <w:tr w14:paraId="55A6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966C72F">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3286" w:type="dxa"/>
            <w:vAlign w:val="center"/>
          </w:tcPr>
          <w:p w14:paraId="46F40C52">
            <w:pPr>
              <w:keepNext/>
              <w:keepLines/>
              <w:rPr>
                <w:rFonts w:ascii="Arial" w:hAnsi="Arial" w:eastAsiaTheme="minorEastAsia"/>
                <w:sz w:val="18"/>
                <w:szCs w:val="20"/>
                <w:lang w:val="en-GB"/>
              </w:rPr>
            </w:pPr>
          </w:p>
        </w:tc>
        <w:tc>
          <w:tcPr>
            <w:tcW w:w="3217" w:type="dxa"/>
          </w:tcPr>
          <w:p w14:paraId="1B89931D">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07DD738A">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2FAB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2C6F676">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3286" w:type="dxa"/>
            <w:vAlign w:val="center"/>
          </w:tcPr>
          <w:p w14:paraId="05EA0415">
            <w:pPr>
              <w:keepNext/>
              <w:keepLines/>
              <w:rPr>
                <w:rFonts w:ascii="Arial" w:hAnsi="Arial" w:eastAsia="MS Mincho"/>
                <w:sz w:val="18"/>
                <w:szCs w:val="20"/>
                <w:lang w:val="en-GB" w:eastAsia="en-US"/>
              </w:rPr>
            </w:pPr>
          </w:p>
        </w:tc>
        <w:tc>
          <w:tcPr>
            <w:tcW w:w="3217" w:type="dxa"/>
          </w:tcPr>
          <w:p w14:paraId="7DAB4CBA">
            <w:pPr>
              <w:keepNext/>
              <w:keepLines/>
              <w:spacing w:afterLines="50"/>
              <w:rPr>
                <w:rFonts w:ascii="Arial" w:hAnsi="Arial" w:eastAsia="MS Mincho"/>
                <w:sz w:val="18"/>
                <w:szCs w:val="20"/>
                <w:lang w:val="en-GB" w:eastAsia="en-US"/>
              </w:rPr>
            </w:pPr>
          </w:p>
        </w:tc>
      </w:tr>
      <w:tr w14:paraId="5273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005F4B1">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3286" w:type="dxa"/>
            <w:vAlign w:val="center"/>
          </w:tcPr>
          <w:p w14:paraId="5F8923F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2B3653C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5E392CAB">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5D7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760B7EA">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3286" w:type="dxa"/>
            <w:vAlign w:val="center"/>
          </w:tcPr>
          <w:p w14:paraId="147C4D9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7FB8B167">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6B7AB4AD">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728D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2F01041">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3286" w:type="dxa"/>
            <w:vAlign w:val="center"/>
          </w:tcPr>
          <w:p w14:paraId="4EAC36F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3FC5D27D">
            <w:pPr>
              <w:spacing w:afterLines="50"/>
              <w:rPr>
                <w:rFonts w:ascii="Arial" w:hAnsi="Arial" w:eastAsia="等线" w:cs="Arial"/>
                <w:sz w:val="18"/>
                <w:szCs w:val="18"/>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2328E2B3">
            <w:pPr>
              <w:spacing w:afterLines="50"/>
              <w:rPr>
                <w:rFonts w:ascii="Arial" w:hAnsi="Arial" w:eastAsia="等线" w:cs="Arial"/>
                <w:sz w:val="18"/>
                <w:szCs w:val="18"/>
                <w:highlight w:val="yellow"/>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5C4C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F251D1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3286" w:type="dxa"/>
            <w:vAlign w:val="center"/>
          </w:tcPr>
          <w:p w14:paraId="0DDA0141">
            <w:pPr>
              <w:keepNext/>
              <w:keepLines/>
              <w:rPr>
                <w:rFonts w:ascii="Arial" w:hAnsi="Arial" w:eastAsiaTheme="minorEastAsia"/>
                <w:sz w:val="18"/>
                <w:szCs w:val="20"/>
                <w:lang w:val="en-GB"/>
              </w:rPr>
            </w:pPr>
            <w:r>
              <w:rPr>
                <w:rFonts w:ascii="Arial" w:hAnsi="Arial" w:eastAsia="MS Mincho"/>
                <w:sz w:val="18"/>
                <w:szCs w:val="20"/>
                <w:lang w:val="en-GB" w:eastAsia="en-US"/>
              </w:rPr>
              <w:t>0</w:t>
            </w:r>
          </w:p>
        </w:tc>
        <w:tc>
          <w:tcPr>
            <w:tcW w:w="3217" w:type="dxa"/>
          </w:tcPr>
          <w:p w14:paraId="7F6EE4CA">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5541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D7BACE0">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3CA4075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7BBB232B">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7FA2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F3B1ED0">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5A19DCA4">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2D325992">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1F70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8C294AB">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BCE332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08DEAAA">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5F2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0718435">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5A7A5738">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2270DF08">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3B6D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F4C094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3286" w:type="dxa"/>
            <w:vAlign w:val="center"/>
          </w:tcPr>
          <w:p w14:paraId="630BA155">
            <w:pPr>
              <w:keepNext/>
              <w:keepLines/>
              <w:rPr>
                <w:rFonts w:ascii="Arial" w:hAnsi="Arial" w:eastAsia="MS Mincho"/>
                <w:sz w:val="18"/>
                <w:szCs w:val="20"/>
                <w:lang w:val="en-GB" w:eastAsia="en-US"/>
              </w:rPr>
            </w:pPr>
          </w:p>
        </w:tc>
        <w:tc>
          <w:tcPr>
            <w:tcW w:w="3217" w:type="dxa"/>
          </w:tcPr>
          <w:p w14:paraId="503925DA">
            <w:pPr>
              <w:keepNext/>
              <w:keepLines/>
              <w:spacing w:afterLines="50"/>
              <w:rPr>
                <w:rFonts w:ascii="Arial" w:hAnsi="Arial" w:eastAsia="MS Mincho"/>
                <w:sz w:val="18"/>
                <w:szCs w:val="20"/>
                <w:lang w:val="en-GB" w:eastAsia="en-US"/>
              </w:rPr>
            </w:pPr>
          </w:p>
        </w:tc>
      </w:tr>
      <w:tr w14:paraId="6CE8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030BF9E3">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7D7E2F43">
            <w:pPr>
              <w:keepNext/>
              <w:keepLines/>
              <w:overflowPunct w:val="0"/>
              <w:spacing w:afterLines="50"/>
              <w:ind w:left="880" w:hanging="440"/>
              <w:jc w:val="center"/>
              <w:textAlignment w:val="baseline"/>
              <w:rPr>
                <w:rFonts w:ascii="Arial" w:hAnsi="Arial"/>
                <w:b/>
                <w:sz w:val="18"/>
                <w:szCs w:val="20"/>
                <w:lang w:eastAsia="en-GB"/>
              </w:rPr>
            </w:pPr>
          </w:p>
        </w:tc>
      </w:tr>
      <w:tr w14:paraId="3490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C69ACB6">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3286" w:type="dxa"/>
            <w:vAlign w:val="center"/>
          </w:tcPr>
          <w:p w14:paraId="1D1392F8">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c>
          <w:tcPr>
            <w:tcW w:w="3217" w:type="dxa"/>
          </w:tcPr>
          <w:p w14:paraId="12F9E733">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192</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18273E5C">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128</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3A9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6D14071">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3286" w:type="dxa"/>
            <w:vAlign w:val="center"/>
          </w:tcPr>
          <w:p w14:paraId="74A1E60C">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c>
          <w:tcPr>
            <w:tcW w:w="3217" w:type="dxa"/>
          </w:tcPr>
          <w:p w14:paraId="020340A4">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64</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51D384CE">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32</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22C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CD09B26">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3286" w:type="dxa"/>
            <w:vAlign w:val="center"/>
          </w:tcPr>
          <w:p w14:paraId="49DCE116">
            <w:pPr>
              <w:keepNext/>
              <w:keepLines/>
              <w:rPr>
                <w:rFonts w:ascii="Arial" w:hAnsi="Arial" w:eastAsiaTheme="minorEastAsia"/>
                <w:sz w:val="18"/>
                <w:szCs w:val="20"/>
                <w:lang w:val="da-DK"/>
              </w:rPr>
            </w:pPr>
            <w:r>
              <w:rPr>
                <w:rFonts w:ascii="Arial" w:hAnsi="Arial"/>
                <w:sz w:val="18"/>
                <w:szCs w:val="20"/>
                <w:lang w:val="en-GB" w:eastAsia="en-US"/>
              </w:rPr>
              <w:t>Reported by companies</w:t>
            </w:r>
          </w:p>
        </w:tc>
        <w:tc>
          <w:tcPr>
            <w:tcW w:w="3217" w:type="dxa"/>
          </w:tcPr>
          <w:p w14:paraId="39B3F27E">
            <w:pPr>
              <w:keepNext/>
              <w:keepLines/>
              <w:spacing w:afterLines="50"/>
              <w:rPr>
                <w:rFonts w:ascii="Arial" w:hAnsi="Arial" w:eastAsia="等线" w:cs="Arial"/>
                <w:sz w:val="18"/>
                <w:szCs w:val="18"/>
                <w:lang w:val="da-DK"/>
              </w:rPr>
            </w:pPr>
            <w:r>
              <w:rPr>
                <w:rFonts w:ascii="Arial" w:hAnsi="Arial" w:eastAsiaTheme="minorEastAsia"/>
                <w:sz w:val="18"/>
                <w:szCs w:val="20"/>
                <w:lang w:val="da-DK"/>
              </w:rPr>
              <w:t xml:space="preserve">4: </w:t>
            </w:r>
            <w:r>
              <w:rPr>
                <w:rFonts w:ascii="Arial" w:hAnsi="Arial" w:eastAsia="等线" w:cs="Arial"/>
                <w:sz w:val="18"/>
                <w:szCs w:val="18"/>
                <w:lang w:val="da-DK"/>
              </w:rPr>
              <w:t>NTT DOCOMO, CMCC, CATT, Xiaomi, Samsung, Spreadtrum, Nokia, Sharp, ZTE, Ericsson</w:t>
            </w:r>
          </w:p>
          <w:p w14:paraId="476A9C06">
            <w:pPr>
              <w:keepNext/>
              <w:keepLines/>
              <w:spacing w:afterLines="50"/>
              <w:rPr>
                <w:rFonts w:ascii="Arial" w:hAnsi="Arial" w:eastAsia="等线" w:cs="Arial"/>
                <w:sz w:val="18"/>
                <w:szCs w:val="18"/>
              </w:rPr>
            </w:pPr>
            <w:r>
              <w:rPr>
                <w:rFonts w:hint="eastAsia" w:ascii="Arial" w:hAnsi="Arial" w:eastAsia="等线" w:cs="Arial"/>
                <w:sz w:val="18"/>
                <w:szCs w:val="18"/>
              </w:rPr>
              <w:t xml:space="preserve">2: vivo, </w:t>
            </w:r>
            <w:r>
              <w:rPr>
                <w:rFonts w:ascii="Arial" w:hAnsi="Arial" w:eastAsia="等线" w:cs="Arial"/>
                <w:sz w:val="18"/>
                <w:szCs w:val="18"/>
              </w:rPr>
              <w:t>OPPO</w:t>
            </w:r>
            <w:r>
              <w:rPr>
                <w:rFonts w:hint="eastAsia" w:ascii="Arial" w:hAnsi="Arial" w:eastAsia="等线" w:cs="Arial"/>
                <w:sz w:val="18"/>
                <w:szCs w:val="18"/>
              </w:rPr>
              <w:t>, China Telecom</w:t>
            </w:r>
          </w:p>
          <w:p w14:paraId="5FF05A42">
            <w:pPr>
              <w:keepNext/>
              <w:keepLines/>
              <w:spacing w:afterLines="50"/>
              <w:rPr>
                <w:rFonts w:ascii="Arial" w:hAnsi="Arial" w:eastAsia="等线" w:cs="Arial"/>
                <w:sz w:val="18"/>
                <w:szCs w:val="18"/>
              </w:rPr>
            </w:pPr>
            <w:r>
              <w:rPr>
                <w:rFonts w:hint="eastAsia" w:ascii="Arial" w:hAnsi="Arial" w:cs="Arial" w:eastAsiaTheme="minorEastAsia"/>
                <w:sz w:val="18"/>
                <w:szCs w:val="18"/>
              </w:rPr>
              <w:t>64</w:t>
            </w:r>
            <w:r>
              <w:rPr>
                <w:rFonts w:ascii="Arial" w:hAnsi="Arial" w:cs="Arial" w:eastAsiaTheme="minorEastAsia"/>
                <w:sz w:val="18"/>
                <w:szCs w:val="18"/>
              </w:rPr>
              <w:t xml:space="preserve">: </w:t>
            </w:r>
            <w:r>
              <w:rPr>
                <w:rFonts w:ascii="Arial" w:hAnsi="Arial" w:eastAsia="等线" w:cs="Arial"/>
                <w:sz w:val="18"/>
                <w:szCs w:val="18"/>
              </w:rPr>
              <w:t>Huawei</w:t>
            </w:r>
          </w:p>
        </w:tc>
      </w:tr>
      <w:tr w14:paraId="67FD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2E405B6">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3286" w:type="dxa"/>
            <w:vAlign w:val="center"/>
          </w:tcPr>
          <w:p w14:paraId="40BBFFA4">
            <w:pPr>
              <w:keepNext/>
              <w:keepLines/>
              <w:rPr>
                <w:rFonts w:ascii="Arial" w:hAnsi="Arial" w:eastAsia="MS Mincho"/>
                <w:sz w:val="18"/>
                <w:szCs w:val="20"/>
                <w:lang w:val="en-GB" w:eastAsia="en-US"/>
              </w:rPr>
            </w:pPr>
          </w:p>
        </w:tc>
        <w:tc>
          <w:tcPr>
            <w:tcW w:w="3217" w:type="dxa"/>
          </w:tcPr>
          <w:p w14:paraId="074B1F55">
            <w:pPr>
              <w:keepNext/>
              <w:keepLines/>
              <w:spacing w:afterLines="50"/>
              <w:rPr>
                <w:rFonts w:ascii="Arial" w:hAnsi="Arial" w:eastAsia="MS Mincho"/>
                <w:sz w:val="18"/>
                <w:szCs w:val="20"/>
                <w:lang w:val="en-GB" w:eastAsia="en-US"/>
              </w:rPr>
            </w:pPr>
          </w:p>
        </w:tc>
      </w:tr>
      <w:tr w14:paraId="5920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A74C022">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3286" w:type="dxa"/>
            <w:vAlign w:val="center"/>
          </w:tcPr>
          <w:p w14:paraId="3BFB7E0B">
            <w:pPr>
              <w:keepNext/>
              <w:keepLines/>
              <w:rPr>
                <w:rFonts w:ascii="Arial" w:hAnsi="Arial" w:eastAsia="MS Mincho"/>
                <w:sz w:val="18"/>
                <w:szCs w:val="20"/>
                <w:lang w:val="en-GB" w:eastAsia="en-US"/>
              </w:rPr>
            </w:pPr>
          </w:p>
        </w:tc>
        <w:tc>
          <w:tcPr>
            <w:tcW w:w="3217" w:type="dxa"/>
          </w:tcPr>
          <w:p w14:paraId="3A1F2D7C">
            <w:pPr>
              <w:keepNext/>
              <w:keepLines/>
              <w:spacing w:afterLines="50"/>
              <w:rPr>
                <w:rFonts w:ascii="Arial" w:hAnsi="Arial" w:eastAsia="MS Mincho"/>
                <w:sz w:val="18"/>
                <w:szCs w:val="20"/>
                <w:lang w:val="en-GB" w:eastAsia="en-US"/>
              </w:rPr>
            </w:pPr>
          </w:p>
        </w:tc>
      </w:tr>
      <w:tr w14:paraId="0739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836F16E">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3286" w:type="dxa"/>
            <w:vAlign w:val="center"/>
          </w:tcPr>
          <w:p w14:paraId="4ED8F6E1">
            <w:pPr>
              <w:keepNext/>
              <w:keepLines/>
              <w:rPr>
                <w:rFonts w:ascii="Arial" w:hAnsi="Arial"/>
                <w:sz w:val="18"/>
                <w:szCs w:val="20"/>
                <w:lang w:val="en-GB" w:eastAsia="en-US"/>
              </w:rPr>
            </w:pPr>
            <w:r>
              <w:rPr>
                <w:rFonts w:hint="eastAsia" w:ascii="Arial" w:hAnsi="Arial" w:eastAsiaTheme="minorEastAsia"/>
                <w:sz w:val="18"/>
                <w:szCs w:val="20"/>
                <w:lang w:val="en-GB"/>
              </w:rPr>
              <w:t>0</w:t>
            </w:r>
          </w:p>
        </w:tc>
        <w:tc>
          <w:tcPr>
            <w:tcW w:w="3217" w:type="dxa"/>
          </w:tcPr>
          <w:p w14:paraId="7484017B">
            <w:pPr>
              <w:keepNext/>
              <w:keepLines/>
              <w:spacing w:afterLines="50"/>
              <w:rPr>
                <w:rFonts w:ascii="Arial" w:hAnsi="Arial"/>
                <w:sz w:val="18"/>
                <w:szCs w:val="20"/>
                <w:lang w:val="en-GB" w:eastAsia="en-US"/>
              </w:rPr>
            </w:pPr>
          </w:p>
        </w:tc>
      </w:tr>
      <w:tr w14:paraId="1641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074C805">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3286" w:type="dxa"/>
            <w:vAlign w:val="center"/>
          </w:tcPr>
          <w:p w14:paraId="2B2A49D3">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c>
          <w:tcPr>
            <w:tcW w:w="3217" w:type="dxa"/>
          </w:tcPr>
          <w:p w14:paraId="105EED9C">
            <w:pPr>
              <w:keepNext/>
              <w:keepLines/>
              <w:spacing w:afterLines="50"/>
              <w:rPr>
                <w:rFonts w:ascii="Arial" w:hAnsi="Arial" w:eastAsia="等线" w:cs="Arial"/>
                <w:sz w:val="18"/>
                <w:szCs w:val="18"/>
              </w:rPr>
            </w:pPr>
            <w:r>
              <w:rPr>
                <w:rFonts w:hint="eastAsia" w:ascii="Arial" w:hAnsi="Arial" w:eastAsiaTheme="minorEastAsia"/>
                <w:sz w:val="18"/>
                <w:szCs w:val="20"/>
                <w:lang w:val="en-GB"/>
              </w:rPr>
              <w:t>8:</w:t>
            </w:r>
            <w:r>
              <w:rPr>
                <w:rFonts w:ascii="Arial" w:hAnsi="Arial" w:eastAsia="等线" w:cs="Arial"/>
                <w:sz w:val="18"/>
                <w:szCs w:val="18"/>
              </w:rPr>
              <w:t xml:space="preserve"> CMCC, 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ZTE</w:t>
            </w:r>
            <w:r>
              <w:rPr>
                <w:rFonts w:ascii="Arial" w:hAnsi="Arial" w:eastAsia="等线" w:cs="Arial"/>
                <w:sz w:val="18"/>
                <w:szCs w:val="18"/>
              </w:rPr>
              <w:t>,</w:t>
            </w:r>
            <w:r>
              <w:rPr>
                <w:rFonts w:hint="eastAsia" w:ascii="Arial" w:hAnsi="Arial" w:eastAsia="等线" w:cs="Arial"/>
                <w:sz w:val="18"/>
                <w:szCs w:val="18"/>
              </w:rPr>
              <w:t xml:space="preserve"> Ericsson, vivo, </w:t>
            </w:r>
            <w:r>
              <w:rPr>
                <w:rFonts w:ascii="Arial" w:hAnsi="Arial" w:eastAsia="等线" w:cs="Arial"/>
                <w:sz w:val="18"/>
                <w:szCs w:val="18"/>
              </w:rPr>
              <w:t>OPPO</w:t>
            </w:r>
            <w:r>
              <w:rPr>
                <w:rFonts w:hint="eastAsia" w:ascii="Arial" w:hAnsi="Arial" w:eastAsia="等线" w:cs="Arial"/>
                <w:sz w:val="18"/>
                <w:szCs w:val="18"/>
              </w:rPr>
              <w:t>, China Telecom</w:t>
            </w:r>
          </w:p>
          <w:p w14:paraId="24CE37DD">
            <w:pPr>
              <w:keepNext/>
              <w:keepLines/>
              <w:spacing w:afterLines="50"/>
              <w:rPr>
                <w:rFonts w:ascii="Arial" w:hAnsi="Arial" w:eastAsia="等线" w:cs="Arial"/>
                <w:sz w:val="18"/>
                <w:szCs w:val="18"/>
              </w:rPr>
            </w:pPr>
            <w:r>
              <w:rPr>
                <w:rFonts w:hint="eastAsia" w:ascii="Arial" w:hAnsi="Arial" w:eastAsia="等线" w:cs="Arial"/>
                <w:sz w:val="18"/>
                <w:szCs w:val="18"/>
              </w:rPr>
              <w:t xml:space="preserve">4: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tc>
      </w:tr>
      <w:tr w14:paraId="2059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9BA3412">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776C9A56">
            <w:pPr>
              <w:keepNext/>
              <w:keepLines/>
              <w:rPr>
                <w:rFonts w:ascii="Arial" w:hAnsi="Arial" w:eastAsia="MS Mincho"/>
                <w:sz w:val="18"/>
                <w:szCs w:val="20"/>
                <w:lang w:val="en-GB" w:eastAsia="en-US"/>
              </w:rPr>
            </w:pPr>
          </w:p>
        </w:tc>
        <w:tc>
          <w:tcPr>
            <w:tcW w:w="3217" w:type="dxa"/>
          </w:tcPr>
          <w:p w14:paraId="1C69C291">
            <w:pPr>
              <w:keepNext/>
              <w:keepLines/>
              <w:spacing w:afterLines="50"/>
              <w:rPr>
                <w:rFonts w:ascii="Arial" w:hAnsi="Arial" w:eastAsia="MS Mincho"/>
                <w:sz w:val="18"/>
                <w:szCs w:val="20"/>
                <w:lang w:val="en-GB" w:eastAsia="en-US"/>
              </w:rPr>
            </w:pPr>
          </w:p>
        </w:tc>
      </w:tr>
      <w:tr w14:paraId="2B89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442F0CE">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071CEDA0">
            <w:pPr>
              <w:keepNext/>
              <w:keepLines/>
              <w:rPr>
                <w:rFonts w:ascii="Arial" w:hAnsi="Arial" w:eastAsia="MS Mincho"/>
                <w:sz w:val="18"/>
                <w:szCs w:val="20"/>
                <w:lang w:val="en-GB" w:eastAsia="en-US"/>
              </w:rPr>
            </w:pPr>
          </w:p>
        </w:tc>
        <w:tc>
          <w:tcPr>
            <w:tcW w:w="3217" w:type="dxa"/>
          </w:tcPr>
          <w:p w14:paraId="7BD4BDFB">
            <w:pPr>
              <w:keepNext/>
              <w:keepLines/>
              <w:spacing w:afterLines="50"/>
              <w:rPr>
                <w:rFonts w:ascii="Arial" w:hAnsi="Arial" w:eastAsia="MS Mincho"/>
                <w:sz w:val="18"/>
                <w:szCs w:val="20"/>
                <w:lang w:val="en-GB" w:eastAsia="en-US"/>
              </w:rPr>
            </w:pPr>
          </w:p>
        </w:tc>
      </w:tr>
      <w:tr w14:paraId="705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BC89C70">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6A264529">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593812E1">
            <w:pPr>
              <w:keepNext/>
              <w:keepLines/>
              <w:spacing w:afterLines="50"/>
              <w:rPr>
                <w:rFonts w:ascii="Arial" w:hAnsi="Arial" w:eastAsia="等线" w:cs="Arial"/>
                <w:sz w:val="18"/>
                <w:szCs w:val="18"/>
              </w:rPr>
            </w:pPr>
            <w:r>
              <w:rPr>
                <w:rFonts w:hint="eastAsia" w:ascii="Arial" w:hAnsi="Arial" w:eastAsia="等线" w:cs="Arial"/>
                <w:sz w:val="18"/>
                <w:szCs w:val="18"/>
              </w:rPr>
              <w:t xml:space="preserve">0: </w:t>
            </w:r>
            <w:r>
              <w:rPr>
                <w:rFonts w:ascii="Arial" w:hAnsi="Arial" w:eastAsia="等线" w:cs="Arial"/>
                <w:sz w:val="18"/>
                <w:szCs w:val="18"/>
              </w:rPr>
              <w:t>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 xml:space="preserve">ZTE, vivo, </w:t>
            </w:r>
            <w:r>
              <w:rPr>
                <w:rFonts w:ascii="Arial" w:hAnsi="Arial" w:eastAsia="等线" w:cs="Arial"/>
                <w:sz w:val="18"/>
                <w:szCs w:val="18"/>
              </w:rPr>
              <w:t>OPPO</w:t>
            </w:r>
            <w:r>
              <w:rPr>
                <w:rFonts w:hint="eastAsia" w:ascii="Arial" w:hAnsi="Arial" w:eastAsia="等线" w:cs="Arial"/>
                <w:sz w:val="18"/>
                <w:szCs w:val="18"/>
              </w:rPr>
              <w:t xml:space="preserve">, China Telecom,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p w14:paraId="57392B89">
            <w:pPr>
              <w:keepNext/>
              <w:keepLines/>
              <w:spacing w:afterLines="50"/>
              <w:rPr>
                <w:rFonts w:ascii="Arial" w:hAnsi="Arial" w:eastAsia="等线" w:cs="Arial"/>
                <w:sz w:val="18"/>
                <w:szCs w:val="18"/>
              </w:rPr>
            </w:pPr>
            <w:r>
              <w:rPr>
                <w:rFonts w:hint="eastAsia" w:ascii="Arial" w:hAnsi="Arial" w:eastAsiaTheme="minorEastAsia"/>
                <w:sz w:val="18"/>
                <w:szCs w:val="20"/>
                <w:lang w:val="en-GB"/>
              </w:rPr>
              <w:t>6:</w:t>
            </w:r>
            <w:r>
              <w:rPr>
                <w:rFonts w:ascii="Arial" w:hAnsi="Arial" w:eastAsia="等线" w:cs="Arial"/>
                <w:sz w:val="18"/>
                <w:szCs w:val="18"/>
              </w:rPr>
              <w:t xml:space="preserve"> CMCC</w:t>
            </w:r>
          </w:p>
          <w:p w14:paraId="474812E4">
            <w:pPr>
              <w:keepNext/>
              <w:keepLines/>
              <w:spacing w:afterLines="50"/>
              <w:rPr>
                <w:rFonts w:ascii="Arial" w:hAnsi="Arial" w:eastAsia="等线" w:cs="Arial"/>
                <w:sz w:val="18"/>
                <w:szCs w:val="18"/>
              </w:rPr>
            </w:pPr>
            <w:r>
              <w:rPr>
                <w:rFonts w:hint="eastAsia" w:ascii="Arial" w:hAnsi="Arial" w:eastAsia="等线" w:cs="Arial"/>
                <w:sz w:val="18"/>
                <w:szCs w:val="18"/>
              </w:rPr>
              <w:t>2.95: ZTE</w:t>
            </w:r>
          </w:p>
          <w:p w14:paraId="330992CA">
            <w:pPr>
              <w:keepNext/>
              <w:keepLines/>
              <w:spacing w:afterLines="50"/>
              <w:rPr>
                <w:rFonts w:ascii="Arial" w:hAnsi="Arial" w:eastAsia="等线" w:cs="Arial"/>
                <w:sz w:val="18"/>
                <w:szCs w:val="18"/>
              </w:rPr>
            </w:pPr>
            <w:r>
              <w:rPr>
                <w:rFonts w:hint="eastAsia" w:ascii="Arial" w:hAnsi="Arial" w:eastAsia="等线" w:cs="Arial"/>
                <w:sz w:val="18"/>
                <w:szCs w:val="18"/>
              </w:rPr>
              <w:t xml:space="preserve">10.77: </w:t>
            </w:r>
            <w:r>
              <w:rPr>
                <w:rFonts w:ascii="Arial" w:hAnsi="Arial" w:eastAsia="等线" w:cs="Arial"/>
                <w:sz w:val="18"/>
                <w:szCs w:val="18"/>
              </w:rPr>
              <w:t>N</w:t>
            </w:r>
            <w:r>
              <w:rPr>
                <w:rFonts w:hint="eastAsia" w:ascii="Arial" w:hAnsi="Arial" w:eastAsia="等线" w:cs="Arial"/>
                <w:sz w:val="18"/>
                <w:szCs w:val="18"/>
              </w:rPr>
              <w:t>okia</w:t>
            </w:r>
          </w:p>
          <w:p w14:paraId="115120AF">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4.6: Ericsson</w:t>
            </w:r>
          </w:p>
        </w:tc>
      </w:tr>
      <w:tr w14:paraId="58EA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D28D81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3286" w:type="dxa"/>
            <w:vAlign w:val="center"/>
          </w:tcPr>
          <w:p w14:paraId="42F6DAAC">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c>
          <w:tcPr>
            <w:tcW w:w="3217" w:type="dxa"/>
          </w:tcPr>
          <w:p w14:paraId="132FDD0B">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3</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2E3F9955">
            <w:pPr>
              <w:keepNext/>
              <w:keepLines/>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1108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876FC3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3286" w:type="dxa"/>
            <w:vAlign w:val="center"/>
          </w:tcPr>
          <w:p w14:paraId="77B6B739">
            <w:pPr>
              <w:keepNext/>
              <w:keepLines/>
              <w:rPr>
                <w:rFonts w:ascii="Arial" w:hAnsi="Arial" w:eastAsia="MS Mincho"/>
                <w:sz w:val="18"/>
                <w:szCs w:val="20"/>
                <w:lang w:val="en-GB" w:eastAsia="en-US"/>
              </w:rPr>
            </w:pPr>
            <w:r>
              <w:rPr>
                <w:rFonts w:hint="eastAsia" w:ascii="Arial" w:hAnsi="Arial" w:eastAsiaTheme="minorEastAsia"/>
                <w:sz w:val="18"/>
                <w:szCs w:val="20"/>
                <w:lang w:val="en-GB"/>
              </w:rPr>
              <w:t>5</w:t>
            </w:r>
          </w:p>
        </w:tc>
        <w:tc>
          <w:tcPr>
            <w:tcW w:w="3217" w:type="dxa"/>
          </w:tcPr>
          <w:p w14:paraId="379FFF77">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5</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10185884">
            <w:pPr>
              <w:keepNext/>
              <w:keepLines/>
              <w:rPr>
                <w:rFonts w:ascii="Arial" w:hAnsi="Arial"/>
                <w:sz w:val="18"/>
                <w:szCs w:val="20"/>
                <w:lang w:val="en-GB" w:eastAsia="en-US"/>
              </w:rPr>
            </w:pPr>
            <w:r>
              <w:rPr>
                <w:rFonts w:hint="eastAsia" w:ascii="Arial" w:hAnsi="Arial" w:cs="Arial" w:eastAsiaTheme="minorEastAsia"/>
                <w:sz w:val="18"/>
                <w:szCs w:val="18"/>
              </w:rPr>
              <w:t>3.5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CB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E99D99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3286" w:type="dxa"/>
            <w:vAlign w:val="center"/>
          </w:tcPr>
          <w:p w14:paraId="3F3DD764">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c>
          <w:tcPr>
            <w:tcW w:w="3217" w:type="dxa"/>
          </w:tcPr>
          <w:p w14:paraId="427CE720">
            <w:pPr>
              <w:keepNext/>
              <w:keepLines/>
              <w:rPr>
                <w:rFonts w:ascii="Arial" w:hAnsi="Arial"/>
                <w:sz w:val="18"/>
                <w:szCs w:val="20"/>
                <w:lang w:val="en-GB" w:eastAsia="en-US"/>
              </w:rPr>
            </w:pPr>
            <w:r>
              <w:rPr>
                <w:rFonts w:hint="eastAsia" w:ascii="Arial" w:hAnsi="Arial" w:eastAsiaTheme="minorEastAsia"/>
                <w:sz w:val="18"/>
                <w:szCs w:val="20"/>
                <w:lang w:val="en-GB"/>
              </w:rPr>
              <w:t>Aligned among companies</w:t>
            </w:r>
          </w:p>
        </w:tc>
      </w:tr>
      <w:tr w14:paraId="4849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534394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3286" w:type="dxa"/>
            <w:vAlign w:val="center"/>
          </w:tcPr>
          <w:p w14:paraId="4F868E45">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w:t>
            </w:r>
          </w:p>
        </w:tc>
        <w:tc>
          <w:tcPr>
            <w:tcW w:w="3217" w:type="dxa"/>
          </w:tcPr>
          <w:p w14:paraId="780CC45B">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NTT DOCOMO: </w:t>
            </w:r>
            <w:r>
              <w:rPr>
                <w:rFonts w:ascii="Arial" w:hAnsi="Arial"/>
                <w:sz w:val="18"/>
                <w:szCs w:val="20"/>
                <w:lang w:val="en-GB" w:eastAsia="en-US"/>
              </w:rPr>
              <w:t>-172.00</w:t>
            </w:r>
          </w:p>
          <w:p w14:paraId="1CD5C85A">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vivo, CMCC, Xiaomi, OPPO, ZTE, Nokia: </w:t>
            </w:r>
            <w:r>
              <w:rPr>
                <w:rFonts w:ascii="Arial" w:hAnsi="Arial"/>
                <w:sz w:val="18"/>
                <w:szCs w:val="20"/>
                <w:lang w:val="en-GB" w:eastAsia="en-US"/>
              </w:rPr>
              <w:t>-165.70</w:t>
            </w:r>
          </w:p>
          <w:p w14:paraId="5073F0BF">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CATT: </w:t>
            </w:r>
            <w:r>
              <w:rPr>
                <w:rFonts w:ascii="Arial" w:hAnsi="Arial"/>
                <w:sz w:val="18"/>
                <w:szCs w:val="20"/>
                <w:lang w:val="en-GB" w:eastAsia="en-US"/>
              </w:rPr>
              <w:t>-164.03</w:t>
            </w:r>
          </w:p>
          <w:p w14:paraId="0AE7B73E">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Samsung, Spreadtrum: </w:t>
            </w:r>
            <w:r>
              <w:rPr>
                <w:rFonts w:ascii="Arial" w:hAnsi="Arial"/>
                <w:sz w:val="18"/>
                <w:szCs w:val="20"/>
                <w:lang w:val="en-GB" w:eastAsia="en-US"/>
              </w:rPr>
              <w:t>-172.00</w:t>
            </w:r>
          </w:p>
          <w:p w14:paraId="766D6F8E">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Huawei: </w:t>
            </w:r>
            <w:r>
              <w:rPr>
                <w:rFonts w:ascii="Arial" w:hAnsi="Arial"/>
                <w:sz w:val="18"/>
                <w:szCs w:val="20"/>
                <w:lang w:val="en-GB" w:eastAsia="en-US"/>
              </w:rPr>
              <w:t>-168.70</w:t>
            </w:r>
            <w:r>
              <w:rPr>
                <w:rFonts w:hint="eastAsia" w:ascii="Arial" w:hAnsi="Arial" w:eastAsiaTheme="minorEastAsia"/>
                <w:sz w:val="18"/>
                <w:szCs w:val="20"/>
                <w:lang w:val="en-GB"/>
              </w:rPr>
              <w:t xml:space="preserve">, </w:t>
            </w:r>
            <w:r>
              <w:rPr>
                <w:rFonts w:ascii="Arial" w:hAnsi="Arial"/>
                <w:sz w:val="18"/>
                <w:szCs w:val="20"/>
                <w:lang w:val="en-GB" w:eastAsia="en-US"/>
              </w:rPr>
              <w:t xml:space="preserve">-167.90 </w:t>
            </w:r>
          </w:p>
          <w:p w14:paraId="5F5D96F7">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Sharp: </w:t>
            </w:r>
            <w:r>
              <w:rPr>
                <w:rFonts w:ascii="Arial" w:hAnsi="Arial"/>
                <w:sz w:val="18"/>
                <w:szCs w:val="20"/>
                <w:lang w:val="en-GB" w:eastAsia="en-US"/>
              </w:rPr>
              <w:t>-169.30</w:t>
            </w:r>
          </w:p>
          <w:p w14:paraId="24756FA7">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Ericsson: </w:t>
            </w:r>
            <w:r>
              <w:rPr>
                <w:rFonts w:ascii="Arial" w:hAnsi="Arial"/>
                <w:sz w:val="18"/>
                <w:szCs w:val="20"/>
                <w:lang w:val="en-GB" w:eastAsia="en-US"/>
              </w:rPr>
              <w:t>-172.6</w:t>
            </w:r>
          </w:p>
        </w:tc>
      </w:tr>
      <w:tr w14:paraId="678A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8391735">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3286" w:type="dxa"/>
            <w:vAlign w:val="center"/>
          </w:tcPr>
          <w:p w14:paraId="013C0BCC">
            <w:pPr>
              <w:keepNext/>
              <w:keepLines/>
              <w:rPr>
                <w:rFonts w:ascii="Arial" w:hAnsi="Arial" w:eastAsia="MS Mincho"/>
                <w:sz w:val="18"/>
                <w:szCs w:val="20"/>
                <w:lang w:val="en-GB" w:eastAsia="en-US"/>
              </w:rPr>
            </w:pPr>
          </w:p>
        </w:tc>
        <w:tc>
          <w:tcPr>
            <w:tcW w:w="3217" w:type="dxa"/>
          </w:tcPr>
          <w:p w14:paraId="779D45C8">
            <w:pPr>
              <w:keepNext/>
              <w:keepLines/>
              <w:rPr>
                <w:rFonts w:ascii="Arial" w:hAnsi="Arial" w:eastAsia="MS Mincho"/>
                <w:sz w:val="18"/>
                <w:szCs w:val="20"/>
                <w:lang w:val="en-GB" w:eastAsia="en-US"/>
              </w:rPr>
            </w:pPr>
          </w:p>
        </w:tc>
      </w:tr>
      <w:tr w14:paraId="4E93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5A42CE70">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3286" w:type="dxa"/>
            <w:vAlign w:val="center"/>
          </w:tcPr>
          <w:p w14:paraId="4FF671DB">
            <w:pPr>
              <w:keepNext/>
              <w:keepLines/>
              <w:rPr>
                <w:rFonts w:ascii="Arial" w:hAnsi="Arial" w:eastAsia="MS Mincho"/>
                <w:sz w:val="18"/>
                <w:szCs w:val="20"/>
                <w:lang w:val="fr-FR" w:eastAsia="en-US"/>
              </w:rPr>
            </w:pPr>
          </w:p>
        </w:tc>
        <w:tc>
          <w:tcPr>
            <w:tcW w:w="3217" w:type="dxa"/>
          </w:tcPr>
          <w:p w14:paraId="3C7AD03A">
            <w:pPr>
              <w:keepNext/>
              <w:keepLines/>
              <w:rPr>
                <w:rFonts w:ascii="Arial" w:hAnsi="Arial" w:eastAsia="MS Mincho"/>
                <w:sz w:val="18"/>
                <w:szCs w:val="20"/>
                <w:lang w:val="fr-FR" w:eastAsia="en-US"/>
              </w:rPr>
            </w:pPr>
          </w:p>
        </w:tc>
      </w:tr>
      <w:tr w14:paraId="24C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9E42C3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3286" w:type="dxa"/>
            <w:vAlign w:val="center"/>
          </w:tcPr>
          <w:p w14:paraId="41802613">
            <w:pPr>
              <w:keepNext/>
              <w:keepLines/>
              <w:rPr>
                <w:rFonts w:ascii="Arial" w:hAnsi="Arial" w:eastAsia="MS Mincho"/>
                <w:sz w:val="18"/>
                <w:szCs w:val="20"/>
                <w:lang w:val="en-GB" w:eastAsia="en-US"/>
              </w:rPr>
            </w:pPr>
          </w:p>
        </w:tc>
        <w:tc>
          <w:tcPr>
            <w:tcW w:w="3217" w:type="dxa"/>
          </w:tcPr>
          <w:p w14:paraId="6C416B76">
            <w:pPr>
              <w:keepNext/>
              <w:keepLines/>
              <w:rPr>
                <w:rFonts w:ascii="Arial" w:hAnsi="Arial" w:eastAsia="MS Mincho"/>
                <w:sz w:val="18"/>
                <w:szCs w:val="20"/>
                <w:lang w:val="en-GB" w:eastAsia="en-US"/>
              </w:rPr>
            </w:pPr>
          </w:p>
        </w:tc>
      </w:tr>
      <w:tr w14:paraId="24D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1EF36F4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3286" w:type="dxa"/>
            <w:vAlign w:val="center"/>
          </w:tcPr>
          <w:p w14:paraId="7BFFF577">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c>
          <w:tcPr>
            <w:tcW w:w="3217" w:type="dxa"/>
          </w:tcPr>
          <w:p w14:paraId="2578C2CE">
            <w:pPr>
              <w:keepNext/>
              <w:keepLines/>
              <w:rPr>
                <w:rFonts w:ascii="Arial" w:hAnsi="Arial" w:eastAsiaTheme="minorEastAsia"/>
                <w:sz w:val="18"/>
                <w:szCs w:val="20"/>
                <w:lang w:val="en-GB"/>
              </w:rPr>
            </w:pPr>
          </w:p>
        </w:tc>
      </w:tr>
      <w:tr w14:paraId="281E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3C85D8B">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3286" w:type="dxa"/>
            <w:vAlign w:val="center"/>
          </w:tcPr>
          <w:p w14:paraId="78B97888">
            <w:pPr>
              <w:keepNext/>
              <w:keepLines/>
              <w:rPr>
                <w:rFonts w:ascii="Arial" w:hAnsi="Arial"/>
                <w:sz w:val="18"/>
                <w:szCs w:val="20"/>
                <w:lang w:val="en-GB" w:eastAsia="en-US"/>
              </w:rPr>
            </w:pPr>
          </w:p>
        </w:tc>
        <w:tc>
          <w:tcPr>
            <w:tcW w:w="3217" w:type="dxa"/>
          </w:tcPr>
          <w:p w14:paraId="7E51EDD7">
            <w:pPr>
              <w:keepNext/>
              <w:keepLines/>
              <w:rPr>
                <w:rFonts w:ascii="Arial" w:hAnsi="Arial"/>
                <w:sz w:val="18"/>
                <w:szCs w:val="20"/>
                <w:lang w:val="en-GB" w:eastAsia="en-US"/>
              </w:rPr>
            </w:pPr>
          </w:p>
        </w:tc>
      </w:tr>
      <w:tr w14:paraId="706D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FB4835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3286" w:type="dxa"/>
            <w:vAlign w:val="center"/>
          </w:tcPr>
          <w:p w14:paraId="3B1F7F77">
            <w:pPr>
              <w:keepNext/>
              <w:keepLines/>
              <w:rPr>
                <w:rFonts w:ascii="Arial" w:hAnsi="Arial" w:eastAsia="MS Mincho"/>
                <w:sz w:val="18"/>
                <w:szCs w:val="20"/>
                <w:lang w:val="en-GB" w:eastAsia="en-US"/>
              </w:rPr>
            </w:pPr>
          </w:p>
        </w:tc>
        <w:tc>
          <w:tcPr>
            <w:tcW w:w="3217" w:type="dxa"/>
          </w:tcPr>
          <w:p w14:paraId="4269D06C">
            <w:pPr>
              <w:keepNext/>
              <w:keepLines/>
              <w:rPr>
                <w:rFonts w:ascii="Arial" w:hAnsi="Arial" w:eastAsia="MS Mincho"/>
                <w:sz w:val="18"/>
                <w:szCs w:val="20"/>
                <w:lang w:val="en-GB" w:eastAsia="en-US"/>
              </w:rPr>
            </w:pPr>
          </w:p>
        </w:tc>
      </w:tr>
      <w:tr w14:paraId="1F51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3662AD6A">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3286" w:type="dxa"/>
            <w:vAlign w:val="center"/>
          </w:tcPr>
          <w:p w14:paraId="02A38192">
            <w:pPr>
              <w:keepNext/>
              <w:keepLines/>
              <w:rPr>
                <w:rFonts w:ascii="Arial" w:hAnsi="Arial"/>
                <w:sz w:val="18"/>
                <w:szCs w:val="20"/>
                <w:lang w:val="da-DK" w:eastAsia="en-US"/>
              </w:rPr>
            </w:pPr>
          </w:p>
        </w:tc>
        <w:tc>
          <w:tcPr>
            <w:tcW w:w="3217" w:type="dxa"/>
          </w:tcPr>
          <w:p w14:paraId="55AE6B25">
            <w:pPr>
              <w:keepNext/>
              <w:keepLines/>
              <w:rPr>
                <w:rFonts w:ascii="Arial" w:hAnsi="Arial"/>
                <w:sz w:val="18"/>
                <w:szCs w:val="20"/>
                <w:lang w:val="da-DK" w:eastAsia="en-US"/>
              </w:rPr>
            </w:pPr>
          </w:p>
        </w:tc>
      </w:tr>
      <w:tr w14:paraId="617F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DB50FD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3286" w:type="dxa"/>
            <w:vAlign w:val="center"/>
          </w:tcPr>
          <w:p w14:paraId="762C6A3D">
            <w:pPr>
              <w:keepNext/>
              <w:keepLines/>
              <w:rPr>
                <w:rFonts w:ascii="Arial" w:hAnsi="Arial"/>
                <w:sz w:val="18"/>
                <w:szCs w:val="20"/>
                <w:lang w:val="en-GB" w:eastAsia="en-US"/>
              </w:rPr>
            </w:pPr>
          </w:p>
        </w:tc>
        <w:tc>
          <w:tcPr>
            <w:tcW w:w="3217" w:type="dxa"/>
          </w:tcPr>
          <w:p w14:paraId="20F49189">
            <w:pPr>
              <w:keepNext/>
              <w:keepLines/>
              <w:rPr>
                <w:rFonts w:ascii="Arial" w:hAnsi="Arial"/>
                <w:sz w:val="18"/>
                <w:szCs w:val="20"/>
                <w:lang w:val="en-GB" w:eastAsia="en-US"/>
              </w:rPr>
            </w:pPr>
          </w:p>
        </w:tc>
      </w:tr>
      <w:tr w14:paraId="79C1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04ACB72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70FB74EF">
            <w:pPr>
              <w:keepNext/>
              <w:keepLines/>
              <w:overflowPunct w:val="0"/>
              <w:ind w:left="880" w:hanging="440"/>
              <w:jc w:val="center"/>
              <w:textAlignment w:val="baseline"/>
              <w:rPr>
                <w:rFonts w:ascii="Arial" w:hAnsi="Arial"/>
                <w:b/>
                <w:sz w:val="18"/>
                <w:szCs w:val="20"/>
                <w:lang w:eastAsia="en-GB"/>
              </w:rPr>
            </w:pPr>
          </w:p>
        </w:tc>
      </w:tr>
      <w:tr w14:paraId="78A8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21D074A2">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3286" w:type="dxa"/>
            <w:vAlign w:val="center"/>
          </w:tcPr>
          <w:p w14:paraId="55172F1C">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c>
          <w:tcPr>
            <w:tcW w:w="3217" w:type="dxa"/>
          </w:tcPr>
          <w:p w14:paraId="75773137">
            <w:pPr>
              <w:keepNext/>
              <w:keepLines/>
              <w:rPr>
                <w:rFonts w:ascii="Arial" w:hAnsi="Arial"/>
                <w:sz w:val="18"/>
                <w:szCs w:val="20"/>
                <w:lang w:val="en-GB" w:eastAsia="en-US"/>
              </w:rPr>
            </w:pPr>
          </w:p>
        </w:tc>
      </w:tr>
      <w:tr w14:paraId="4CD6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6154A0B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3286" w:type="dxa"/>
            <w:vAlign w:val="center"/>
          </w:tcPr>
          <w:p w14:paraId="06A72FE1">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56E48D93">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19181B25">
            <w:pPr>
              <w:keepNext/>
              <w:keepLines/>
              <w:rPr>
                <w:rFonts w:ascii="Arial" w:hAnsi="Arial" w:eastAsiaTheme="minorEastAsia"/>
                <w:sz w:val="18"/>
                <w:szCs w:val="20"/>
                <w:lang w:val="en-GB"/>
              </w:rPr>
            </w:pPr>
            <w:r>
              <w:rPr>
                <w:rFonts w:hint="eastAsia" w:ascii="Arial" w:hAnsi="Arial" w:cs="Arial" w:eastAsiaTheme="minorEastAsia"/>
                <w:sz w:val="18"/>
                <w:szCs w:val="18"/>
              </w:rPr>
              <w:t>4.3</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4E0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AAFE43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3286" w:type="dxa"/>
            <w:vAlign w:val="center"/>
          </w:tcPr>
          <w:p w14:paraId="58D3F13E">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55DAC5BE">
            <w:pPr>
              <w:keepNext/>
              <w:keepLines/>
              <w:rPr>
                <w:rFonts w:ascii="Arial" w:hAnsi="Arial" w:eastAsiaTheme="minorEastAsia"/>
                <w:sz w:val="18"/>
                <w:szCs w:val="20"/>
                <w:lang w:val="en-GB"/>
              </w:rPr>
            </w:pPr>
            <w:r>
              <w:rPr>
                <w:rFonts w:ascii="Arial" w:hAnsi="Arial" w:eastAsiaTheme="minorEastAsia"/>
                <w:sz w:val="18"/>
                <w:szCs w:val="20"/>
                <w:lang w:val="en-GB"/>
              </w:rPr>
              <w:t>18.51</w:t>
            </w:r>
            <w:r>
              <w:rPr>
                <w:rFonts w:hint="eastAsia" w:ascii="Arial" w:hAnsi="Arial" w:eastAsiaTheme="minorEastAsia"/>
                <w:sz w:val="18"/>
                <w:szCs w:val="20"/>
                <w:lang w:val="en-GB"/>
              </w:rPr>
              <w:t>~</w:t>
            </w:r>
            <w:r>
              <w:rPr>
                <w:rFonts w:ascii="Arial" w:hAnsi="Arial" w:eastAsiaTheme="minorEastAsia"/>
                <w:sz w:val="18"/>
                <w:szCs w:val="20"/>
                <w:lang w:val="en-GB"/>
              </w:rPr>
              <w:t>33.7493</w:t>
            </w:r>
          </w:p>
        </w:tc>
      </w:tr>
      <w:tr w14:paraId="09EF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03AEFA2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3286" w:type="dxa"/>
            <w:vAlign w:val="center"/>
          </w:tcPr>
          <w:p w14:paraId="6ABF9191">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52405AFD">
            <w:pPr>
              <w:keepNext/>
              <w:keepLines/>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667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5A7145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3286" w:type="dxa"/>
            <w:vAlign w:val="center"/>
          </w:tcPr>
          <w:p w14:paraId="35C4281F">
            <w:pPr>
              <w:keepNext/>
              <w:keepLines/>
              <w:rPr>
                <w:rFonts w:ascii="Arial" w:hAnsi="Arial" w:eastAsia="MS Mincho"/>
                <w:sz w:val="18"/>
                <w:szCs w:val="20"/>
                <w:lang w:val="en-GB" w:eastAsia="en-US"/>
              </w:rPr>
            </w:pPr>
          </w:p>
        </w:tc>
        <w:tc>
          <w:tcPr>
            <w:tcW w:w="3217" w:type="dxa"/>
          </w:tcPr>
          <w:p w14:paraId="4143F0EC">
            <w:pPr>
              <w:keepNext/>
              <w:keepLines/>
              <w:rPr>
                <w:rFonts w:ascii="Arial" w:hAnsi="Arial" w:eastAsia="MS Mincho"/>
                <w:sz w:val="18"/>
                <w:szCs w:val="20"/>
                <w:lang w:val="en-GB" w:eastAsia="en-US"/>
              </w:rPr>
            </w:pPr>
          </w:p>
        </w:tc>
      </w:tr>
      <w:tr w14:paraId="7E00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1A77E2A7">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43EF318">
            <w:pPr>
              <w:keepNext/>
              <w:keepLines/>
              <w:overflowPunct w:val="0"/>
              <w:ind w:left="880" w:hanging="440"/>
              <w:jc w:val="center"/>
              <w:textAlignment w:val="baseline"/>
              <w:rPr>
                <w:rFonts w:ascii="Arial" w:hAnsi="Arial"/>
                <w:b/>
                <w:sz w:val="18"/>
                <w:szCs w:val="20"/>
                <w:lang w:eastAsia="en-GB"/>
              </w:rPr>
            </w:pPr>
          </w:p>
        </w:tc>
      </w:tr>
      <w:tr w14:paraId="2F01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75FC43C4">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3286" w:type="dxa"/>
            <w:vAlign w:val="center"/>
          </w:tcPr>
          <w:p w14:paraId="69C0AC37">
            <w:pPr>
              <w:keepNext/>
              <w:keepLines/>
              <w:rPr>
                <w:rFonts w:ascii="Arial" w:hAnsi="Arial" w:eastAsia="MS Mincho"/>
                <w:sz w:val="18"/>
                <w:szCs w:val="20"/>
                <w:lang w:val="en-GB" w:eastAsia="en-US"/>
              </w:rPr>
            </w:pPr>
          </w:p>
        </w:tc>
        <w:tc>
          <w:tcPr>
            <w:tcW w:w="3217" w:type="dxa"/>
          </w:tcPr>
          <w:p w14:paraId="1F9B971E">
            <w:pPr>
              <w:keepNext/>
              <w:keepLines/>
              <w:rPr>
                <w:rFonts w:ascii="Arial" w:hAnsi="Arial" w:eastAsia="MS Mincho"/>
                <w:sz w:val="18"/>
                <w:szCs w:val="20"/>
                <w:lang w:val="en-GB" w:eastAsia="en-US"/>
              </w:rPr>
            </w:pPr>
          </w:p>
        </w:tc>
      </w:tr>
    </w:tbl>
    <w:p w14:paraId="052EA390">
      <w:pPr>
        <w:jc w:val="both"/>
        <w:rPr>
          <w:rFonts w:eastAsia="等线"/>
          <w:lang w:val="en-GB"/>
        </w:rPr>
      </w:pPr>
    </w:p>
    <w:p w14:paraId="19D02060">
      <w:pPr>
        <w:jc w:val="both"/>
        <w:rPr>
          <w:rFonts w:eastAsia="等线"/>
        </w:rPr>
        <w:sectPr>
          <w:headerReference r:id="rId6" w:type="first"/>
          <w:footerReference r:id="rId9" w:type="first"/>
          <w:headerReference r:id="rId4" w:type="default"/>
          <w:footerReference r:id="rId7" w:type="default"/>
          <w:headerReference r:id="rId5" w:type="even"/>
          <w:footerReference r:id="rId8" w:type="even"/>
          <w:pgSz w:w="11909" w:h="16834"/>
          <w:pgMar w:top="1440" w:right="1151" w:bottom="1440" w:left="1440" w:header="624" w:footer="720" w:gutter="0"/>
          <w:cols w:space="720" w:num="1"/>
          <w:docGrid w:linePitch="299" w:charSpace="0"/>
        </w:sectPr>
      </w:pPr>
    </w:p>
    <w:p w14:paraId="578366BC">
      <w:pPr>
        <w:autoSpaceDE w:val="0"/>
        <w:autoSpaceDN w:val="0"/>
        <w:spacing w:line="252" w:lineRule="auto"/>
        <w:contextualSpacing/>
        <w:rPr>
          <w:rFonts w:eastAsia="等线"/>
          <w:b/>
          <w:bCs/>
          <w:color w:val="4F81BD" w:themeColor="accent1"/>
          <w14:textFill>
            <w14:solidFill>
              <w14:schemeClr w14:val="accent1"/>
            </w14:solidFill>
          </w14:textFill>
        </w:rPr>
      </w:pPr>
    </w:p>
    <w:p w14:paraId="24555195">
      <w:pPr>
        <w:pStyle w:val="4"/>
        <w:spacing w:before="120" w:after="120"/>
        <w:rPr>
          <w:rFonts w:eastAsia="等线"/>
        </w:rPr>
      </w:pPr>
      <w:r>
        <w:rPr>
          <w:rFonts w:hint="eastAsia" w:eastAsia="等线"/>
        </w:rPr>
        <w:t>First round discussion</w:t>
      </w:r>
    </w:p>
    <w:p w14:paraId="7CA22A7E">
      <w:pPr>
        <w:jc w:val="both"/>
        <w:rPr>
          <w:rFonts w:eastAsia="等线"/>
          <w:b/>
          <w:bCs/>
        </w:rPr>
      </w:pPr>
      <w:r>
        <w:rPr>
          <w:rFonts w:hint="eastAsia" w:eastAsia="等线"/>
          <w:b/>
          <w:bCs/>
          <w:highlight w:val="yellow"/>
        </w:rPr>
        <w:t xml:space="preserve">FL proposal #1: </w:t>
      </w:r>
    </w:p>
    <w:p w14:paraId="2E1F1E56">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Msg3 PUSCH in 5G mid-band</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5143"/>
      </w:tblGrid>
      <w:tr w14:paraId="2B95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6C484543">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016B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4392875">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697" w:type="pct"/>
            <w:vAlign w:val="center"/>
          </w:tcPr>
          <w:p w14:paraId="0FD1DF2F">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r>
      <w:tr w14:paraId="5B60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C54E243">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697" w:type="pct"/>
            <w:vAlign w:val="center"/>
          </w:tcPr>
          <w:p w14:paraId="7F78E11B">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72BF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8CED39A">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697" w:type="pct"/>
            <w:vAlign w:val="center"/>
          </w:tcPr>
          <w:p w14:paraId="219881F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47B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C66F123">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697" w:type="pct"/>
            <w:vAlign w:val="center"/>
          </w:tcPr>
          <w:p w14:paraId="043D88C9">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3BC1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EC8895B">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697" w:type="pct"/>
            <w:vAlign w:val="center"/>
          </w:tcPr>
          <w:p w14:paraId="3E4A1983">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r>
      <w:tr w14:paraId="2692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B222565">
            <w:pPr>
              <w:keepNext/>
              <w:keepLines/>
              <w:rPr>
                <w:rFonts w:ascii="Arial" w:hAnsi="Arial" w:eastAsia="MS Mincho"/>
                <w:sz w:val="18"/>
                <w:szCs w:val="20"/>
                <w:lang w:val="en-GB" w:eastAsia="en-US"/>
              </w:rPr>
            </w:pPr>
            <w:r>
              <w:rPr>
                <w:rFonts w:ascii="Arial" w:hAnsi="Arial" w:eastAsia="MS PGothic"/>
                <w:sz w:val="18"/>
                <w:szCs w:val="20"/>
                <w:lang w:val="en-GB" w:eastAsia="en-US"/>
              </w:rPr>
              <w:t xml:space="preserve">Lognormal </w:t>
            </w:r>
            <w:bookmarkStart w:id="15" w:name="OLE_LINK2"/>
            <w:r>
              <w:rPr>
                <w:rFonts w:ascii="Arial" w:hAnsi="Arial" w:eastAsia="MS PGothic"/>
                <w:sz w:val="18"/>
                <w:szCs w:val="20"/>
                <w:lang w:val="en-GB" w:eastAsia="en-US"/>
              </w:rPr>
              <w:t xml:space="preserve">shadow </w:t>
            </w:r>
            <w:bookmarkEnd w:id="15"/>
            <w:r>
              <w:rPr>
                <w:rFonts w:ascii="Arial" w:hAnsi="Arial" w:eastAsia="MS PGothic"/>
                <w:sz w:val="18"/>
                <w:szCs w:val="20"/>
                <w:lang w:val="en-GB" w:eastAsia="en-US"/>
              </w:rPr>
              <w:t>fading std deviation (dB)</w:t>
            </w:r>
          </w:p>
        </w:tc>
        <w:tc>
          <w:tcPr>
            <w:tcW w:w="2697" w:type="pct"/>
            <w:vAlign w:val="center"/>
          </w:tcPr>
          <w:p w14:paraId="380157CD">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r>
      <w:tr w14:paraId="1F5C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185005D">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697" w:type="pct"/>
            <w:vAlign w:val="center"/>
          </w:tcPr>
          <w:p w14:paraId="766BC473">
            <w:pPr>
              <w:keepNext/>
              <w:keepLines/>
              <w:rPr>
                <w:rFonts w:ascii="Arial" w:hAnsi="Arial" w:eastAsiaTheme="minorEastAsia"/>
                <w:sz w:val="18"/>
                <w:szCs w:val="20"/>
                <w:lang w:val="en-GB"/>
              </w:rPr>
            </w:pPr>
          </w:p>
        </w:tc>
      </w:tr>
      <w:tr w14:paraId="555F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9B6711E">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697" w:type="pct"/>
            <w:vAlign w:val="center"/>
          </w:tcPr>
          <w:p w14:paraId="271E6D9B">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r>
      <w:tr w14:paraId="6A54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51B365C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2328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12CBEBE">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697" w:type="pct"/>
            <w:vAlign w:val="center"/>
          </w:tcPr>
          <w:p w14:paraId="3C9E6227">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4B6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DC1C5D6">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697" w:type="pct"/>
            <w:vAlign w:val="center"/>
          </w:tcPr>
          <w:p w14:paraId="6DCF790F">
            <w:pPr>
              <w:keepNext/>
              <w:keepLines/>
              <w:rPr>
                <w:rFonts w:ascii="Arial" w:hAnsi="Arial" w:eastAsiaTheme="minorEastAsia"/>
                <w:sz w:val="18"/>
                <w:szCs w:val="20"/>
                <w:lang w:val="en-GB"/>
              </w:rPr>
            </w:pPr>
          </w:p>
        </w:tc>
      </w:tr>
      <w:tr w14:paraId="4DB7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9F4EE13">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697" w:type="pct"/>
            <w:vAlign w:val="center"/>
          </w:tcPr>
          <w:p w14:paraId="245E38DA">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0B6C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0BBBE8C">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697" w:type="pct"/>
            <w:vAlign w:val="center"/>
          </w:tcPr>
          <w:p w14:paraId="5D89D2E8">
            <w:pPr>
              <w:keepLines/>
              <w:rPr>
                <w:rFonts w:ascii="Arial" w:hAnsi="Arial" w:eastAsiaTheme="minorEastAsia"/>
                <w:sz w:val="18"/>
                <w:szCs w:val="20"/>
                <w:lang w:val="en-GB"/>
              </w:rPr>
            </w:pPr>
            <w:r>
              <w:rPr>
                <w:rFonts w:hint="eastAsia" w:ascii="Arial" w:hAnsi="Arial" w:eastAsiaTheme="minorEastAsia"/>
                <w:sz w:val="18"/>
                <w:szCs w:val="20"/>
                <w:lang w:val="en-GB"/>
              </w:rPr>
              <w:t>23</w:t>
            </w:r>
          </w:p>
        </w:tc>
      </w:tr>
      <w:tr w14:paraId="3B66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B7965C9">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697" w:type="pct"/>
            <w:vAlign w:val="center"/>
          </w:tcPr>
          <w:p w14:paraId="2B42C403">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r>
      <w:tr w14:paraId="16D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1B5B27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697" w:type="pct"/>
            <w:vAlign w:val="center"/>
          </w:tcPr>
          <w:p w14:paraId="128BC3AA">
            <w:pPr>
              <w:keepNext/>
              <w:keepLines/>
              <w:rPr>
                <w:rFonts w:ascii="Arial" w:hAnsi="Arial" w:eastAsia="MS Mincho"/>
                <w:sz w:val="18"/>
                <w:szCs w:val="20"/>
                <w:lang w:val="en-GB" w:eastAsia="en-US"/>
              </w:rPr>
            </w:pPr>
          </w:p>
        </w:tc>
      </w:tr>
      <w:tr w14:paraId="7731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1C1FC06">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697" w:type="pct"/>
            <w:vAlign w:val="center"/>
          </w:tcPr>
          <w:p w14:paraId="69EE54A2">
            <w:pPr>
              <w:keepNext/>
              <w:keepLines/>
              <w:rPr>
                <w:rFonts w:ascii="Arial" w:hAnsi="Arial" w:eastAsiaTheme="minorEastAsia"/>
                <w:sz w:val="18"/>
                <w:szCs w:val="20"/>
                <w:lang w:val="en-GB"/>
              </w:rPr>
            </w:pPr>
          </w:p>
        </w:tc>
      </w:tr>
      <w:tr w14:paraId="71D7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A6A7F3A">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697" w:type="pct"/>
            <w:vAlign w:val="center"/>
          </w:tcPr>
          <w:p w14:paraId="729FA703">
            <w:pPr>
              <w:keepNext/>
              <w:keepLines/>
              <w:rPr>
                <w:rFonts w:ascii="Arial" w:hAnsi="Arial" w:eastAsia="MS Mincho"/>
                <w:sz w:val="18"/>
                <w:szCs w:val="20"/>
                <w:lang w:val="en-GB" w:eastAsia="en-US"/>
              </w:rPr>
            </w:pPr>
          </w:p>
        </w:tc>
      </w:tr>
      <w:tr w14:paraId="780C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5221006">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697" w:type="pct"/>
            <w:vAlign w:val="center"/>
          </w:tcPr>
          <w:p w14:paraId="66CD965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6B02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C64109E">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697" w:type="pct"/>
            <w:vAlign w:val="center"/>
          </w:tcPr>
          <w:p w14:paraId="75DE44CD">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2F86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7A853AA">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697" w:type="pct"/>
            <w:vAlign w:val="center"/>
          </w:tcPr>
          <w:p w14:paraId="6F9E85F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7B6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8BBA38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697" w:type="pct"/>
            <w:vAlign w:val="center"/>
          </w:tcPr>
          <w:p w14:paraId="017D8728">
            <w:pPr>
              <w:keepNext/>
              <w:keepLines/>
              <w:rPr>
                <w:rFonts w:ascii="Arial" w:hAnsi="Arial" w:eastAsiaTheme="minorEastAsia"/>
                <w:sz w:val="18"/>
                <w:szCs w:val="20"/>
                <w:lang w:val="en-GB"/>
              </w:rPr>
            </w:pPr>
            <w:r>
              <w:rPr>
                <w:rFonts w:ascii="Arial" w:hAnsi="Arial" w:eastAsia="MS Mincho"/>
                <w:sz w:val="18"/>
                <w:szCs w:val="20"/>
                <w:lang w:val="en-GB" w:eastAsia="en-US"/>
              </w:rPr>
              <w:t>0</w:t>
            </w:r>
          </w:p>
        </w:tc>
      </w:tr>
      <w:tr w14:paraId="5B18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56A2AD6">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14FA22DF">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2A32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3BF317F">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68DABA8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0045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1983453">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271C35B6">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1E4D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DBFCA0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1E48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82CC38F">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697" w:type="pct"/>
            <w:vAlign w:val="center"/>
          </w:tcPr>
          <w:p w14:paraId="58570ADB">
            <w:pPr>
              <w:keepNext/>
              <w:keepLines/>
              <w:rPr>
                <w:rFonts w:ascii="Arial" w:hAnsi="Arial" w:eastAsia="MS Mincho"/>
                <w:sz w:val="18"/>
                <w:szCs w:val="20"/>
                <w:lang w:val="en-GB" w:eastAsia="en-US"/>
              </w:rPr>
            </w:pPr>
          </w:p>
        </w:tc>
      </w:tr>
      <w:tr w14:paraId="0B21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5982D48F">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28BB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7F7EF76">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697" w:type="pct"/>
            <w:vAlign w:val="center"/>
          </w:tcPr>
          <w:p w14:paraId="1DAA48E7">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r>
      <w:tr w14:paraId="2CBB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C4C5C6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697" w:type="pct"/>
            <w:vAlign w:val="center"/>
          </w:tcPr>
          <w:p w14:paraId="5882CB3D">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r>
      <w:tr w14:paraId="1A58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D2E2E0E">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697" w:type="pct"/>
            <w:vAlign w:val="center"/>
          </w:tcPr>
          <w:p w14:paraId="2FA9A627">
            <w:pPr>
              <w:keepNext/>
              <w:keepLines/>
              <w:rPr>
                <w:rFonts w:ascii="Arial" w:hAnsi="Arial" w:eastAsiaTheme="minorEastAsia"/>
                <w:sz w:val="18"/>
                <w:szCs w:val="20"/>
                <w:lang w:val="da-DK"/>
              </w:rPr>
            </w:pPr>
            <w:r>
              <w:rPr>
                <w:rFonts w:ascii="Arial" w:hAnsi="Arial"/>
                <w:sz w:val="18"/>
                <w:szCs w:val="20"/>
                <w:lang w:val="en-GB" w:eastAsia="en-US"/>
              </w:rPr>
              <w:t>Reported by companies</w:t>
            </w:r>
          </w:p>
        </w:tc>
      </w:tr>
      <w:tr w14:paraId="23AF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D66DA0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697" w:type="pct"/>
            <w:vAlign w:val="center"/>
          </w:tcPr>
          <w:p w14:paraId="2DC618BA">
            <w:pPr>
              <w:keepNext/>
              <w:keepLines/>
              <w:rPr>
                <w:rFonts w:ascii="Arial" w:hAnsi="Arial" w:eastAsia="MS Mincho"/>
                <w:sz w:val="18"/>
                <w:szCs w:val="20"/>
                <w:lang w:val="en-GB" w:eastAsia="en-US"/>
              </w:rPr>
            </w:pPr>
          </w:p>
        </w:tc>
      </w:tr>
      <w:tr w14:paraId="303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CC9B8E1">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697" w:type="pct"/>
            <w:vAlign w:val="center"/>
          </w:tcPr>
          <w:p w14:paraId="01C651AE">
            <w:pPr>
              <w:keepNext/>
              <w:keepLines/>
              <w:rPr>
                <w:rFonts w:ascii="Arial" w:hAnsi="Arial" w:eastAsia="MS Mincho"/>
                <w:sz w:val="18"/>
                <w:szCs w:val="20"/>
                <w:lang w:val="en-GB" w:eastAsia="en-US"/>
              </w:rPr>
            </w:pPr>
          </w:p>
        </w:tc>
      </w:tr>
      <w:tr w14:paraId="0551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63DC2F4">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697" w:type="pct"/>
            <w:vAlign w:val="center"/>
          </w:tcPr>
          <w:p w14:paraId="3A6D11D0">
            <w:pPr>
              <w:keepNext/>
              <w:keepLines/>
              <w:rPr>
                <w:rFonts w:ascii="Arial" w:hAnsi="Arial"/>
                <w:sz w:val="18"/>
                <w:szCs w:val="20"/>
                <w:lang w:val="en-GB" w:eastAsia="en-US"/>
              </w:rPr>
            </w:pPr>
            <w:r>
              <w:rPr>
                <w:rFonts w:hint="eastAsia" w:ascii="Arial" w:hAnsi="Arial" w:eastAsiaTheme="minorEastAsia"/>
                <w:sz w:val="18"/>
                <w:szCs w:val="20"/>
                <w:lang w:val="en-GB"/>
              </w:rPr>
              <w:t>0</w:t>
            </w:r>
          </w:p>
        </w:tc>
      </w:tr>
      <w:tr w14:paraId="2225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530004D">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697" w:type="pct"/>
            <w:vAlign w:val="center"/>
          </w:tcPr>
          <w:p w14:paraId="6D8854AC">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r>
      <w:tr w14:paraId="13E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C3BED47">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720A65B3">
            <w:pPr>
              <w:keepNext/>
              <w:keepLines/>
              <w:rPr>
                <w:rFonts w:ascii="Arial" w:hAnsi="Arial" w:eastAsia="MS Mincho"/>
                <w:sz w:val="18"/>
                <w:szCs w:val="20"/>
                <w:lang w:val="en-GB" w:eastAsia="en-US"/>
              </w:rPr>
            </w:pPr>
          </w:p>
        </w:tc>
      </w:tr>
      <w:tr w14:paraId="58D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49C518A">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2BF1083B">
            <w:pPr>
              <w:keepNext/>
              <w:keepLines/>
              <w:rPr>
                <w:rFonts w:ascii="Arial" w:hAnsi="Arial" w:eastAsia="MS Mincho"/>
                <w:sz w:val="18"/>
                <w:szCs w:val="20"/>
                <w:lang w:val="en-GB" w:eastAsia="en-US"/>
              </w:rPr>
            </w:pPr>
          </w:p>
        </w:tc>
      </w:tr>
      <w:tr w14:paraId="0DB4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12580748">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561C1093">
            <w:pPr>
              <w:keepNext/>
              <w:keepLines/>
              <w:rPr>
                <w:rFonts w:ascii="Arial" w:hAnsi="Arial"/>
                <w:sz w:val="18"/>
                <w:szCs w:val="20"/>
                <w:lang w:val="en-GB" w:eastAsia="en-US"/>
              </w:rPr>
            </w:pPr>
            <w:r>
              <w:rPr>
                <w:rFonts w:ascii="Arial" w:hAnsi="Arial"/>
                <w:sz w:val="18"/>
                <w:szCs w:val="20"/>
                <w:lang w:val="en-GB" w:eastAsia="en-US"/>
              </w:rPr>
              <w:t>Reported by companies</w:t>
            </w:r>
          </w:p>
        </w:tc>
      </w:tr>
      <w:tr w14:paraId="0889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683CC67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r>
      <w:tr w14:paraId="56AA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61A9F2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697" w:type="pct"/>
            <w:vAlign w:val="center"/>
          </w:tcPr>
          <w:p w14:paraId="6657F04F">
            <w:pPr>
              <w:keepNext/>
              <w:keepLines/>
              <w:rPr>
                <w:rFonts w:ascii="Arial" w:hAnsi="Arial" w:eastAsiaTheme="minorEastAsia"/>
                <w:sz w:val="18"/>
                <w:szCs w:val="20"/>
                <w:lang w:val="en-GB"/>
              </w:rPr>
            </w:pPr>
            <w:r>
              <w:rPr>
                <w:rFonts w:hint="eastAsia" w:ascii="Arial" w:hAnsi="Arial" w:eastAsiaTheme="minorEastAsia"/>
                <w:sz w:val="18"/>
                <w:szCs w:val="20"/>
                <w:lang w:val="en-GB"/>
              </w:rPr>
              <w:t>5</w:t>
            </w:r>
          </w:p>
        </w:tc>
      </w:tr>
      <w:tr w14:paraId="3C2D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50A591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697" w:type="pct"/>
            <w:vAlign w:val="center"/>
          </w:tcPr>
          <w:p w14:paraId="29083D8B">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1C28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11BC46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697" w:type="pct"/>
            <w:vAlign w:val="center"/>
          </w:tcPr>
          <w:p w14:paraId="614B2DC9">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0008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60F261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(16) Total noise plus interference density        = 10 log (10^(( (13) + (14))/10) + 10^(</w:t>
            </w:r>
            <w:r>
              <w:rPr>
                <w:rFonts w:ascii="Arial" w:hAnsi="Arial" w:eastAsia="MS Mincho"/>
                <w:sz w:val="18"/>
                <w:szCs w:val="20"/>
                <w:lang w:val="en-GB" w:eastAsia="en-US"/>
              </w:rPr>
              <w:t>(15</w:t>
            </w:r>
            <w:r>
              <w:rPr>
                <w:rFonts w:ascii="Arial" w:hAnsi="Arial" w:eastAsia="MS Mincho"/>
                <w:color w:val="000000"/>
                <w:sz w:val="18"/>
                <w:szCs w:val="20"/>
                <w:lang w:val="en-GB" w:eastAsia="en-US"/>
              </w:rPr>
              <w:t>)/10))    (dBm/Hz)</w:t>
            </w:r>
          </w:p>
        </w:tc>
        <w:tc>
          <w:tcPr>
            <w:tcW w:w="2697" w:type="pct"/>
            <w:vAlign w:val="center"/>
          </w:tcPr>
          <w:p w14:paraId="1E355B9C">
            <w:pPr>
              <w:keepNext/>
              <w:keepLines/>
              <w:rPr>
                <w:rFonts w:ascii="Arial" w:hAnsi="Arial" w:eastAsia="MS Mincho"/>
                <w:sz w:val="18"/>
                <w:szCs w:val="20"/>
                <w:lang w:val="en-GB" w:eastAsia="en-US"/>
              </w:rPr>
            </w:pPr>
          </w:p>
        </w:tc>
      </w:tr>
      <w:tr w14:paraId="50F7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54A22AE">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697" w:type="pct"/>
            <w:vAlign w:val="center"/>
          </w:tcPr>
          <w:p w14:paraId="18214F99">
            <w:pPr>
              <w:keepNext/>
              <w:keepLines/>
              <w:rPr>
                <w:rFonts w:ascii="Arial" w:hAnsi="Arial" w:eastAsia="MS Mincho"/>
                <w:sz w:val="18"/>
                <w:szCs w:val="20"/>
                <w:lang w:val="fr-FR" w:eastAsia="en-US"/>
              </w:rPr>
            </w:pPr>
          </w:p>
        </w:tc>
      </w:tr>
      <w:tr w14:paraId="2316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A833F1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697" w:type="pct"/>
            <w:vAlign w:val="center"/>
          </w:tcPr>
          <w:p w14:paraId="5817C612">
            <w:pPr>
              <w:keepNext/>
              <w:keepLines/>
              <w:rPr>
                <w:rFonts w:ascii="Arial" w:hAnsi="Arial" w:eastAsia="MS Mincho"/>
                <w:sz w:val="18"/>
                <w:szCs w:val="20"/>
                <w:lang w:val="en-GB" w:eastAsia="en-US"/>
              </w:rPr>
            </w:pPr>
          </w:p>
        </w:tc>
      </w:tr>
      <w:tr w14:paraId="22D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011308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697" w:type="pct"/>
            <w:vAlign w:val="center"/>
          </w:tcPr>
          <w:p w14:paraId="1E7FAB19">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4693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BF3B08F">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697" w:type="pct"/>
            <w:vAlign w:val="center"/>
          </w:tcPr>
          <w:p w14:paraId="3EC92B6D">
            <w:pPr>
              <w:keepNext/>
              <w:keepLines/>
              <w:rPr>
                <w:rFonts w:ascii="Arial" w:hAnsi="Arial"/>
                <w:sz w:val="18"/>
                <w:szCs w:val="20"/>
                <w:lang w:val="en-GB" w:eastAsia="en-US"/>
              </w:rPr>
            </w:pPr>
          </w:p>
        </w:tc>
      </w:tr>
      <w:tr w14:paraId="60A2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2E553C8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697" w:type="pct"/>
            <w:vAlign w:val="center"/>
          </w:tcPr>
          <w:p w14:paraId="16FF7118">
            <w:pPr>
              <w:keepNext/>
              <w:keepLines/>
              <w:rPr>
                <w:rFonts w:ascii="Arial" w:hAnsi="Arial" w:eastAsia="MS Mincho"/>
                <w:sz w:val="18"/>
                <w:szCs w:val="20"/>
                <w:lang w:val="en-GB" w:eastAsia="en-US"/>
              </w:rPr>
            </w:pPr>
          </w:p>
        </w:tc>
      </w:tr>
      <w:tr w14:paraId="768E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DFFD373">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697" w:type="pct"/>
            <w:vAlign w:val="center"/>
          </w:tcPr>
          <w:p w14:paraId="6A5FC17C">
            <w:pPr>
              <w:keepNext/>
              <w:keepLines/>
              <w:rPr>
                <w:rFonts w:ascii="Arial" w:hAnsi="Arial"/>
                <w:sz w:val="18"/>
                <w:szCs w:val="20"/>
                <w:lang w:val="da-DK" w:eastAsia="en-US"/>
              </w:rPr>
            </w:pPr>
          </w:p>
        </w:tc>
      </w:tr>
      <w:tr w14:paraId="5EF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9032DD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697" w:type="pct"/>
            <w:vAlign w:val="center"/>
          </w:tcPr>
          <w:p w14:paraId="6A01B803">
            <w:pPr>
              <w:keepNext/>
              <w:keepLines/>
              <w:rPr>
                <w:rFonts w:ascii="Arial" w:hAnsi="Arial"/>
                <w:sz w:val="18"/>
                <w:szCs w:val="20"/>
                <w:lang w:val="en-GB" w:eastAsia="en-US"/>
              </w:rPr>
            </w:pPr>
          </w:p>
        </w:tc>
      </w:tr>
      <w:tr w14:paraId="0560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36696BFB">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471D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83BFF1B">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697" w:type="pct"/>
            <w:vAlign w:val="center"/>
          </w:tcPr>
          <w:p w14:paraId="10B69277">
            <w:pPr>
              <w:keepNext/>
              <w:keepLines/>
              <w:rPr>
                <w:rFonts w:ascii="Arial" w:hAnsi="Arial" w:eastAsiaTheme="minorEastAsia"/>
                <w:sz w:val="18"/>
                <w:szCs w:val="20"/>
                <w:lang w:val="en-GB"/>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1262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57EA94E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697" w:type="pct"/>
            <w:vAlign w:val="center"/>
          </w:tcPr>
          <w:p w14:paraId="5D5EA167">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5F1A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75DA9B6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697" w:type="pct"/>
            <w:vAlign w:val="center"/>
          </w:tcPr>
          <w:p w14:paraId="5E8994B0">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570D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07625C5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697" w:type="pct"/>
            <w:vAlign w:val="center"/>
          </w:tcPr>
          <w:p w14:paraId="637D400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66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3A43E1E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697" w:type="pct"/>
            <w:vAlign w:val="center"/>
          </w:tcPr>
          <w:p w14:paraId="593E4F0E">
            <w:pPr>
              <w:keepNext/>
              <w:keepLines/>
              <w:rPr>
                <w:rFonts w:ascii="Arial" w:hAnsi="Arial" w:eastAsia="MS Mincho"/>
                <w:sz w:val="18"/>
                <w:szCs w:val="20"/>
                <w:lang w:val="en-GB" w:eastAsia="en-US"/>
              </w:rPr>
            </w:pPr>
          </w:p>
        </w:tc>
      </w:tr>
      <w:tr w14:paraId="472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2DE862D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30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31EB999">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697" w:type="pct"/>
            <w:vAlign w:val="center"/>
          </w:tcPr>
          <w:p w14:paraId="0CC300C5">
            <w:pPr>
              <w:keepNext/>
              <w:keepLines/>
              <w:rPr>
                <w:rFonts w:ascii="Arial" w:hAnsi="Arial" w:eastAsia="MS Mincho"/>
                <w:sz w:val="18"/>
                <w:szCs w:val="20"/>
                <w:lang w:val="en-GB" w:eastAsia="en-US"/>
              </w:rPr>
            </w:pPr>
          </w:p>
        </w:tc>
      </w:tr>
    </w:tbl>
    <w:p w14:paraId="3B8F32FF">
      <w:pPr>
        <w:jc w:val="both"/>
        <w:rPr>
          <w:rFonts w:eastAsia="等线"/>
          <w:b/>
          <w:bCs/>
          <w:highlight w:val="yellow"/>
          <w:lang w:val="en-GB"/>
        </w:rPr>
      </w:pPr>
    </w:p>
    <w:p w14:paraId="4F2AF90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6A6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EA0F073">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F353103">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5DD3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C4C1BFF">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6EDAE013">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 xml:space="preserve">Generally OK. To clarify the intention of On (27), will we use </w:t>
            </w:r>
            <w:r>
              <w:rPr>
                <w:rFonts w:ascii="Times New Roman" w:hAnsi="Times New Roman" w:eastAsia="MS Mincho" w:cs="Times New Roman"/>
                <w:szCs w:val="22"/>
                <w:lang w:val="en-GB" w:eastAsia="ja-JP"/>
              </w:rPr>
              <w:t>High-loss Model [Table 7.4.3-2 in TR 38.901]</w:t>
            </w:r>
            <w:r>
              <w:rPr>
                <w:rFonts w:hint="eastAsia" w:ascii="Times New Roman" w:hAnsi="Times New Roman" w:eastAsia="MS Mincho" w:cs="Times New Roman"/>
                <w:szCs w:val="22"/>
                <w:lang w:val="en-GB" w:eastAsia="ja-JP"/>
              </w:rPr>
              <w:t xml:space="preserve"> for calculating the </w:t>
            </w:r>
            <w:r>
              <w:rPr>
                <w:rFonts w:ascii="Times New Roman" w:hAnsi="Times New Roman" w:eastAsia="MS Mincho" w:cs="Times New Roman"/>
                <w:szCs w:val="22"/>
                <w:lang w:val="en-GB" w:eastAsia="ja-JP"/>
              </w:rPr>
              <w:t>penetration</w:t>
            </w:r>
            <w:r>
              <w:rPr>
                <w:rFonts w:hint="eastAsia" w:ascii="Times New Roman" w:hAnsi="Times New Roman" w:eastAsia="MS Mincho" w:cs="Times New Roman"/>
                <w:szCs w:val="22"/>
                <w:lang w:val="en-GB" w:eastAsia="ja-JP"/>
              </w:rPr>
              <w:t xml:space="preserve"> loss, but companies can still add some margin on top of the loss? Or, do we just use the </w:t>
            </w:r>
            <w:r>
              <w:rPr>
                <w:rFonts w:ascii="Times New Roman" w:hAnsi="Times New Roman" w:eastAsia="MS Mincho" w:cs="Times New Roman"/>
                <w:szCs w:val="22"/>
                <w:lang w:val="en-GB" w:eastAsia="ja-JP"/>
              </w:rPr>
              <w:t>penetration</w:t>
            </w:r>
            <w:r>
              <w:rPr>
                <w:rFonts w:hint="eastAsia" w:ascii="Times New Roman" w:hAnsi="Times New Roman" w:eastAsia="MS Mincho" w:cs="Times New Roman"/>
                <w:szCs w:val="22"/>
                <w:lang w:val="en-GB" w:eastAsia="ja-JP"/>
              </w:rPr>
              <w:t xml:space="preserve"> loss for the value of (27)?</w:t>
            </w:r>
          </w:p>
        </w:tc>
      </w:tr>
      <w:tr w14:paraId="5EC2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6E464F1">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MS Mincho" w:cs="Times New Roman"/>
                <w:lang w:eastAsia="ja-JP"/>
              </w:rPr>
              <w:t>Sharp</w:t>
            </w:r>
            <w:r>
              <w:rPr>
                <w:rFonts w:ascii="Times New Roman" w:hAnsi="Times New Roman" w:eastAsia="MS Mincho" w:cs="Times New Roman"/>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1F4397C3">
            <w:pPr>
              <w:pStyle w:val="140"/>
              <w:spacing w:before="0" w:beforeAutospacing="0" w:after="0" w:afterAutospacing="0"/>
              <w:jc w:val="both"/>
              <w:textAlignment w:val="baseline"/>
              <w:rPr>
                <w:rFonts w:ascii="Times New Roman" w:hAnsi="Times New Roman" w:eastAsia="MS Mincho" w:cs="Times New Roman"/>
                <w:sz w:val="22"/>
                <w:szCs w:val="22"/>
                <w:lang w:val="en-GB"/>
              </w:rPr>
            </w:pPr>
            <w:r>
              <w:rPr>
                <w:rFonts w:ascii="Times New Roman" w:hAnsi="Times New Roman" w:eastAsia="MS Mincho" w:cs="Times New Roman"/>
              </w:rPr>
              <w:t>SF std deviation should be 7 dB according to Table 7.4.3-3 of TR38.901, for O2I scenarios.</w:t>
            </w:r>
            <w:r>
              <w:rPr>
                <w:rFonts w:ascii="Times New Roman" w:hAnsi="Times New Roman" w:eastAsia="MS Mincho" w:cs="Times New Roman"/>
                <w:lang w:val="en-GB"/>
              </w:rPr>
              <w:t> </w:t>
            </w:r>
          </w:p>
          <w:p w14:paraId="03012A5A">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MS Mincho" w:cs="Times New Roman"/>
                <w:lang w:eastAsia="ja-JP"/>
              </w:rPr>
              <w:t>(8) Cable loss should be 1 dB. The UE-side impairment should be considered.</w:t>
            </w:r>
            <w:r>
              <w:rPr>
                <w:rFonts w:ascii="Times New Roman" w:hAnsi="Times New Roman" w:eastAsia="MS Mincho" w:cs="Times New Roman"/>
                <w:lang w:val="en-GB" w:eastAsia="ja-JP"/>
              </w:rPr>
              <w:t> </w:t>
            </w:r>
          </w:p>
        </w:tc>
      </w:tr>
      <w:tr w14:paraId="3097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2D1289C">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14690B83">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Support aligning parameters and assumptions first.</w:t>
            </w:r>
          </w:p>
          <w:p w14:paraId="0D0FC224">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eastAsia="宋体" w:cs="Times New Roman"/>
                <w:szCs w:val="22"/>
                <w:lang w:val="en-GB"/>
              </w:rPr>
              <w:t xml:space="preserve">Regarding </w:t>
            </w:r>
            <w:r>
              <w:rPr>
                <w:rFonts w:ascii="Times New Roman" w:hAnsi="Times New Roman" w:eastAsia="MS Mincho" w:cs="Times New Roman"/>
                <w:i/>
                <w:sz w:val="18"/>
                <w:szCs w:val="20"/>
                <w:lang w:val="en-GB" w:eastAsia="en-US"/>
              </w:rPr>
              <w:t>(11bis-b) Antenna gain correction factor at antenna gain component 2 of receiver (dB)</w:t>
            </w:r>
            <w:r>
              <w:rPr>
                <w:rFonts w:ascii="Times New Roman" w:hAnsi="Times New Roman" w:cs="Times New Roman" w:eastAsiaTheme="minorEastAsia"/>
                <w:i/>
                <w:sz w:val="18"/>
                <w:szCs w:val="20"/>
                <w:lang w:val="en-GB"/>
              </w:rPr>
              <w:t>,</w:t>
            </w:r>
            <w:r>
              <w:rPr>
                <w:rFonts w:ascii="Times New Roman" w:hAnsi="Times New Roman" w:eastAsia="宋体" w:cs="Times New Roman"/>
                <w:szCs w:val="22"/>
                <w:lang w:val="en-GB"/>
              </w:rPr>
              <w:t xml:space="preserve"> the current assumptions across different companies are too divergent. Better to align.</w:t>
            </w:r>
          </w:p>
        </w:tc>
      </w:tr>
      <w:tr w14:paraId="4C47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48CC7B6">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07D688B5">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bl>
    <w:p w14:paraId="37A9007D">
      <w:pPr>
        <w:jc w:val="both"/>
        <w:rPr>
          <w:rFonts w:eastAsia="等线"/>
          <w:b/>
          <w:bCs/>
          <w:highlight w:val="yellow"/>
        </w:rPr>
      </w:pPr>
    </w:p>
    <w:p w14:paraId="0BEA2EE1">
      <w:pPr>
        <w:jc w:val="both"/>
        <w:rPr>
          <w:rFonts w:eastAsia="等线"/>
          <w:b/>
          <w:bCs/>
        </w:rPr>
      </w:pPr>
      <w:r>
        <w:rPr>
          <w:rFonts w:hint="eastAsia" w:eastAsia="等线"/>
          <w:b/>
          <w:bCs/>
          <w:highlight w:val="yellow"/>
        </w:rPr>
        <w:t xml:space="preserve">FL proposal #2: </w:t>
      </w:r>
    </w:p>
    <w:p w14:paraId="7497650F">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around signals/channels in around 7GHz</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5204"/>
      </w:tblGrid>
      <w:tr w14:paraId="5C3A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6F0CE1AA">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5302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D41F0CF">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729" w:type="pct"/>
            <w:vAlign w:val="center"/>
          </w:tcPr>
          <w:p w14:paraId="25C00812">
            <w:pPr>
              <w:keepNext/>
              <w:keepLines/>
              <w:rPr>
                <w:rFonts w:ascii="Arial" w:hAnsi="Arial" w:eastAsiaTheme="minorEastAsia"/>
                <w:bCs/>
                <w:color w:val="000000"/>
                <w:sz w:val="18"/>
                <w:szCs w:val="20"/>
                <w:lang w:val="en-GB"/>
              </w:rPr>
            </w:pPr>
            <w:r>
              <w:rPr>
                <w:rFonts w:ascii="Arial" w:hAnsi="Arial" w:eastAsiaTheme="minorEastAsia"/>
                <w:bCs/>
                <w:color w:val="000000"/>
                <w:sz w:val="18"/>
                <w:szCs w:val="20"/>
                <w:lang w:val="en-GB"/>
              </w:rPr>
              <w:t>S</w:t>
            </w:r>
            <w:r>
              <w:rPr>
                <w:rFonts w:hint="eastAsia" w:ascii="Arial" w:hAnsi="Arial" w:eastAsiaTheme="minorEastAsia"/>
                <w:bCs/>
                <w:color w:val="000000"/>
                <w:sz w:val="18"/>
                <w:szCs w:val="20"/>
                <w:lang w:val="en-GB"/>
              </w:rPr>
              <w:t>ignals/channels during initial access assuming Rel-15 NR design</w:t>
            </w:r>
          </w:p>
        </w:tc>
      </w:tr>
      <w:tr w14:paraId="25FF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F9C45E5">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729" w:type="pct"/>
            <w:vAlign w:val="center"/>
          </w:tcPr>
          <w:p w14:paraId="493233F0">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11A3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0DAEAF6">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729" w:type="pct"/>
            <w:vAlign w:val="center"/>
          </w:tcPr>
          <w:p w14:paraId="7974D1D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6B3F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F3F2E97">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729" w:type="pct"/>
            <w:vAlign w:val="center"/>
          </w:tcPr>
          <w:p w14:paraId="45EB3437">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2CB6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C2CA37E">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729" w:type="pct"/>
            <w:vAlign w:val="center"/>
          </w:tcPr>
          <w:p w14:paraId="0788F89C">
            <w:pPr>
              <w:keepNext/>
              <w:keepLines/>
              <w:rPr>
                <w:rFonts w:ascii="Arial" w:hAnsi="Arial" w:eastAsiaTheme="minorEastAsia"/>
                <w:sz w:val="18"/>
                <w:szCs w:val="20"/>
                <w:lang w:val="en-GB"/>
              </w:rPr>
            </w:pPr>
            <w:r>
              <w:rPr>
                <w:rFonts w:ascii="Arial" w:hAnsi="Arial" w:eastAsia="MS Mincho"/>
                <w:sz w:val="18"/>
                <w:szCs w:val="20"/>
                <w:lang w:val="en-GB" w:eastAsia="en-US"/>
              </w:rPr>
              <w:t>95% for control channel</w:t>
            </w:r>
            <w:r>
              <w:rPr>
                <w:rFonts w:hint="eastAsia" w:ascii="Arial" w:hAnsi="Arial" w:eastAsiaTheme="minorEastAsia"/>
                <w:sz w:val="18"/>
                <w:szCs w:val="20"/>
                <w:lang w:val="en-GB"/>
              </w:rPr>
              <w:t>, SSB and SIB1</w:t>
            </w:r>
            <w:r>
              <w:rPr>
                <w:rFonts w:ascii="Arial" w:hAnsi="Arial" w:eastAsia="MS Mincho"/>
                <w:sz w:val="18"/>
                <w:szCs w:val="20"/>
                <w:lang w:val="en-GB" w:eastAsia="en-US"/>
              </w:rPr>
              <w:t xml:space="preserve">, 90% for </w:t>
            </w:r>
            <w:r>
              <w:rPr>
                <w:rFonts w:hint="eastAsia" w:ascii="Arial" w:hAnsi="Arial" w:eastAsiaTheme="minorEastAsia"/>
                <w:sz w:val="18"/>
                <w:szCs w:val="20"/>
                <w:lang w:val="en-GB"/>
              </w:rPr>
              <w:t xml:space="preserve">other </w:t>
            </w:r>
            <w:r>
              <w:rPr>
                <w:rFonts w:ascii="Arial" w:hAnsi="Arial" w:eastAsia="MS Mincho"/>
                <w:sz w:val="18"/>
                <w:szCs w:val="20"/>
                <w:lang w:val="en-GB" w:eastAsia="en-US"/>
              </w:rPr>
              <w:t>data channel can be used as a starting point.</w:t>
            </w:r>
          </w:p>
        </w:tc>
      </w:tr>
      <w:tr w14:paraId="506F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59FEA44">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2729" w:type="pct"/>
            <w:vAlign w:val="center"/>
          </w:tcPr>
          <w:p w14:paraId="42EB1AC7">
            <w:pPr>
              <w:keepNext/>
              <w:keepLines/>
              <w:rPr>
                <w:rFonts w:ascii="Arial" w:hAnsi="Arial" w:eastAsia="MS Mincho"/>
                <w:sz w:val="18"/>
                <w:szCs w:val="20"/>
                <w:lang w:val="en-GB" w:eastAsia="en-US"/>
              </w:rPr>
            </w:pPr>
            <w:r>
              <w:rPr>
                <w:rFonts w:hint="eastAsia" w:ascii="Arial" w:hAnsi="Arial" w:eastAsiaTheme="minorEastAsia"/>
                <w:sz w:val="18"/>
                <w:szCs w:val="20"/>
                <w:lang w:val="en-GB"/>
              </w:rPr>
              <w:t xml:space="preserve">6 (same as mid-band, i.e. refer to the row of UMa NLOS in Table 7.2-1 of TR 38.901 </w:t>
            </w:r>
          </w:p>
        </w:tc>
      </w:tr>
      <w:tr w14:paraId="1E85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39B9C3C">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729" w:type="pct"/>
            <w:vAlign w:val="center"/>
          </w:tcPr>
          <w:p w14:paraId="13C598D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1E39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B8C4DE9">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729" w:type="pct"/>
            <w:vAlign w:val="center"/>
          </w:tcPr>
          <w:p w14:paraId="5095CF2A">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8 </w:t>
            </w:r>
          </w:p>
        </w:tc>
      </w:tr>
      <w:tr w14:paraId="5AF7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1CBB5D4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355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6E3C038">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729" w:type="pct"/>
            <w:vAlign w:val="center"/>
          </w:tcPr>
          <w:p w14:paraId="78A64E12">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1F0DFC02">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15503E84">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27AFEBB">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25DEBC89">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323A866E">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7A51F616">
            <w:pPr>
              <w:keepNext/>
              <w:keepLines/>
              <w:adjustRightInd/>
              <w:snapToGrid/>
              <w:spacing w:after="0"/>
              <w:rPr>
                <w:rFonts w:ascii="Arial" w:hAnsi="Arial" w:eastAsia="等线"/>
                <w:sz w:val="18"/>
                <w:szCs w:val="20"/>
              </w:rPr>
            </w:pPr>
            <w:r>
              <w:rPr>
                <w:rFonts w:ascii="Arial" w:hAnsi="Arial" w:eastAsia="等线"/>
                <w:sz w:val="18"/>
                <w:szCs w:val="20"/>
              </w:rPr>
              <w:t>- 1</w:t>
            </w:r>
          </w:p>
        </w:tc>
      </w:tr>
      <w:tr w14:paraId="509B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33A26B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729" w:type="pct"/>
            <w:vAlign w:val="center"/>
          </w:tcPr>
          <w:p w14:paraId="7142A373">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18ECD45D">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3B62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05AF0C6">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729" w:type="pct"/>
            <w:vAlign w:val="center"/>
          </w:tcPr>
          <w:p w14:paraId="3BD37CAD">
            <w:pPr>
              <w:keepNext/>
              <w:keepLines/>
              <w:rPr>
                <w:rFonts w:ascii="Arial" w:hAnsi="Arial" w:eastAsiaTheme="minorEastAsia"/>
                <w:sz w:val="18"/>
                <w:szCs w:val="20"/>
                <w:lang w:val="en-GB"/>
              </w:rPr>
            </w:pPr>
            <w:r>
              <w:rPr>
                <w:rFonts w:ascii="Arial" w:hAnsi="Arial" w:eastAsia="MS Mincho"/>
                <w:sz w:val="18"/>
                <w:szCs w:val="20"/>
                <w:lang w:val="en-GB" w:eastAsia="en-US"/>
              </w:rPr>
              <w:t>Reported by companies</w:t>
            </w:r>
          </w:p>
        </w:tc>
      </w:tr>
      <w:tr w14:paraId="337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5A49340">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729" w:type="pct"/>
            <w:vAlign w:val="center"/>
          </w:tcPr>
          <w:p w14:paraId="69671FD7">
            <w:pPr>
              <w:keepLines/>
              <w:rPr>
                <w:rFonts w:ascii="Arial" w:hAnsi="Arial" w:eastAsiaTheme="minorEastAsia"/>
                <w:sz w:val="18"/>
                <w:szCs w:val="20"/>
                <w:lang w:val="en-GB"/>
              </w:rPr>
            </w:pPr>
            <w:r>
              <w:rPr>
                <w:rFonts w:hint="eastAsia" w:ascii="Arial" w:hAnsi="Arial" w:eastAsiaTheme="minorEastAsia"/>
                <w:sz w:val="18"/>
                <w:szCs w:val="20"/>
                <w:lang w:val="en-GB"/>
              </w:rPr>
              <w:t>23dbm for UE</w:t>
            </w:r>
          </w:p>
          <w:p w14:paraId="25B1DD1C">
            <w:pPr>
              <w:keepLines/>
              <w:rPr>
                <w:rFonts w:ascii="Arial" w:hAnsi="Arial" w:eastAsiaTheme="minorEastAsia"/>
                <w:sz w:val="18"/>
                <w:szCs w:val="20"/>
                <w:lang w:val="en-GB"/>
              </w:rPr>
            </w:pPr>
            <w:r>
              <w:rPr>
                <w:rFonts w:ascii="Arial" w:hAnsi="Arial" w:eastAsiaTheme="minorEastAsia"/>
                <w:sz w:val="18"/>
                <w:szCs w:val="20"/>
                <w:lang w:val="en-GB"/>
              </w:rPr>
              <w:t>1W/1MHz</w:t>
            </w:r>
            <w:r>
              <w:rPr>
                <w:rFonts w:hint="eastAsia" w:ascii="Arial" w:hAnsi="Arial" w:eastAsiaTheme="minorEastAsia"/>
                <w:sz w:val="18"/>
                <w:szCs w:val="20"/>
                <w:lang w:val="en-GB"/>
              </w:rPr>
              <w:t xml:space="preserve"> for BS</w:t>
            </w:r>
          </w:p>
        </w:tc>
      </w:tr>
      <w:tr w14:paraId="66EF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396E89B">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729" w:type="pct"/>
            <w:vAlign w:val="center"/>
          </w:tcPr>
          <w:p w14:paraId="095DD18A">
            <w:pPr>
              <w:keepNext/>
              <w:keepLines/>
              <w:adjustRightInd/>
              <w:snapToGrid/>
              <w:spacing w:after="0"/>
              <w:rPr>
                <w:rFonts w:ascii="Arial" w:hAnsi="Arial" w:eastAsia="等线"/>
                <w:sz w:val="18"/>
                <w:szCs w:val="20"/>
              </w:rPr>
            </w:pPr>
            <w:r>
              <w:rPr>
                <w:rFonts w:ascii="Arial" w:hAnsi="Arial" w:eastAsia="等线"/>
                <w:sz w:val="18"/>
                <w:szCs w:val="20"/>
              </w:rPr>
              <w:t>For downlink:</w:t>
            </w:r>
          </w:p>
          <w:p w14:paraId="6F3C61CA">
            <w:pPr>
              <w:keepNext/>
              <w:keepLines/>
              <w:adjustRightInd/>
              <w:snapToGrid/>
              <w:spacing w:after="0"/>
              <w:rPr>
                <w:rFonts w:ascii="Arial" w:hAnsi="Arial" w:eastAsia="等线"/>
                <w:sz w:val="18"/>
                <w:szCs w:val="20"/>
              </w:rPr>
            </w:pPr>
            <w:r>
              <w:rPr>
                <w:rFonts w:ascii="Arial" w:hAnsi="Arial" w:eastAsia="等线"/>
                <w:sz w:val="18"/>
                <w:szCs w:val="20"/>
              </w:rPr>
              <w:t>System bandwidth:</w:t>
            </w:r>
          </w:p>
          <w:p w14:paraId="2B055585">
            <w:pPr>
              <w:keepNext/>
              <w:keepLines/>
              <w:adjustRightInd/>
              <w:snapToGrid/>
              <w:spacing w:after="0"/>
              <w:rPr>
                <w:rFonts w:ascii="Arial" w:hAnsi="Arial" w:eastAsia="等线"/>
                <w:sz w:val="18"/>
                <w:szCs w:val="20"/>
              </w:rPr>
            </w:pPr>
            <w:r>
              <w:rPr>
                <w:rFonts w:ascii="Arial" w:hAnsi="Arial" w:eastAsia="等线"/>
                <w:sz w:val="18"/>
                <w:szCs w:val="20"/>
              </w:rPr>
              <w:t>- 20</w:t>
            </w:r>
            <w:r>
              <w:rPr>
                <w:rFonts w:hint="eastAsia" w:ascii="Arial" w:hAnsi="Arial" w:eastAsia="等线"/>
                <w:sz w:val="18"/>
                <w:szCs w:val="20"/>
              </w:rPr>
              <w:t xml:space="preserve">0 or 400 </w:t>
            </w:r>
            <w:r>
              <w:rPr>
                <w:rFonts w:ascii="Arial" w:hAnsi="Arial" w:eastAsia="等线"/>
                <w:sz w:val="18"/>
                <w:szCs w:val="20"/>
              </w:rPr>
              <w:t xml:space="preserve">MHz </w:t>
            </w:r>
          </w:p>
          <w:p w14:paraId="54EF9C09">
            <w:pPr>
              <w:keepNext/>
              <w:keepLines/>
              <w:adjustRightInd/>
              <w:snapToGrid/>
              <w:spacing w:after="0"/>
              <w:rPr>
                <w:rFonts w:ascii="Arial" w:hAnsi="Arial" w:eastAsia="等线"/>
                <w:sz w:val="18"/>
                <w:szCs w:val="20"/>
              </w:rPr>
            </w:pPr>
            <w:r>
              <w:rPr>
                <w:rFonts w:ascii="Arial" w:hAnsi="Arial" w:eastAsia="等线"/>
                <w:sz w:val="18"/>
                <w:szCs w:val="20"/>
              </w:rPr>
              <w:t>For uplink:</w:t>
            </w:r>
          </w:p>
          <w:p w14:paraId="0F6669A3">
            <w:pPr>
              <w:keepNext/>
              <w:keepLines/>
              <w:rPr>
                <w:rFonts w:ascii="Arial" w:hAnsi="Arial" w:eastAsia="等线"/>
                <w:sz w:val="18"/>
                <w:szCs w:val="20"/>
              </w:rPr>
            </w:pPr>
            <w:r>
              <w:rPr>
                <w:rFonts w:ascii="Arial" w:hAnsi="Arial" w:eastAsia="等线"/>
                <w:sz w:val="18"/>
                <w:szCs w:val="20"/>
              </w:rPr>
              <w:t>- Occupied bandwidth is reported by companies</w:t>
            </w:r>
            <w:r>
              <w:rPr>
                <w:rFonts w:hint="eastAsia" w:ascii="Arial" w:hAnsi="Arial" w:eastAsia="等线"/>
                <w:sz w:val="18"/>
                <w:szCs w:val="20"/>
              </w:rPr>
              <w:t xml:space="preserve"> </w:t>
            </w:r>
            <w:r>
              <w:rPr>
                <w:rFonts w:hint="eastAsia" w:ascii="Arial" w:hAnsi="Arial" w:eastAsiaTheme="minorEastAsia"/>
                <w:sz w:val="18"/>
                <w:szCs w:val="20"/>
                <w:lang w:val="en-GB"/>
              </w:rPr>
              <w:t>(same between two carrier frequencies)</w:t>
            </w:r>
          </w:p>
        </w:tc>
      </w:tr>
      <w:tr w14:paraId="32D0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717690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729" w:type="pct"/>
            <w:vAlign w:val="center"/>
          </w:tcPr>
          <w:p w14:paraId="28251CD8">
            <w:pPr>
              <w:keepNext/>
              <w:keepLines/>
              <w:rPr>
                <w:rFonts w:ascii="Arial" w:hAnsi="Arial" w:eastAsia="MS Mincho"/>
                <w:sz w:val="18"/>
                <w:szCs w:val="20"/>
                <w:lang w:val="en-GB" w:eastAsia="en-US"/>
              </w:rPr>
            </w:pPr>
          </w:p>
        </w:tc>
      </w:tr>
      <w:tr w14:paraId="23CB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A863757">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729" w:type="pct"/>
            <w:vAlign w:val="center"/>
          </w:tcPr>
          <w:p w14:paraId="0A0603C3">
            <w:pPr>
              <w:keepNext/>
              <w:keepLines/>
              <w:rPr>
                <w:rFonts w:ascii="Arial" w:hAnsi="Arial" w:eastAsiaTheme="minorEastAsia"/>
                <w:sz w:val="18"/>
                <w:szCs w:val="20"/>
                <w:lang w:val="en-GB"/>
              </w:rPr>
            </w:pPr>
            <w:r>
              <w:rPr>
                <w:rFonts w:ascii="Arial" w:hAnsi="Arial" w:eastAsiaTheme="minorEastAsia"/>
                <w:sz w:val="18"/>
                <w:szCs w:val="20"/>
                <w:lang w:val="en-GB"/>
              </w:rPr>
              <w:t>Signals/channels during initial access assuming Rel-15 NR design</w:t>
            </w:r>
          </w:p>
        </w:tc>
      </w:tr>
      <w:tr w14:paraId="4B0E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FB53BCE">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729" w:type="pct"/>
            <w:vAlign w:val="center"/>
          </w:tcPr>
          <w:p w14:paraId="26C412B2">
            <w:pPr>
              <w:keepNext/>
              <w:keepLines/>
              <w:rPr>
                <w:rFonts w:ascii="Arial" w:hAnsi="Arial" w:eastAsia="MS Mincho"/>
                <w:sz w:val="18"/>
                <w:szCs w:val="20"/>
                <w:lang w:val="en-GB" w:eastAsia="en-US"/>
              </w:rPr>
            </w:pPr>
          </w:p>
        </w:tc>
      </w:tr>
      <w:tr w14:paraId="76A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5319B51">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729" w:type="pct"/>
            <w:vAlign w:val="center"/>
          </w:tcPr>
          <w:p w14:paraId="0B207135">
            <w:pPr>
              <w:keepNext/>
              <w:keepLines/>
              <w:rPr>
                <w:rFonts w:ascii="Arial" w:hAnsi="Arial" w:eastAsia="MS Mincho"/>
                <w:sz w:val="18"/>
                <w:szCs w:val="20"/>
                <w:lang w:val="en-GB" w:eastAsia="en-US"/>
              </w:rPr>
            </w:pPr>
          </w:p>
        </w:tc>
      </w:tr>
      <w:tr w14:paraId="02A6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2D48E5E">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729" w:type="pct"/>
            <w:vAlign w:val="center"/>
          </w:tcPr>
          <w:p w14:paraId="2F664D0B">
            <w:pPr>
              <w:keepNext/>
              <w:keepLines/>
              <w:rPr>
                <w:rFonts w:ascii="Arial" w:hAnsi="Arial" w:eastAsia="MS Mincho"/>
                <w:sz w:val="18"/>
                <w:szCs w:val="20"/>
                <w:lang w:val="en-GB" w:eastAsia="en-US"/>
              </w:rPr>
            </w:pPr>
          </w:p>
        </w:tc>
      </w:tr>
      <w:tr w14:paraId="1A02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5F8439E">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729" w:type="pct"/>
            <w:vAlign w:val="center"/>
          </w:tcPr>
          <w:p w14:paraId="6046DFBD">
            <w:pPr>
              <w:keepNext/>
              <w:keepLines/>
              <w:rPr>
                <w:rFonts w:ascii="Arial" w:hAnsi="Arial" w:eastAsiaTheme="minorEastAsia"/>
                <w:sz w:val="18"/>
                <w:szCs w:val="20"/>
                <w:lang w:val="en-GB"/>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 xml:space="preserve">s </w:t>
            </w:r>
          </w:p>
        </w:tc>
      </w:tr>
      <w:tr w14:paraId="54CF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101D1E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729" w:type="pct"/>
            <w:vAlign w:val="center"/>
          </w:tcPr>
          <w:p w14:paraId="0D6EA421">
            <w:pPr>
              <w:keepNext/>
              <w:keepLines/>
              <w:adjustRightInd/>
              <w:snapToGrid/>
              <w:spacing w:after="0"/>
              <w:rPr>
                <w:rFonts w:ascii="Arial" w:hAnsi="Arial" w:eastAsia="等线"/>
                <w:sz w:val="18"/>
                <w:szCs w:val="20"/>
              </w:rPr>
            </w:pPr>
            <w:r>
              <w:rPr>
                <w:rFonts w:ascii="Arial" w:hAnsi="Arial" w:eastAsia="等线"/>
                <w:sz w:val="18"/>
                <w:szCs w:val="20"/>
              </w:rPr>
              <w:t>For BS:</w:t>
            </w:r>
          </w:p>
          <w:p w14:paraId="689B43BA">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27822A30">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1DDD7B48">
            <w:pPr>
              <w:keepNext/>
              <w:keepLines/>
              <w:adjustRightInd/>
              <w:snapToGrid/>
              <w:spacing w:after="0"/>
              <w:rPr>
                <w:rFonts w:ascii="Arial" w:hAnsi="Arial" w:eastAsia="等线"/>
                <w:sz w:val="18"/>
                <w:szCs w:val="20"/>
              </w:rPr>
            </w:pPr>
            <w:r>
              <w:rPr>
                <w:rFonts w:ascii="Arial" w:hAnsi="Arial" w:eastAsia="等线"/>
                <w:sz w:val="18"/>
                <w:szCs w:val="20"/>
                <w:lang w:eastAsia="en-US"/>
              </w:rPr>
              <w:t>- 0 dBi</w:t>
            </w:r>
          </w:p>
        </w:tc>
      </w:tr>
      <w:tr w14:paraId="78F1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F81FFE4">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29428B92">
            <w:pPr>
              <w:keepNext/>
              <w:keepLines/>
              <w:rPr>
                <w:rFonts w:ascii="Arial" w:hAnsi="Arial" w:eastAsia="MS Mincho"/>
                <w:sz w:val="18"/>
                <w:szCs w:val="20"/>
                <w:lang w:val="en-GB" w:eastAsia="en-US"/>
              </w:rPr>
            </w:pPr>
          </w:p>
        </w:tc>
      </w:tr>
      <w:tr w14:paraId="3E7F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7635423">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189F9E0E">
            <w:pPr>
              <w:keepNext/>
              <w:keepLines/>
              <w:rPr>
                <w:rFonts w:ascii="Arial" w:hAnsi="Arial" w:eastAsia="MS Mincho"/>
                <w:sz w:val="18"/>
                <w:szCs w:val="20"/>
                <w:lang w:val="en-GB" w:eastAsia="en-US"/>
              </w:rPr>
            </w:pPr>
          </w:p>
        </w:tc>
      </w:tr>
      <w:tr w14:paraId="1FF1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32D942E">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769A7E6D">
            <w:pPr>
              <w:keepNext/>
              <w:keepLines/>
              <w:rPr>
                <w:rFonts w:ascii="Arial" w:hAnsi="Arial"/>
                <w:sz w:val="18"/>
                <w:szCs w:val="20"/>
                <w:lang w:val="en-GB" w:eastAsia="en-US"/>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70D7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E9966A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pPr>
              <w:keepNext/>
              <w:keepLines/>
              <w:rPr>
                <w:rFonts w:ascii="Arial" w:hAnsi="Arial" w:eastAsiaTheme="minorEastAsia"/>
                <w:sz w:val="18"/>
                <w:szCs w:val="20"/>
                <w:lang w:val="en-GB"/>
              </w:rPr>
            </w:pPr>
            <w:r>
              <w:rPr>
                <w:rFonts w:hint="eastAsia" w:ascii="Arial" w:hAnsi="Arial" w:eastAsiaTheme="minorEastAsia"/>
                <w:sz w:val="18"/>
                <w:szCs w:val="20"/>
                <w:lang w:val="en-GB"/>
              </w:rPr>
              <w:t>0 for UL and 3 for DL (same between two carrier frequencies)</w:t>
            </w:r>
          </w:p>
        </w:tc>
      </w:tr>
      <w:tr w14:paraId="4D0C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0760DA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729" w:type="pct"/>
            <w:vAlign w:val="center"/>
          </w:tcPr>
          <w:p w14:paraId="6BF5BAD1">
            <w:pPr>
              <w:keepNext/>
              <w:keepLines/>
              <w:rPr>
                <w:rFonts w:ascii="Arial" w:hAnsi="Arial" w:eastAsia="MS Mincho"/>
                <w:sz w:val="18"/>
                <w:szCs w:val="20"/>
                <w:lang w:val="en-GB" w:eastAsia="en-US"/>
              </w:rPr>
            </w:pPr>
          </w:p>
        </w:tc>
      </w:tr>
      <w:tr w14:paraId="6E24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0250BB0C">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17F9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6F376F7">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729" w:type="pct"/>
            <w:vAlign w:val="center"/>
          </w:tcPr>
          <w:p w14:paraId="13E7A565">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38C0C957">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264AAB77">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19A0CD53">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48F19B81">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072A2FEE">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452783D3">
            <w:pPr>
              <w:keepNext/>
              <w:keepLines/>
              <w:rPr>
                <w:rFonts w:ascii="Arial" w:hAnsi="Arial" w:eastAsiaTheme="minorEastAsia"/>
                <w:sz w:val="18"/>
                <w:szCs w:val="20"/>
                <w:lang w:val="en-GB"/>
              </w:rPr>
            </w:pPr>
            <w:r>
              <w:rPr>
                <w:rFonts w:ascii="Arial" w:hAnsi="Arial" w:eastAsia="等线"/>
                <w:sz w:val="18"/>
                <w:szCs w:val="20"/>
              </w:rPr>
              <w:t xml:space="preserve">- </w:t>
            </w:r>
            <w:r>
              <w:rPr>
                <w:rFonts w:hint="eastAsia" w:ascii="Arial" w:hAnsi="Arial" w:eastAsia="等线"/>
                <w:sz w:val="18"/>
                <w:szCs w:val="20"/>
              </w:rPr>
              <w:t xml:space="preserve">4 </w:t>
            </w:r>
          </w:p>
        </w:tc>
      </w:tr>
      <w:tr w14:paraId="3A0A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6CBDDD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729" w:type="pct"/>
            <w:vAlign w:val="center"/>
          </w:tcPr>
          <w:p w14:paraId="0826B3A1">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160ADE99">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4E86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6ED60C7">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729" w:type="pct"/>
            <w:vAlign w:val="center"/>
          </w:tcPr>
          <w:p w14:paraId="4BA68696">
            <w:pPr>
              <w:keepNext/>
              <w:keepLines/>
              <w:rPr>
                <w:rFonts w:ascii="Arial" w:hAnsi="Arial" w:eastAsiaTheme="minorEastAsia"/>
                <w:sz w:val="18"/>
                <w:szCs w:val="20"/>
              </w:rPr>
            </w:pPr>
            <w:r>
              <w:rPr>
                <w:rFonts w:ascii="Arial" w:hAnsi="Arial"/>
                <w:sz w:val="18"/>
                <w:szCs w:val="20"/>
                <w:lang w:val="en-GB" w:eastAsia="en-US"/>
              </w:rPr>
              <w:t>Reported by companies</w:t>
            </w:r>
            <w:r>
              <w:rPr>
                <w:rFonts w:hint="eastAsia" w:ascii="Arial" w:hAnsi="Arial" w:eastAsiaTheme="minorEastAsia"/>
                <w:sz w:val="18"/>
                <w:szCs w:val="20"/>
                <w:lang w:val="en-GB"/>
              </w:rPr>
              <w:t xml:space="preserve"> (same between two carrier frequencies)</w:t>
            </w:r>
          </w:p>
        </w:tc>
      </w:tr>
      <w:tr w14:paraId="4070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81111A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729" w:type="pct"/>
            <w:vAlign w:val="center"/>
          </w:tcPr>
          <w:p w14:paraId="11DF5943">
            <w:pPr>
              <w:keepNext/>
              <w:keepLines/>
              <w:rPr>
                <w:rFonts w:ascii="Arial" w:hAnsi="Arial" w:eastAsia="MS Mincho"/>
                <w:sz w:val="18"/>
                <w:szCs w:val="20"/>
                <w:lang w:val="en-GB" w:eastAsia="en-US"/>
              </w:rPr>
            </w:pPr>
          </w:p>
        </w:tc>
      </w:tr>
      <w:tr w14:paraId="4450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901516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729" w:type="pct"/>
            <w:vAlign w:val="center"/>
          </w:tcPr>
          <w:p w14:paraId="329CCC23">
            <w:pPr>
              <w:keepNext/>
              <w:keepLines/>
              <w:rPr>
                <w:rFonts w:ascii="Arial" w:hAnsi="Arial" w:eastAsia="MS Mincho"/>
                <w:sz w:val="18"/>
                <w:szCs w:val="20"/>
                <w:lang w:val="en-GB" w:eastAsia="en-US"/>
              </w:rPr>
            </w:pPr>
          </w:p>
        </w:tc>
      </w:tr>
      <w:tr w14:paraId="284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2FD28C4">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729" w:type="pct"/>
            <w:vAlign w:val="center"/>
          </w:tcPr>
          <w:p w14:paraId="5511D619">
            <w:pPr>
              <w:keepNext/>
              <w:keepLines/>
              <w:rPr>
                <w:rFonts w:ascii="Arial" w:hAnsi="Arial" w:eastAsiaTheme="minorEastAsia"/>
                <w:sz w:val="18"/>
                <w:szCs w:val="20"/>
              </w:rPr>
            </w:pPr>
            <w:r>
              <w:rPr>
                <w:rFonts w:hint="eastAsia" w:ascii="Arial" w:hAnsi="Arial" w:eastAsiaTheme="minorEastAsia"/>
                <w:sz w:val="18"/>
                <w:szCs w:val="20"/>
              </w:rPr>
              <w:t>0</w:t>
            </w:r>
          </w:p>
        </w:tc>
      </w:tr>
      <w:tr w14:paraId="2DEA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5C978CA">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729" w:type="pct"/>
            <w:vAlign w:val="center"/>
          </w:tcPr>
          <w:p w14:paraId="39C94068">
            <w:pPr>
              <w:keepNext/>
              <w:keepLines/>
              <w:adjustRightInd/>
              <w:snapToGrid/>
              <w:spacing w:after="0"/>
              <w:rPr>
                <w:rFonts w:ascii="Arial" w:hAnsi="Arial" w:eastAsia="等线"/>
                <w:sz w:val="18"/>
                <w:szCs w:val="20"/>
              </w:rPr>
            </w:pPr>
            <w:r>
              <w:rPr>
                <w:rFonts w:ascii="Arial" w:hAnsi="Arial" w:eastAsia="等线"/>
                <w:sz w:val="18"/>
                <w:szCs w:val="20"/>
              </w:rPr>
              <w:t>For BS:</w:t>
            </w:r>
          </w:p>
          <w:p w14:paraId="78B89BB0">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5D399AD5">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1D2BA1CB">
            <w:pPr>
              <w:keepNext/>
              <w:keepLines/>
              <w:rPr>
                <w:rFonts w:ascii="Arial" w:hAnsi="Arial" w:eastAsiaTheme="minorEastAsia"/>
                <w:sz w:val="18"/>
                <w:szCs w:val="20"/>
                <w:lang w:val="en-GB"/>
              </w:rPr>
            </w:pPr>
            <w:r>
              <w:rPr>
                <w:rFonts w:ascii="Arial" w:hAnsi="Arial" w:eastAsia="等线"/>
                <w:sz w:val="18"/>
                <w:szCs w:val="20"/>
                <w:lang w:eastAsia="en-US"/>
              </w:rPr>
              <w:t>- 0 dBi</w:t>
            </w:r>
          </w:p>
        </w:tc>
      </w:tr>
      <w:tr w14:paraId="7BAC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14930E6">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0FE5BDBA">
            <w:pPr>
              <w:keepNext/>
              <w:keepLines/>
              <w:rPr>
                <w:rFonts w:ascii="Arial" w:hAnsi="Arial" w:eastAsia="MS Mincho"/>
                <w:sz w:val="18"/>
                <w:szCs w:val="20"/>
                <w:lang w:val="en-GB" w:eastAsia="en-US"/>
              </w:rPr>
            </w:pPr>
          </w:p>
        </w:tc>
      </w:tr>
      <w:tr w14:paraId="1E0D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8E1B189">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256490A4">
            <w:pPr>
              <w:keepNext/>
              <w:keepLines/>
              <w:rPr>
                <w:rFonts w:ascii="Arial" w:hAnsi="Arial" w:eastAsia="MS Mincho"/>
                <w:sz w:val="18"/>
                <w:szCs w:val="20"/>
                <w:lang w:val="en-GB" w:eastAsia="en-US"/>
              </w:rPr>
            </w:pPr>
          </w:p>
        </w:tc>
      </w:tr>
      <w:tr w14:paraId="0FF7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0B295D19">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CE5338A">
            <w:pPr>
              <w:keepNext/>
              <w:keepLines/>
              <w:rPr>
                <w:rFonts w:ascii="Arial" w:hAnsi="Arial"/>
                <w:sz w:val="18"/>
                <w:szCs w:val="20"/>
                <w:lang w:val="en-GB" w:eastAsia="en-US"/>
              </w:rPr>
            </w:pPr>
            <w:r>
              <w:rPr>
                <w:rFonts w:hint="eastAsia" w:ascii="Arial" w:hAnsi="Arial" w:eastAsiaTheme="minorEastAsia"/>
                <w:sz w:val="18"/>
                <w:szCs w:val="20"/>
                <w:lang w:val="en-GB"/>
              </w:rPr>
              <w:t>FFS: For UL,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7E96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60BA0D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pPr>
              <w:keepNext/>
              <w:keepLines/>
              <w:rPr>
                <w:rFonts w:ascii="Arial" w:hAnsi="Arial" w:eastAsiaTheme="minorEastAsia"/>
                <w:sz w:val="18"/>
                <w:szCs w:val="20"/>
              </w:rPr>
            </w:pPr>
            <w:r>
              <w:rPr>
                <w:rFonts w:hint="eastAsia" w:ascii="Arial" w:hAnsi="Arial" w:eastAsiaTheme="minorEastAsia"/>
                <w:sz w:val="18"/>
                <w:szCs w:val="20"/>
                <w:lang w:val="en-GB"/>
              </w:rPr>
              <w:t>3 for UL and 0 for DL (same between two carrier frequencies)</w:t>
            </w:r>
          </w:p>
        </w:tc>
      </w:tr>
      <w:tr w14:paraId="3514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6CC5256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729" w:type="pct"/>
            <w:vAlign w:val="center"/>
          </w:tcPr>
          <w:p w14:paraId="6238B8C2">
            <w:pPr>
              <w:keepNext/>
              <w:keepLines/>
              <w:rPr>
                <w:rFonts w:ascii="Arial" w:hAnsi="Arial" w:eastAsiaTheme="minorEastAsia"/>
                <w:sz w:val="18"/>
                <w:szCs w:val="20"/>
                <w:lang w:val="en-GB"/>
              </w:rPr>
            </w:pPr>
            <w:r>
              <w:rPr>
                <w:rFonts w:hint="eastAsia" w:ascii="Arial" w:hAnsi="Arial" w:eastAsiaTheme="minorEastAsia"/>
                <w:sz w:val="18"/>
                <w:szCs w:val="20"/>
                <w:lang w:val="en-GB"/>
              </w:rPr>
              <w:t>DL: 9, UL: 5</w:t>
            </w:r>
          </w:p>
        </w:tc>
      </w:tr>
      <w:tr w14:paraId="3B90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9A21EC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729" w:type="pct"/>
            <w:vAlign w:val="center"/>
          </w:tcPr>
          <w:p w14:paraId="5B8294B9">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3E3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E2B593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729" w:type="pct"/>
            <w:vAlign w:val="center"/>
          </w:tcPr>
          <w:p w14:paraId="500A8266">
            <w:pPr>
              <w:keepNext/>
              <w:keepLines/>
              <w:rPr>
                <w:rFonts w:ascii="Arial" w:hAnsi="Arial"/>
                <w:sz w:val="18"/>
                <w:szCs w:val="20"/>
                <w:lang w:val="en-GB" w:eastAsia="en-US"/>
              </w:rPr>
            </w:pPr>
            <w:r>
              <w:rPr>
                <w:rFonts w:hint="eastAsia" w:ascii="Arial" w:hAnsi="Arial" w:eastAsiaTheme="minorEastAsia"/>
                <w:sz w:val="18"/>
                <w:szCs w:val="20"/>
                <w:lang w:val="en-GB"/>
              </w:rPr>
              <w:t>FFS</w:t>
            </w:r>
          </w:p>
        </w:tc>
      </w:tr>
      <w:tr w14:paraId="52D1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A402845">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2729" w:type="pct"/>
            <w:vAlign w:val="center"/>
          </w:tcPr>
          <w:p w14:paraId="4A55A619">
            <w:pPr>
              <w:keepNext/>
              <w:keepLines/>
              <w:rPr>
                <w:rFonts w:ascii="Arial" w:hAnsi="Arial" w:eastAsia="MS Mincho"/>
                <w:sz w:val="18"/>
                <w:szCs w:val="20"/>
                <w:lang w:val="en-GB" w:eastAsia="en-US"/>
              </w:rPr>
            </w:pPr>
          </w:p>
        </w:tc>
      </w:tr>
      <w:tr w14:paraId="1F02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AB43079">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729" w:type="pct"/>
            <w:vAlign w:val="center"/>
          </w:tcPr>
          <w:p w14:paraId="4DB4753D">
            <w:pPr>
              <w:keepNext/>
              <w:keepLines/>
              <w:rPr>
                <w:rFonts w:ascii="Arial" w:hAnsi="Arial" w:eastAsia="MS Mincho"/>
                <w:sz w:val="18"/>
                <w:szCs w:val="20"/>
                <w:lang w:val="fr-FR" w:eastAsia="en-US"/>
              </w:rPr>
            </w:pPr>
          </w:p>
        </w:tc>
      </w:tr>
      <w:tr w14:paraId="6AA9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BEEEA45">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729" w:type="pct"/>
            <w:vAlign w:val="center"/>
          </w:tcPr>
          <w:p w14:paraId="579E3022">
            <w:pPr>
              <w:keepNext/>
              <w:keepLines/>
              <w:rPr>
                <w:rFonts w:ascii="Arial" w:hAnsi="Arial" w:eastAsia="MS Mincho"/>
                <w:sz w:val="18"/>
                <w:szCs w:val="20"/>
                <w:lang w:val="en-GB" w:eastAsia="en-US"/>
              </w:rPr>
            </w:pPr>
          </w:p>
        </w:tc>
      </w:tr>
      <w:tr w14:paraId="6AB8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7F8A7F1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729" w:type="pct"/>
            <w:vAlign w:val="center"/>
          </w:tcPr>
          <w:p w14:paraId="7F39E2A0">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0FEE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31EAA32">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729" w:type="pct"/>
            <w:vAlign w:val="center"/>
          </w:tcPr>
          <w:p w14:paraId="3A7404F3">
            <w:pPr>
              <w:keepNext/>
              <w:keepLines/>
              <w:rPr>
                <w:rFonts w:ascii="Arial" w:hAnsi="Arial"/>
                <w:sz w:val="18"/>
                <w:szCs w:val="20"/>
                <w:lang w:val="en-GB" w:eastAsia="en-US"/>
              </w:rPr>
            </w:pPr>
          </w:p>
        </w:tc>
      </w:tr>
      <w:tr w14:paraId="21A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52A4796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729" w:type="pct"/>
            <w:vAlign w:val="center"/>
          </w:tcPr>
          <w:p w14:paraId="0AD17CA5">
            <w:pPr>
              <w:keepNext/>
              <w:keepLines/>
              <w:rPr>
                <w:rFonts w:ascii="Arial" w:hAnsi="Arial" w:eastAsia="MS Mincho"/>
                <w:sz w:val="18"/>
                <w:szCs w:val="20"/>
                <w:lang w:val="en-GB" w:eastAsia="en-US"/>
              </w:rPr>
            </w:pPr>
          </w:p>
        </w:tc>
      </w:tr>
      <w:tr w14:paraId="3EC7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335F5339">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729" w:type="pct"/>
            <w:vAlign w:val="center"/>
          </w:tcPr>
          <w:p w14:paraId="6B0876F0">
            <w:pPr>
              <w:keepNext/>
              <w:keepLines/>
              <w:rPr>
                <w:rFonts w:ascii="Arial" w:hAnsi="Arial"/>
                <w:sz w:val="18"/>
                <w:szCs w:val="20"/>
                <w:lang w:val="da-DK" w:eastAsia="en-US"/>
              </w:rPr>
            </w:pPr>
          </w:p>
        </w:tc>
      </w:tr>
      <w:tr w14:paraId="1972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260B9F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729" w:type="pct"/>
            <w:vAlign w:val="center"/>
          </w:tcPr>
          <w:p w14:paraId="23CA0D72">
            <w:pPr>
              <w:keepNext/>
              <w:keepLines/>
              <w:rPr>
                <w:rFonts w:ascii="Arial" w:hAnsi="Arial"/>
                <w:sz w:val="18"/>
                <w:szCs w:val="20"/>
                <w:lang w:val="en-GB" w:eastAsia="en-US"/>
              </w:rPr>
            </w:pPr>
          </w:p>
        </w:tc>
      </w:tr>
      <w:tr w14:paraId="701C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5D5A668B">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1E22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D4354F2">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729" w:type="pct"/>
            <w:vAlign w:val="center"/>
          </w:tcPr>
          <w:p w14:paraId="3B1E8D60">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5D26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77B882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729" w:type="pct"/>
            <w:vAlign w:val="center"/>
          </w:tcPr>
          <w:p w14:paraId="4922F53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3036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D085A2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729" w:type="pct"/>
            <w:vAlign w:val="center"/>
          </w:tcPr>
          <w:p w14:paraId="64767A14">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0AC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D2E2DC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729" w:type="pct"/>
            <w:vAlign w:val="center"/>
          </w:tcPr>
          <w:p w14:paraId="5F9FA69A">
            <w:pPr>
              <w:keepNext/>
              <w:keepLines/>
              <w:rPr>
                <w:rFonts w:ascii="Arial" w:hAnsi="Arial"/>
                <w:sz w:val="18"/>
                <w:szCs w:val="20"/>
                <w:lang w:val="en-GB" w:eastAsia="en-US"/>
              </w:rPr>
            </w:pPr>
            <w:r>
              <w:rPr>
                <w:rFonts w:ascii="Arial" w:hAnsi="Arial"/>
                <w:sz w:val="18"/>
                <w:szCs w:val="20"/>
                <w:lang w:val="en-GB" w:eastAsia="en-US"/>
              </w:rPr>
              <w:t>Reported by companies</w:t>
            </w:r>
          </w:p>
        </w:tc>
      </w:tr>
      <w:tr w14:paraId="5D6D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199510F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729" w:type="pct"/>
            <w:vAlign w:val="center"/>
          </w:tcPr>
          <w:p w14:paraId="06B80A3B">
            <w:pPr>
              <w:keepNext/>
              <w:keepLines/>
              <w:rPr>
                <w:rFonts w:ascii="Arial" w:hAnsi="Arial" w:eastAsia="MS Mincho"/>
                <w:sz w:val="18"/>
                <w:szCs w:val="20"/>
                <w:lang w:val="en-GB" w:eastAsia="en-US"/>
              </w:rPr>
            </w:pPr>
          </w:p>
        </w:tc>
      </w:tr>
      <w:tr w14:paraId="10DD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3F49E4D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4908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2485C07C">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729" w:type="pct"/>
            <w:vAlign w:val="center"/>
          </w:tcPr>
          <w:p w14:paraId="3A361D21">
            <w:pPr>
              <w:keepNext/>
              <w:keepLines/>
              <w:rPr>
                <w:rFonts w:ascii="Arial" w:hAnsi="Arial" w:eastAsia="MS Mincho"/>
                <w:sz w:val="18"/>
                <w:szCs w:val="20"/>
                <w:lang w:val="en-GB" w:eastAsia="en-US"/>
              </w:rPr>
            </w:pPr>
          </w:p>
        </w:tc>
      </w:tr>
    </w:tbl>
    <w:p w14:paraId="7E15A5FB">
      <w:pPr>
        <w:jc w:val="both"/>
        <w:rPr>
          <w:rFonts w:eastAsia="等线"/>
          <w:b/>
          <w:bCs/>
          <w:highlight w:val="yellow"/>
          <w:lang w:val="en-GB"/>
        </w:rPr>
      </w:pPr>
    </w:p>
    <w:p w14:paraId="5C34F46A">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8DF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69174E0">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53DA492">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77A5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7527CE5">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128E4977">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 xml:space="preserve">Just clarification question, where does the value in (3) of </w:t>
            </w:r>
            <w:r>
              <w:rPr>
                <w:rFonts w:ascii="Times New Roman" w:hAnsi="Times New Roman" w:eastAsia="MS Mincho" w:cs="Times New Roman"/>
                <w:szCs w:val="22"/>
                <w:lang w:val="en-GB" w:eastAsia="ja-JP"/>
              </w:rPr>
              <w:t>1W/1MHz for BS</w:t>
            </w:r>
            <w:r>
              <w:rPr>
                <w:rFonts w:hint="eastAsia" w:ascii="Times New Roman" w:hAnsi="Times New Roman" w:eastAsia="MS Mincho" w:cs="Times New Roman"/>
                <w:szCs w:val="22"/>
                <w:lang w:val="en-GB" w:eastAsia="ja-JP"/>
              </w:rPr>
              <w:t xml:space="preserve"> come from?</w:t>
            </w:r>
          </w:p>
        </w:tc>
      </w:tr>
      <w:tr w14:paraId="0225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4C06B43">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MS Mincho" w:cs="Times New Roman"/>
                <w:kern w:val="2"/>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34DFA0B6">
            <w:pPr>
              <w:widowControl w:val="0"/>
              <w:suppressAutoHyphens/>
              <w:spacing w:line="256" w:lineRule="auto"/>
              <w:jc w:val="both"/>
              <w:rPr>
                <w:rFonts w:ascii="Times New Roman" w:hAnsi="Times New Roman" w:eastAsia="宋体" w:cs="Times New Roman"/>
                <w:kern w:val="2"/>
                <w:szCs w:val="22"/>
                <w:lang w:val="en-GB" w:eastAsia="en-US"/>
              </w:rPr>
            </w:pPr>
            <w:r>
              <w:rPr>
                <w:rFonts w:hint="eastAsia" w:ascii="Times New Roman" w:hAnsi="Times New Roman" w:eastAsia="MS Mincho" w:cs="Times New Roman"/>
                <w:kern w:val="2"/>
                <w:szCs w:val="22"/>
                <w:lang w:val="en-GB" w:eastAsia="ja-JP"/>
              </w:rPr>
              <w:t>We have the same comments as above.</w:t>
            </w:r>
          </w:p>
        </w:tc>
      </w:tr>
      <w:tr w14:paraId="3647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B697C49">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1E96A036">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Thanks FL. A few comments:</w:t>
            </w:r>
          </w:p>
          <w:p w14:paraId="138D0505">
            <w:pPr>
              <w:pStyle w:val="63"/>
              <w:widowControl w:val="0"/>
              <w:numPr>
                <w:ilvl w:val="0"/>
                <w:numId w:val="52"/>
              </w:numPr>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Scenarios and Carrier frequency (GHz), can we just confirm it with 7GHz?</w:t>
            </w:r>
          </w:p>
          <w:p w14:paraId="24065CA5">
            <w:pPr>
              <w:pStyle w:val="63"/>
              <w:widowControl w:val="0"/>
              <w:numPr>
                <w:ilvl w:val="0"/>
                <w:numId w:val="52"/>
              </w:numPr>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The antenna number and TxRU number for BS is a bit too conservative (768, 128), which is the smallest one among all configurations. Can we choose a middle number, e.g. (1024, 256) or (1536, 256)?</w:t>
            </w:r>
          </w:p>
          <w:p w14:paraId="48D1DE3A">
            <w:pPr>
              <w:pStyle w:val="63"/>
              <w:widowControl w:val="0"/>
              <w:numPr>
                <w:ilvl w:val="0"/>
                <w:numId w:val="52"/>
              </w:numPr>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szCs w:val="22"/>
                <w:lang w:val="en-GB"/>
              </w:rPr>
              <w:t xml:space="preserve">The FFS on antenna gain for DL common channels is critical. </w:t>
            </w:r>
            <w:r>
              <w:rPr>
                <w:rFonts w:ascii="Times New Roman" w:hAnsi="Times New Roman" w:eastAsia="宋体" w:cs="Times New Roman"/>
                <w:szCs w:val="22"/>
                <w:lang w:val="en-GB"/>
              </w:rPr>
              <w:t>W</w:t>
            </w:r>
            <w:r>
              <w:rPr>
                <w:rFonts w:hint="eastAsia" w:ascii="Times New Roman" w:hAnsi="Times New Roman" w:eastAsia="宋体" w:cs="Times New Roman"/>
                <w:szCs w:val="22"/>
                <w:lang w:val="en-GB"/>
              </w:rPr>
              <w:t>e suggest prioritizing discussion on this issue.</w:t>
            </w:r>
          </w:p>
        </w:tc>
      </w:tr>
      <w:tr w14:paraId="44D2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2E8A03C">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2157EAAD">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bl>
    <w:p w14:paraId="1A44CB38">
      <w:pPr>
        <w:jc w:val="both"/>
        <w:rPr>
          <w:rFonts w:eastAsia="等线"/>
          <w:b/>
          <w:bCs/>
          <w:highlight w:val="yellow"/>
        </w:rPr>
      </w:pPr>
    </w:p>
    <w:p w14:paraId="62901789">
      <w:pPr>
        <w:jc w:val="both"/>
        <w:rPr>
          <w:rFonts w:eastAsia="等线"/>
          <w:b/>
          <w:bCs/>
        </w:rPr>
      </w:pPr>
      <w:r>
        <w:rPr>
          <w:rFonts w:hint="eastAsia" w:eastAsia="等线"/>
          <w:b/>
          <w:bCs/>
          <w:highlight w:val="yellow"/>
        </w:rPr>
        <w:t xml:space="preserve">FL proposal #3: </w:t>
      </w:r>
    </w:p>
    <w:p w14:paraId="4CE3D7A8">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w:t>
      </w:r>
    </w:p>
    <w:p w14:paraId="1936E1E6">
      <w:pPr>
        <w:pStyle w:val="63"/>
        <w:numPr>
          <w:ilvl w:val="0"/>
          <w:numId w:val="8"/>
        </w:numPr>
        <w:jc w:val="both"/>
        <w:rPr>
          <w:szCs w:val="22"/>
        </w:rPr>
      </w:pPr>
      <w:r>
        <w:rPr>
          <w:szCs w:val="22"/>
        </w:rPr>
        <w:t>Following carrier frequencies are considered to calculate the metric(s)</w:t>
      </w:r>
    </w:p>
    <w:p w14:paraId="6A536A46">
      <w:pPr>
        <w:pStyle w:val="63"/>
        <w:numPr>
          <w:ilvl w:val="1"/>
          <w:numId w:val="8"/>
        </w:numPr>
        <w:jc w:val="both"/>
        <w:rPr>
          <w:szCs w:val="22"/>
        </w:rPr>
      </w:pPr>
      <w:r>
        <w:rPr>
          <w:rFonts w:hint="eastAsia" w:eastAsiaTheme="minorEastAsia"/>
          <w:szCs w:val="22"/>
        </w:rPr>
        <w:t>Option 1: 2.6GHz</w:t>
      </w:r>
      <w:r>
        <w:rPr>
          <w:szCs w:val="22"/>
        </w:rPr>
        <w:t xml:space="preserve"> as the existing 5G mid-band</w:t>
      </w:r>
    </w:p>
    <w:p w14:paraId="1AD86057">
      <w:pPr>
        <w:pStyle w:val="63"/>
        <w:numPr>
          <w:ilvl w:val="1"/>
          <w:numId w:val="8"/>
        </w:numPr>
        <w:jc w:val="both"/>
        <w:rPr>
          <w:szCs w:val="22"/>
        </w:rPr>
      </w:pPr>
      <w:r>
        <w:rPr>
          <w:rFonts w:hint="eastAsia" w:eastAsiaTheme="minorEastAsia"/>
          <w:szCs w:val="22"/>
        </w:rPr>
        <w:t xml:space="preserve">Option 2: 3.5GHz </w:t>
      </w:r>
      <w:r>
        <w:rPr>
          <w:szCs w:val="22"/>
        </w:rPr>
        <w:t>as the existing 5G mid-band</w:t>
      </w:r>
    </w:p>
    <w:p w14:paraId="737E07EB">
      <w:pPr>
        <w:pStyle w:val="63"/>
        <w:numPr>
          <w:ilvl w:val="0"/>
          <w:numId w:val="8"/>
        </w:numPr>
        <w:jc w:val="both"/>
        <w:rPr>
          <w:szCs w:val="22"/>
        </w:rPr>
      </w:pPr>
      <w:r>
        <w:rPr>
          <w:szCs w:val="22"/>
        </w:rPr>
        <w:t>Additional margin</w:t>
      </w:r>
      <w:r>
        <w:rPr>
          <w:rFonts w:hint="eastAsia" w:eastAsiaTheme="minorEastAsia"/>
          <w:szCs w:val="22"/>
        </w:rPr>
        <w:t xml:space="preserve"> to account for the different carrier frequencies deployed by the operators. </w:t>
      </w:r>
    </w:p>
    <w:p w14:paraId="4846A3D1">
      <w:pPr>
        <w:jc w:val="both"/>
        <w:rPr>
          <w:rFonts w:eastAsia="等线"/>
          <w:b/>
          <w:bCs/>
          <w:highlight w:val="yellow"/>
        </w:rPr>
      </w:pPr>
    </w:p>
    <w:p w14:paraId="5BDEE868">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B84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186D4B2">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C9A6E40">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5C42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8F99874">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MS Mincho" w:cs="Times New Roman"/>
                <w:kern w:val="2"/>
                <w:lang w:eastAsia="ja-JP"/>
              </w:rPr>
              <w:t>Sharp</w:t>
            </w:r>
            <w:r>
              <w:rPr>
                <w:rFonts w:ascii="Times New Roman" w:hAnsi="Times New Roman" w:eastAsia="MS Mincho" w:cs="Times New Roman"/>
                <w:kern w:val="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5A5A7B8C">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MS Mincho" w:cs="Times New Roman"/>
                <w:kern w:val="2"/>
                <w:lang w:eastAsia="ja-JP"/>
              </w:rPr>
              <w:t>We are fine with either. Slightly prefer Option 2 since it’s clear from the previous agreement.</w:t>
            </w:r>
            <w:r>
              <w:rPr>
                <w:rFonts w:ascii="Times New Roman" w:hAnsi="Times New Roman" w:eastAsia="MS Mincho" w:cs="Times New Roman"/>
                <w:kern w:val="2"/>
                <w:lang w:val="en-GB" w:eastAsia="ja-JP"/>
              </w:rPr>
              <w:t> </w:t>
            </w:r>
          </w:p>
        </w:tc>
      </w:tr>
      <w:tr w14:paraId="6B2B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F86B2E7">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M</w:t>
            </w:r>
            <w:r>
              <w:rPr>
                <w:rFonts w:ascii="Times New Roman" w:hAnsi="Times New Roman" w:eastAsia="PMingLiU" w:cs="Times New Roman"/>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6D8A3BFB">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S</w:t>
            </w:r>
            <w:r>
              <w:rPr>
                <w:rFonts w:ascii="Times New Roman" w:hAnsi="Times New Roman" w:eastAsia="PMingLiU" w:cs="Times New Roman"/>
                <w:kern w:val="2"/>
                <w:szCs w:val="22"/>
                <w:lang w:val="en-GB" w:eastAsia="zh-TW"/>
              </w:rPr>
              <w:t>upport</w:t>
            </w:r>
          </w:p>
        </w:tc>
      </w:tr>
      <w:tr w14:paraId="6C6A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03AEDE0">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14:paraId="3DEA5860">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hint="eastAsia" w:ascii="Times New Roman" w:hAnsi="Times New Roman" w:eastAsia="宋体" w:cs="Times New Roman"/>
                <w:szCs w:val="22"/>
                <w:lang w:val="en-GB"/>
              </w:rPr>
              <w:t xml:space="preserve">Thus, we </w:t>
            </w:r>
            <w:r>
              <w:rPr>
                <w:rFonts w:ascii="Times New Roman" w:hAnsi="Times New Roman" w:eastAsia="宋体" w:cs="Times New Roman"/>
                <w:szCs w:val="22"/>
                <w:lang w:val="en-GB"/>
              </w:rPr>
              <w:t>suggest</w:t>
            </w:r>
            <w:r>
              <w:rPr>
                <w:rFonts w:hint="eastAsia" w:ascii="Times New Roman" w:hAnsi="Times New Roman" w:eastAsia="宋体" w:cs="Times New Roman"/>
                <w:szCs w:val="22"/>
                <w:lang w:val="en-GB"/>
              </w:rPr>
              <w:t xml:space="preserve"> to revies Option 2 as follows:</w:t>
            </w:r>
          </w:p>
          <w:p w14:paraId="3FC46532">
            <w:pPr>
              <w:widowControl w:val="0"/>
              <w:suppressAutoHyphens/>
              <w:spacing w:line="256" w:lineRule="auto"/>
              <w:jc w:val="both"/>
              <w:rPr>
                <w:rFonts w:ascii="Times New Roman" w:hAnsi="Times New Roman" w:cs="Times New Roman"/>
                <w:sz w:val="20"/>
                <w:szCs w:val="20"/>
                <w:lang w:val="en-GB" w:eastAsia="en-US"/>
              </w:rPr>
            </w:pPr>
            <w:r>
              <w:rPr>
                <w:rFonts w:hint="eastAsia" w:ascii="Calibri" w:hAnsi="Calibri" w:cs="Arial" w:eastAsiaTheme="minorEastAsia"/>
                <w:szCs w:val="22"/>
              </w:rPr>
              <w:t xml:space="preserve">Option 2: </w:t>
            </w:r>
            <w:r>
              <w:rPr>
                <w:rFonts w:hint="eastAsia" w:ascii="Calibri" w:hAnsi="Calibri" w:cs="Arial" w:eastAsiaTheme="minorEastAsia"/>
                <w:strike/>
                <w:color w:val="EE0000"/>
                <w:szCs w:val="22"/>
              </w:rPr>
              <w:t>3.5</w:t>
            </w:r>
            <w:r>
              <w:rPr>
                <w:rFonts w:hint="eastAsia" w:ascii="Calibri" w:hAnsi="Calibri" w:cs="Arial" w:eastAsiaTheme="minorEastAsia"/>
                <w:color w:val="EE0000"/>
                <w:szCs w:val="22"/>
              </w:rPr>
              <w:t xml:space="preserve"> 3.4</w:t>
            </w:r>
            <w:r>
              <w:rPr>
                <w:rFonts w:hint="eastAsia" w:ascii="Calibri" w:hAnsi="Calibri" w:cs="Arial" w:eastAsiaTheme="minorEastAsia"/>
                <w:szCs w:val="22"/>
              </w:rPr>
              <w:t xml:space="preserve">GHz </w:t>
            </w:r>
            <w:r>
              <w:rPr>
                <w:rFonts w:ascii="Calibri" w:hAnsi="Calibri" w:cs="Arial"/>
                <w:szCs w:val="22"/>
              </w:rPr>
              <w:t>as the existing 5G mid-band</w:t>
            </w:r>
          </w:p>
        </w:tc>
      </w:tr>
    </w:tbl>
    <w:p w14:paraId="4E027FD7">
      <w:pPr>
        <w:jc w:val="both"/>
        <w:rPr>
          <w:rFonts w:eastAsia="等线"/>
          <w:b/>
          <w:bCs/>
          <w:highlight w:val="yellow"/>
        </w:rPr>
      </w:pPr>
    </w:p>
    <w:p w14:paraId="45A0375D">
      <w:pPr>
        <w:jc w:val="both"/>
        <w:rPr>
          <w:rFonts w:eastAsia="等线"/>
          <w:b/>
          <w:bCs/>
        </w:rPr>
      </w:pPr>
      <w:r>
        <w:rPr>
          <w:rFonts w:hint="eastAsia" w:eastAsia="等线"/>
          <w:b/>
          <w:bCs/>
          <w:highlight w:val="yellow"/>
        </w:rPr>
        <w:t>FL proposal #4:</w:t>
      </w:r>
    </w:p>
    <w:p w14:paraId="2E78B7F6">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w:t>
      </w:r>
    </w:p>
    <w:p w14:paraId="683635A7">
      <w:pPr>
        <w:pStyle w:val="63"/>
        <w:numPr>
          <w:ilvl w:val="0"/>
          <w:numId w:val="53"/>
        </w:numPr>
        <w:jc w:val="both"/>
        <w:rPr>
          <w:rFonts w:eastAsia="等线" w:cs="Times"/>
          <w:iCs/>
          <w:szCs w:val="20"/>
        </w:rPr>
      </w:pPr>
      <w:r>
        <w:rPr>
          <w:rFonts w:eastAsia="等线" w:cs="Times"/>
          <w:iCs/>
          <w:szCs w:val="20"/>
        </w:rPr>
        <w:t xml:space="preserve">MPL is </w:t>
      </w:r>
      <w:r>
        <w:rPr>
          <w:rFonts w:hint="eastAsia" w:eastAsia="等线" w:cs="Times"/>
          <w:iCs/>
          <w:szCs w:val="20"/>
        </w:rPr>
        <w:t>adopted</w:t>
      </w:r>
      <w:r>
        <w:rPr>
          <w:rFonts w:eastAsia="等线" w:cs="Times"/>
          <w:iCs/>
          <w:szCs w:val="20"/>
        </w:rPr>
        <w:t xml:space="preserve"> </w:t>
      </w:r>
      <w:r>
        <w:rPr>
          <w:rFonts w:hint="eastAsia" w:eastAsia="等线" w:cs="Times"/>
          <w:iCs/>
          <w:szCs w:val="20"/>
        </w:rPr>
        <w:t>for further evaluation</w:t>
      </w:r>
    </w:p>
    <w:p w14:paraId="02B526FB">
      <w:pPr>
        <w:pStyle w:val="63"/>
        <w:numPr>
          <w:ilvl w:val="0"/>
          <w:numId w:val="53"/>
        </w:numPr>
        <w:jc w:val="both"/>
        <w:rPr>
          <w:rFonts w:eastAsia="等线" w:cs="Times"/>
          <w:iCs/>
          <w:szCs w:val="20"/>
        </w:rPr>
      </w:pPr>
      <w:r>
        <w:rPr>
          <w:rFonts w:hint="eastAsia" w:eastAsia="等线" w:cs="Times"/>
          <w:iCs/>
          <w:szCs w:val="20"/>
        </w:rPr>
        <w:t xml:space="preserve">The coverage target during initial access/random access </w:t>
      </w:r>
      <w:r>
        <w:rPr>
          <w:rFonts w:eastAsia="等线" w:cs="Times"/>
          <w:iCs/>
          <w:szCs w:val="20"/>
        </w:rPr>
        <w:t xml:space="preserve">is </w:t>
      </w:r>
      <w:r>
        <w:rPr>
          <w:rFonts w:hint="eastAsia" w:eastAsia="等线" w:cs="Times"/>
          <w:iCs/>
          <w:szCs w:val="20"/>
        </w:rPr>
        <w:t>the sum of the following components</w:t>
      </w:r>
    </w:p>
    <w:p w14:paraId="7AA52074">
      <w:pPr>
        <w:pStyle w:val="63"/>
        <w:numPr>
          <w:ilvl w:val="0"/>
          <w:numId w:val="54"/>
        </w:numPr>
        <w:jc w:val="both"/>
        <w:rPr>
          <w:rFonts w:eastAsiaTheme="minorEastAsia"/>
          <w:szCs w:val="22"/>
        </w:rPr>
      </w:pPr>
      <w:r>
        <w:rPr>
          <w:rFonts w:eastAsia="等线" w:cs="Times"/>
          <w:iCs/>
          <w:szCs w:val="20"/>
        </w:rPr>
        <w:t xml:space="preserve">MPL of the bottleneck channel </w:t>
      </w:r>
      <w:r>
        <w:rPr>
          <w:szCs w:val="22"/>
        </w:rPr>
        <w:t>(i.e. Rel-15 NR Msg3)</w:t>
      </w:r>
    </w:p>
    <w:p w14:paraId="2BDB07F7">
      <w:pPr>
        <w:pStyle w:val="63"/>
        <w:numPr>
          <w:ilvl w:val="0"/>
          <w:numId w:val="54"/>
        </w:numPr>
        <w:jc w:val="both"/>
        <w:rPr>
          <w:rFonts w:eastAsia="等线" w:cs="Times"/>
          <w:iCs/>
          <w:szCs w:val="20"/>
        </w:rPr>
      </w:pPr>
      <w:r>
        <w:rPr>
          <w:rFonts w:hint="eastAsia" w:eastAsia="等线" w:cs="Times"/>
          <w:iCs/>
          <w:szCs w:val="20"/>
        </w:rPr>
        <w:t>P</w:t>
      </w:r>
      <w:r>
        <w:rPr>
          <w:rFonts w:eastAsia="等线" w:cs="Times"/>
          <w:iCs/>
          <w:szCs w:val="20"/>
        </w:rPr>
        <w:t>ropagation</w:t>
      </w:r>
      <w:r>
        <w:rPr>
          <w:rFonts w:hint="eastAsia" w:eastAsia="等线" w:cs="Times"/>
          <w:iCs/>
          <w:szCs w:val="20"/>
        </w:rPr>
        <w:t xml:space="preserve"> loss difference of the two frequencies</w:t>
      </w:r>
    </w:p>
    <w:p w14:paraId="0CCD6906">
      <w:pPr>
        <w:pStyle w:val="63"/>
        <w:numPr>
          <w:ilvl w:val="0"/>
          <w:numId w:val="54"/>
        </w:numPr>
        <w:jc w:val="both"/>
        <w:rPr>
          <w:rFonts w:eastAsia="等线" w:cs="Times"/>
          <w:iCs/>
          <w:szCs w:val="20"/>
        </w:rPr>
      </w:pPr>
      <w:bookmarkStart w:id="16" w:name="_Hlk221457670"/>
      <w:r>
        <w:rPr>
          <w:rFonts w:hint="eastAsia" w:eastAsia="等线" w:cs="Times"/>
          <w:iCs/>
          <w:szCs w:val="20"/>
        </w:rPr>
        <w:t>Any other additional margin, e.g., handover margin, implementation impairments</w:t>
      </w:r>
    </w:p>
    <w:p w14:paraId="3F42B9EF">
      <w:pPr>
        <w:pStyle w:val="63"/>
        <w:numPr>
          <w:ilvl w:val="1"/>
          <w:numId w:val="54"/>
        </w:numPr>
        <w:jc w:val="both"/>
        <w:rPr>
          <w:rFonts w:eastAsia="等线" w:cs="Times"/>
          <w:iCs/>
          <w:szCs w:val="20"/>
        </w:rPr>
      </w:pPr>
      <w:r>
        <w:rPr>
          <w:rFonts w:hint="eastAsia" w:eastAsia="等线" w:cs="Times"/>
          <w:iCs/>
          <w:szCs w:val="20"/>
        </w:rPr>
        <w:t xml:space="preserve">FFS: detailed value </w:t>
      </w:r>
    </w:p>
    <w:bookmarkEnd w:id="16"/>
    <w:p w14:paraId="2E02C670">
      <w:pPr>
        <w:jc w:val="both"/>
        <w:rPr>
          <w:rFonts w:eastAsia="等线" w:cs="Times"/>
          <w:iCs/>
          <w:szCs w:val="20"/>
        </w:rPr>
      </w:pPr>
    </w:p>
    <w:p w14:paraId="7DE3ECD9">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7F8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C0237AB">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C1E7841">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503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BBC335D">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3E0B3D11">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MS Mincho" w:cs="Times New Roman"/>
                <w:szCs w:val="22"/>
                <w:lang w:val="en-GB" w:eastAsia="ja-JP"/>
              </w:rPr>
              <w:t>We support the proposal.</w:t>
            </w:r>
          </w:p>
        </w:tc>
      </w:tr>
      <w:tr w14:paraId="7705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0D30509">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M</w:t>
            </w:r>
            <w:r>
              <w:rPr>
                <w:rFonts w:ascii="Times New Roman" w:hAnsi="Times New Roman" w:eastAsia="PMingLiU" w:cs="Times New Roman"/>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7A7509CD">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S</w:t>
            </w:r>
            <w:r>
              <w:rPr>
                <w:rFonts w:ascii="Times New Roman" w:hAnsi="Times New Roman" w:eastAsia="PMingLiU" w:cs="Times New Roman"/>
                <w:kern w:val="2"/>
                <w:szCs w:val="22"/>
                <w:lang w:val="en-GB" w:eastAsia="zh-TW"/>
              </w:rPr>
              <w:t>upport</w:t>
            </w:r>
          </w:p>
        </w:tc>
      </w:tr>
      <w:tr w14:paraId="345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988E2B3">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536DBF5F">
            <w:pPr>
              <w:widowControl w:val="0"/>
              <w:suppressAutoHyphens/>
              <w:spacing w:line="256" w:lineRule="auto"/>
              <w:jc w:val="both"/>
              <w:rPr>
                <w:rFonts w:ascii="Times New Roman" w:hAnsi="Times New Roman" w:cs="Times New Roman"/>
                <w:sz w:val="20"/>
                <w:szCs w:val="20"/>
                <w:lang w:val="en-GB" w:eastAsia="en-US"/>
              </w:rPr>
            </w:pPr>
          </w:p>
        </w:tc>
      </w:tr>
    </w:tbl>
    <w:p w14:paraId="5DB6B73B">
      <w:pPr>
        <w:jc w:val="both"/>
        <w:rPr>
          <w:rFonts w:eastAsia="等线"/>
          <w:b/>
          <w:bCs/>
          <w:highlight w:val="yellow"/>
        </w:rPr>
      </w:pPr>
    </w:p>
    <w:p w14:paraId="03596A80">
      <w:pPr>
        <w:jc w:val="both"/>
        <w:rPr>
          <w:rFonts w:eastAsia="等线"/>
          <w:b/>
          <w:bCs/>
        </w:rPr>
      </w:pPr>
      <w:r>
        <w:rPr>
          <w:rFonts w:hint="eastAsia" w:eastAsia="等线"/>
          <w:b/>
          <w:bCs/>
          <w:highlight w:val="yellow"/>
        </w:rPr>
        <w:t xml:space="preserve">FL proposal #5: </w:t>
      </w:r>
    </w:p>
    <w:p w14:paraId="230BD607">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same UE capabilities are assumed in the </w:t>
      </w:r>
      <w:r>
        <w:rPr>
          <w:rFonts w:eastAsia="等线" w:cs="Times"/>
          <w:iCs/>
          <w:szCs w:val="20"/>
        </w:rPr>
        <w:t>evaluation</w:t>
      </w:r>
      <w:r>
        <w:rPr>
          <w:rFonts w:hint="eastAsia" w:eastAsia="等线" w:cs="Times"/>
          <w:iCs/>
          <w:szCs w:val="20"/>
        </w:rPr>
        <w:t xml:space="preserve"> for the two frequencies, FFS which one of the following options</w:t>
      </w:r>
    </w:p>
    <w:p w14:paraId="42279B7E">
      <w:pPr>
        <w:pStyle w:val="63"/>
        <w:numPr>
          <w:ilvl w:val="0"/>
          <w:numId w:val="41"/>
        </w:numPr>
        <w:autoSpaceDE w:val="0"/>
        <w:autoSpaceDN w:val="0"/>
        <w:spacing w:line="252" w:lineRule="auto"/>
        <w:contextualSpacing/>
        <w:jc w:val="both"/>
        <w:rPr>
          <w:rFonts w:eastAsia="等线" w:cs="Times"/>
          <w:iCs/>
          <w:szCs w:val="20"/>
        </w:rPr>
      </w:pPr>
      <w:r>
        <w:rPr>
          <w:rFonts w:hint="eastAsia" w:eastAsia="等线" w:cs="Times"/>
          <w:iCs/>
          <w:szCs w:val="20"/>
        </w:rPr>
        <w:t>Option 1: NR Rel-15 UE mandatory features</w:t>
      </w:r>
    </w:p>
    <w:p w14:paraId="45A079C4">
      <w:pPr>
        <w:pStyle w:val="63"/>
        <w:numPr>
          <w:ilvl w:val="0"/>
          <w:numId w:val="41"/>
        </w:numPr>
        <w:autoSpaceDE w:val="0"/>
        <w:autoSpaceDN w:val="0"/>
        <w:spacing w:line="252" w:lineRule="auto"/>
        <w:contextualSpacing/>
        <w:jc w:val="both"/>
        <w:rPr>
          <w:rFonts w:eastAsia="等线" w:cs="Times"/>
          <w:iCs/>
          <w:szCs w:val="20"/>
        </w:rPr>
      </w:pPr>
      <w:r>
        <w:rPr>
          <w:rFonts w:hint="eastAsia" w:eastAsia="等线" w:cs="Times"/>
          <w:iCs/>
          <w:szCs w:val="20"/>
        </w:rPr>
        <w:t>Option 2: UE supporting Rel-18 coverage enhancement features</w:t>
      </w:r>
    </w:p>
    <w:p w14:paraId="7C30E345">
      <w:pPr>
        <w:pStyle w:val="63"/>
        <w:numPr>
          <w:ilvl w:val="0"/>
          <w:numId w:val="41"/>
        </w:numPr>
        <w:autoSpaceDE w:val="0"/>
        <w:autoSpaceDN w:val="0"/>
        <w:spacing w:line="252" w:lineRule="auto"/>
        <w:contextualSpacing/>
        <w:jc w:val="both"/>
        <w:rPr>
          <w:rFonts w:eastAsia="等线" w:cs="Times"/>
          <w:iCs/>
          <w:szCs w:val="20"/>
        </w:rPr>
      </w:pPr>
      <w:r>
        <w:rPr>
          <w:rFonts w:hint="eastAsia" w:eastAsia="等线" w:cs="Times"/>
          <w:iCs/>
          <w:szCs w:val="20"/>
        </w:rPr>
        <w:t>Option 3: UE with commercialized features in the field</w:t>
      </w:r>
    </w:p>
    <w:p w14:paraId="5517243E">
      <w:pPr>
        <w:jc w:val="both"/>
        <w:rPr>
          <w:rFonts w:eastAsia="等线"/>
        </w:rPr>
      </w:pPr>
    </w:p>
    <w:p w14:paraId="7410D0A1">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79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420A8AC">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3F3B5D0">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37F1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1D8715D">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2781C1B9">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option-3, clarifications are need for which kinds of features are mentioned on top of option-1.</w:t>
            </w:r>
          </w:p>
        </w:tc>
      </w:tr>
      <w:tr w14:paraId="0964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DCC901">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M</w:t>
            </w:r>
            <w:r>
              <w:rPr>
                <w:rFonts w:ascii="Times New Roman" w:hAnsi="Times New Roman" w:eastAsia="PMingLiU" w:cs="Times New Roman"/>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59180427">
            <w:pPr>
              <w:widowControl w:val="0"/>
              <w:suppressAutoHyphens/>
              <w:spacing w:line="256" w:lineRule="auto"/>
              <w:jc w:val="both"/>
              <w:rPr>
                <w:rFonts w:ascii="Times New Roman" w:hAnsi="Times New Roman" w:eastAsia="PMingLiU" w:cs="Times New Roman"/>
                <w:kern w:val="2"/>
                <w:szCs w:val="22"/>
                <w:lang w:val="en-GB" w:eastAsia="zh-TW"/>
              </w:rPr>
            </w:pPr>
            <w:r>
              <w:rPr>
                <w:rFonts w:hint="eastAsia" w:ascii="Times New Roman" w:hAnsi="Times New Roman" w:eastAsia="PMingLiU" w:cs="Times New Roman"/>
                <w:kern w:val="2"/>
                <w:szCs w:val="22"/>
                <w:lang w:val="en-GB" w:eastAsia="zh-TW"/>
              </w:rPr>
              <w:t>S</w:t>
            </w:r>
            <w:r>
              <w:rPr>
                <w:rFonts w:ascii="Times New Roman" w:hAnsi="Times New Roman" w:eastAsia="PMingLiU" w:cs="Times New Roman"/>
                <w:kern w:val="2"/>
                <w:szCs w:val="22"/>
                <w:lang w:val="en-GB" w:eastAsia="zh-TW"/>
              </w:rPr>
              <w:t>upport</w:t>
            </w:r>
          </w:p>
        </w:tc>
      </w:tr>
      <w:tr w14:paraId="4ABC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37A3C3B">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636592C6">
            <w:pPr>
              <w:widowControl w:val="0"/>
              <w:suppressAutoHyphens/>
              <w:spacing w:line="256" w:lineRule="auto"/>
              <w:jc w:val="both"/>
              <w:rPr>
                <w:rFonts w:ascii="Times New Roman" w:hAnsi="Times New Roman" w:cs="Times New Roman"/>
                <w:sz w:val="20"/>
                <w:szCs w:val="20"/>
                <w:lang w:val="en-GB" w:eastAsia="en-US"/>
              </w:rPr>
            </w:pPr>
          </w:p>
        </w:tc>
      </w:tr>
    </w:tbl>
    <w:p w14:paraId="442B4D75">
      <w:pPr>
        <w:pStyle w:val="4"/>
        <w:spacing w:before="120" w:after="120"/>
        <w:rPr>
          <w:rFonts w:eastAsia="等线"/>
        </w:rPr>
      </w:pPr>
      <w:r>
        <w:rPr>
          <w:rFonts w:hint="eastAsia" w:eastAsia="等线"/>
        </w:rPr>
        <w:t>Second round discussion</w:t>
      </w:r>
    </w:p>
    <w:p w14:paraId="4C474829">
      <w:pPr>
        <w:jc w:val="both"/>
        <w:rPr>
          <w:rFonts w:eastAsia="等线"/>
        </w:rPr>
      </w:pPr>
    </w:p>
    <w:p w14:paraId="20D0A25A">
      <w:pPr>
        <w:spacing w:before="120"/>
        <w:rPr>
          <w:rFonts w:eastAsiaTheme="minorEastAsia"/>
          <w:lang w:val="en-GB"/>
        </w:rPr>
      </w:pPr>
    </w:p>
    <w:p w14:paraId="3C3ECDB5">
      <w:pPr>
        <w:pStyle w:val="2"/>
        <w:spacing w:before="120" w:after="120"/>
        <w:rPr>
          <w:rFonts w:eastAsiaTheme="minorEastAsia"/>
          <w:lang w:val="en-GB"/>
        </w:rPr>
      </w:pPr>
      <w:r>
        <w:rPr>
          <w:rFonts w:hint="eastAsia" w:eastAsiaTheme="minorEastAsia"/>
          <w:lang w:val="en-GB"/>
        </w:rPr>
        <w:t xml:space="preserve">Duplexing </w:t>
      </w:r>
    </w:p>
    <w:p w14:paraId="6E46CDBE">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6AD9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14:paraId="2D4FD933">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6B4C5802">
            <w:pPr>
              <w:widowControl w:val="0"/>
              <w:autoSpaceDE w:val="0"/>
              <w:autoSpaceDN w:val="0"/>
              <w:jc w:val="center"/>
            </w:pPr>
            <w:r>
              <w:rPr>
                <w:rFonts w:eastAsiaTheme="minorEastAsia"/>
                <w:b/>
                <w:bCs/>
                <w:lang w:eastAsia="ko-KR"/>
              </w:rPr>
              <w:t xml:space="preserve">Views/proposals </w:t>
            </w:r>
          </w:p>
        </w:tc>
      </w:tr>
      <w:tr w14:paraId="74E6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C7E0CE7">
            <w:pPr>
              <w:widowControl w:val="0"/>
              <w:autoSpaceDE w:val="0"/>
              <w:autoSpaceDN w:val="0"/>
              <w:spacing w:afterLines="50"/>
              <w:jc w:val="both"/>
              <w:rPr>
                <w:rFonts w:eastAsiaTheme="minorEastAsia"/>
                <w:iCs/>
                <w:sz w:val="20"/>
                <w:szCs w:val="20"/>
              </w:rPr>
            </w:pPr>
            <w:r>
              <w:rPr>
                <w:rFonts w:eastAsia="宋体"/>
                <w:sz w:val="20"/>
                <w:szCs w:val="20"/>
                <w:lang w:val="en-GB"/>
              </w:rPr>
              <w:t>CATT, CICTCI</w:t>
            </w:r>
          </w:p>
        </w:tc>
        <w:tc>
          <w:tcPr>
            <w:tcW w:w="3829" w:type="pct"/>
          </w:tcPr>
          <w:p w14:paraId="0BF7508F">
            <w:pPr>
              <w:widowControl w:val="0"/>
              <w:autoSpaceDE w:val="0"/>
              <w:autoSpaceDN w:val="0"/>
              <w:spacing w:afterLines="50"/>
              <w:jc w:val="both"/>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29DA3BC4">
            <w:pPr>
              <w:widowControl w:val="0"/>
              <w:autoSpaceDE w:val="0"/>
              <w:autoSpaceDN w:val="0"/>
              <w:spacing w:afterLines="50"/>
              <w:jc w:val="both"/>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3BEAE95E">
            <w:pPr>
              <w:pStyle w:val="63"/>
              <w:widowControl w:val="0"/>
              <w:numPr>
                <w:ilvl w:val="0"/>
                <w:numId w:val="55"/>
              </w:numPr>
              <w:autoSpaceDE w:val="0"/>
              <w:autoSpaceDN w:val="0"/>
              <w:spacing w:afterLines="50"/>
              <w:jc w:val="both"/>
              <w:rPr>
                <w:rFonts w:eastAsiaTheme="minorEastAsia"/>
                <w:bCs/>
                <w:sz w:val="20"/>
                <w:szCs w:val="20"/>
              </w:rPr>
            </w:pPr>
            <w:r>
              <w:rPr>
                <w:rFonts w:eastAsiaTheme="minorEastAsia"/>
                <w:bCs/>
                <w:sz w:val="20"/>
                <w:szCs w:val="20"/>
              </w:rPr>
              <w:t>Dynamic TDD is supported via dynamic scheduling over flexible symbols, not by SFI.</w:t>
            </w:r>
          </w:p>
          <w:p w14:paraId="3E0796B6">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42D9C9C">
            <w:pPr>
              <w:pStyle w:val="63"/>
              <w:widowControl w:val="0"/>
              <w:numPr>
                <w:ilvl w:val="0"/>
                <w:numId w:val="55"/>
              </w:numPr>
              <w:autoSpaceDE w:val="0"/>
              <w:autoSpaceDN w:val="0"/>
              <w:spacing w:afterLines="50"/>
              <w:jc w:val="both"/>
              <w:rPr>
                <w:rFonts w:eastAsiaTheme="minorEastAsia"/>
                <w:bCs/>
                <w:sz w:val="20"/>
                <w:szCs w:val="20"/>
              </w:rPr>
            </w:pPr>
            <w:r>
              <w:rPr>
                <w:rFonts w:eastAsiaTheme="minorEastAsia"/>
                <w:bCs/>
                <w:sz w:val="20"/>
                <w:szCs w:val="20"/>
              </w:rPr>
              <w:t>SBFD specific symbol type</w:t>
            </w:r>
          </w:p>
          <w:p w14:paraId="24DDD401">
            <w:pPr>
              <w:pStyle w:val="63"/>
              <w:widowControl w:val="0"/>
              <w:numPr>
                <w:ilvl w:val="0"/>
                <w:numId w:val="55"/>
              </w:numPr>
              <w:autoSpaceDE w:val="0"/>
              <w:autoSpaceDN w:val="0"/>
              <w:spacing w:afterLines="50"/>
              <w:jc w:val="both"/>
              <w:rPr>
                <w:rFonts w:eastAsiaTheme="minorEastAsia"/>
                <w:bCs/>
                <w:sz w:val="20"/>
                <w:szCs w:val="20"/>
              </w:rPr>
            </w:pPr>
            <w:r>
              <w:rPr>
                <w:rFonts w:eastAsiaTheme="minorEastAsia"/>
                <w:bCs/>
                <w:sz w:val="20"/>
                <w:szCs w:val="20"/>
              </w:rPr>
              <w:t>RO definition</w:t>
            </w:r>
          </w:p>
          <w:p w14:paraId="6D1B0134">
            <w:pPr>
              <w:pStyle w:val="63"/>
              <w:widowControl w:val="0"/>
              <w:numPr>
                <w:ilvl w:val="0"/>
                <w:numId w:val="55"/>
              </w:numPr>
              <w:autoSpaceDE w:val="0"/>
              <w:autoSpaceDN w:val="0"/>
              <w:spacing w:afterLines="50"/>
              <w:jc w:val="both"/>
              <w:rPr>
                <w:rFonts w:eastAsiaTheme="minorEastAsia"/>
                <w:bCs/>
                <w:sz w:val="20"/>
                <w:szCs w:val="20"/>
              </w:rPr>
            </w:pPr>
            <w:r>
              <w:rPr>
                <w:rFonts w:eastAsiaTheme="minorEastAsia"/>
                <w:bCs/>
                <w:sz w:val="20"/>
                <w:szCs w:val="20"/>
              </w:rPr>
              <w:t>PDCCH enhancement</w:t>
            </w:r>
          </w:p>
          <w:p w14:paraId="7AC1B914">
            <w:pPr>
              <w:pStyle w:val="63"/>
              <w:widowControl w:val="0"/>
              <w:numPr>
                <w:ilvl w:val="0"/>
                <w:numId w:val="55"/>
              </w:numPr>
              <w:autoSpaceDE w:val="0"/>
              <w:autoSpaceDN w:val="0"/>
              <w:spacing w:afterLines="50"/>
              <w:jc w:val="both"/>
              <w:rPr>
                <w:rFonts w:eastAsiaTheme="minorEastAsia"/>
                <w:b/>
                <w:sz w:val="20"/>
                <w:szCs w:val="20"/>
              </w:rPr>
            </w:pPr>
            <w:r>
              <w:rPr>
                <w:rFonts w:eastAsiaTheme="minorEastAsia"/>
                <w:bCs/>
                <w:sz w:val="20"/>
                <w:szCs w:val="20"/>
              </w:rPr>
              <w:t>Dynamic SBFD</w:t>
            </w:r>
          </w:p>
        </w:tc>
      </w:tr>
      <w:tr w14:paraId="02E9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F2CC945">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14:paraId="778ECD85">
            <w:pPr>
              <w:widowControl w:val="0"/>
              <w:autoSpaceDE w:val="0"/>
              <w:autoSpaceDN w:val="0"/>
              <w:spacing w:afterLines="50"/>
              <w:jc w:val="both"/>
              <w:rPr>
                <w:sz w:val="20"/>
                <w:szCs w:val="20"/>
              </w:rPr>
            </w:pPr>
            <w:r>
              <w:rPr>
                <w:sz w:val="20"/>
                <w:szCs w:val="20"/>
              </w:rPr>
              <w:t>Observation 4: Following observations are made regarding SBFD at BS side</w:t>
            </w:r>
          </w:p>
          <w:p w14:paraId="3C6F675F">
            <w:pPr>
              <w:pStyle w:val="63"/>
              <w:widowControl w:val="0"/>
              <w:numPr>
                <w:ilvl w:val="0"/>
                <w:numId w:val="56"/>
              </w:numPr>
              <w:autoSpaceDE w:val="0"/>
              <w:autoSpaceDN w:val="0"/>
              <w:spacing w:afterLines="50"/>
              <w:ind w:left="15" w:leftChars="7"/>
              <w:jc w:val="both"/>
              <w:rPr>
                <w:sz w:val="20"/>
                <w:szCs w:val="20"/>
              </w:rPr>
            </w:pPr>
            <w:r>
              <w:rPr>
                <w:sz w:val="20"/>
                <w:szCs w:val="20"/>
              </w:rPr>
              <w:t xml:space="preserve">SBFD at gNB side was introduced late in NR and was standardized with lot of restrictions </w:t>
            </w:r>
          </w:p>
          <w:p w14:paraId="18DD6B53">
            <w:pPr>
              <w:pStyle w:val="63"/>
              <w:widowControl w:val="0"/>
              <w:numPr>
                <w:ilvl w:val="1"/>
                <w:numId w:val="57"/>
              </w:numPr>
              <w:autoSpaceDE w:val="0"/>
              <w:autoSpaceDN w:val="0"/>
              <w:spacing w:afterLines="50"/>
              <w:ind w:left="737" w:leftChars="335"/>
              <w:jc w:val="both"/>
              <w:rPr>
                <w:sz w:val="20"/>
                <w:szCs w:val="20"/>
              </w:rPr>
            </w:pPr>
            <w:r>
              <w:rPr>
                <w:sz w:val="20"/>
                <w:szCs w:val="20"/>
              </w:rPr>
              <w:t>To minimize impacts to legacy deployments, specification and UEs</w:t>
            </w:r>
          </w:p>
          <w:p w14:paraId="016B1165">
            <w:pPr>
              <w:pStyle w:val="63"/>
              <w:widowControl w:val="0"/>
              <w:numPr>
                <w:ilvl w:val="1"/>
                <w:numId w:val="57"/>
              </w:numPr>
              <w:autoSpaceDE w:val="0"/>
              <w:autoSpaceDN w:val="0"/>
              <w:spacing w:afterLines="50"/>
              <w:ind w:left="737" w:leftChars="335"/>
              <w:jc w:val="both"/>
              <w:rPr>
                <w:sz w:val="20"/>
                <w:szCs w:val="20"/>
              </w:rPr>
            </w:pPr>
            <w:r>
              <w:rPr>
                <w:sz w:val="20"/>
                <w:szCs w:val="20"/>
              </w:rPr>
              <w:t>Design of UL Channels were not optimized for SBFD scenario</w:t>
            </w:r>
          </w:p>
          <w:p w14:paraId="0386F2B0">
            <w:pPr>
              <w:pStyle w:val="63"/>
              <w:widowControl w:val="0"/>
              <w:numPr>
                <w:ilvl w:val="0"/>
                <w:numId w:val="57"/>
              </w:numPr>
              <w:autoSpaceDE w:val="0"/>
              <w:autoSpaceDN w:val="0"/>
              <w:spacing w:afterLines="50"/>
              <w:ind w:left="15" w:leftChars="7"/>
              <w:jc w:val="both"/>
              <w:rPr>
                <w:sz w:val="20"/>
                <w:szCs w:val="20"/>
              </w:rPr>
            </w:pPr>
            <w:r>
              <w:rPr>
                <w:sz w:val="20"/>
                <w:szCs w:val="20"/>
              </w:rPr>
              <w:t xml:space="preserve">Advantages of SBFD at BS side was proven during the SI and WI phases in NR </w:t>
            </w:r>
          </w:p>
          <w:p w14:paraId="6B18F6BE">
            <w:pPr>
              <w:pStyle w:val="63"/>
              <w:widowControl w:val="0"/>
              <w:numPr>
                <w:ilvl w:val="0"/>
                <w:numId w:val="57"/>
              </w:numPr>
              <w:autoSpaceDE w:val="0"/>
              <w:autoSpaceDN w:val="0"/>
              <w:spacing w:afterLines="50"/>
              <w:ind w:left="15" w:leftChars="7"/>
              <w:jc w:val="both"/>
              <w:rPr>
                <w:sz w:val="20"/>
                <w:szCs w:val="20"/>
              </w:rPr>
            </w:pPr>
            <w:r>
              <w:rPr>
                <w:sz w:val="20"/>
                <w:szCs w:val="20"/>
              </w:rPr>
              <w:t>Implementation of SBFD at BS side is ongoing</w:t>
            </w:r>
          </w:p>
          <w:p w14:paraId="36616D07">
            <w:pPr>
              <w:widowControl w:val="0"/>
              <w:autoSpaceDE w:val="0"/>
              <w:autoSpaceDN w:val="0"/>
              <w:spacing w:afterLines="50"/>
              <w:jc w:val="both"/>
              <w:rPr>
                <w:sz w:val="20"/>
                <w:szCs w:val="20"/>
              </w:rPr>
            </w:pPr>
            <w:r>
              <w:rPr>
                <w:sz w:val="20"/>
                <w:szCs w:val="20"/>
              </w:rPr>
              <w:t xml:space="preserve">Observation 5: Waiting for the SBFD deployments to complete and delaying the feature for later releases of 6GR leads to </w:t>
            </w:r>
          </w:p>
          <w:p w14:paraId="52A08839">
            <w:pPr>
              <w:pStyle w:val="63"/>
              <w:widowControl w:val="0"/>
              <w:numPr>
                <w:ilvl w:val="0"/>
                <w:numId w:val="58"/>
              </w:numPr>
              <w:autoSpaceDE w:val="0"/>
              <w:autoSpaceDN w:val="0"/>
              <w:spacing w:afterLines="50"/>
              <w:jc w:val="both"/>
              <w:rPr>
                <w:sz w:val="20"/>
                <w:szCs w:val="20"/>
              </w:rPr>
            </w:pPr>
            <w:r>
              <w:rPr>
                <w:sz w:val="20"/>
                <w:szCs w:val="20"/>
              </w:rPr>
              <w:t>Restrictions as in 5G-NR</w:t>
            </w:r>
          </w:p>
          <w:p w14:paraId="7396D503">
            <w:pPr>
              <w:pStyle w:val="63"/>
              <w:widowControl w:val="0"/>
              <w:numPr>
                <w:ilvl w:val="0"/>
                <w:numId w:val="58"/>
              </w:numPr>
              <w:autoSpaceDE w:val="0"/>
              <w:autoSpaceDN w:val="0"/>
              <w:spacing w:afterLines="50"/>
              <w:jc w:val="both"/>
              <w:rPr>
                <w:sz w:val="20"/>
                <w:szCs w:val="20"/>
              </w:rPr>
            </w:pPr>
            <w:r>
              <w:rPr>
                <w:sz w:val="20"/>
                <w:szCs w:val="20"/>
              </w:rPr>
              <w:t xml:space="preserve">Non-optimal design/solution </w:t>
            </w:r>
          </w:p>
          <w:p w14:paraId="7C76B9EA">
            <w:pPr>
              <w:pStyle w:val="63"/>
              <w:widowControl w:val="0"/>
              <w:numPr>
                <w:ilvl w:val="0"/>
                <w:numId w:val="58"/>
              </w:numPr>
              <w:autoSpaceDE w:val="0"/>
              <w:autoSpaceDN w:val="0"/>
              <w:spacing w:afterLines="50"/>
              <w:jc w:val="both"/>
              <w:rPr>
                <w:sz w:val="20"/>
                <w:szCs w:val="20"/>
              </w:rPr>
            </w:pPr>
            <w:r>
              <w:rPr>
                <w:sz w:val="20"/>
                <w:szCs w:val="20"/>
              </w:rPr>
              <w:t>Performance loss and implementation complexity</w:t>
            </w:r>
          </w:p>
          <w:p w14:paraId="71C74083">
            <w:pPr>
              <w:widowControl w:val="0"/>
              <w:autoSpaceDE w:val="0"/>
              <w:autoSpaceDN w:val="0"/>
              <w:spacing w:afterLines="50"/>
              <w:jc w:val="both"/>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pPr>
              <w:widowControl w:val="0"/>
              <w:autoSpaceDE w:val="0"/>
              <w:autoSpaceDN w:val="0"/>
              <w:spacing w:afterLines="50"/>
              <w:jc w:val="both"/>
              <w:rPr>
                <w:rFonts w:eastAsiaTheme="minorEastAsia"/>
                <w:sz w:val="20"/>
                <w:szCs w:val="20"/>
              </w:rPr>
            </w:pPr>
            <w:r>
              <w:rPr>
                <w:sz w:val="20"/>
                <w:szCs w:val="20"/>
              </w:rPr>
              <w:t>Proposal 4: Study at least semi-static SBFD at BS side as day 1 feature in 6GR</w:t>
            </w:r>
          </w:p>
        </w:tc>
      </w:tr>
      <w:tr w14:paraId="24F1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74BFAF4">
            <w:pPr>
              <w:widowControl w:val="0"/>
              <w:autoSpaceDE w:val="0"/>
              <w:autoSpaceDN w:val="0"/>
              <w:spacing w:afterLines="50"/>
              <w:jc w:val="both"/>
              <w:rPr>
                <w:iCs/>
                <w:sz w:val="20"/>
                <w:szCs w:val="20"/>
              </w:rPr>
            </w:pPr>
            <w:r>
              <w:rPr>
                <w:iCs/>
                <w:sz w:val="20"/>
                <w:szCs w:val="20"/>
              </w:rPr>
              <w:t>China Telecom</w:t>
            </w:r>
          </w:p>
        </w:tc>
        <w:tc>
          <w:tcPr>
            <w:tcW w:w="3829" w:type="pct"/>
          </w:tcPr>
          <w:p w14:paraId="432CA7F0">
            <w:pPr>
              <w:widowControl w:val="0"/>
              <w:autoSpaceDE w:val="0"/>
              <w:autoSpaceDN w:val="0"/>
              <w:spacing w:afterLines="50"/>
              <w:jc w:val="both"/>
              <w:rPr>
                <w:i/>
                <w:iCs/>
                <w:sz w:val="20"/>
                <w:szCs w:val="20"/>
              </w:rPr>
            </w:pPr>
            <w:r>
              <w:rPr>
                <w:i/>
                <w:iCs/>
                <w:sz w:val="20"/>
                <w:szCs w:val="20"/>
              </w:rPr>
              <w:t>Proposal 9: FDD, Semi-static TDD, HD-FDD on the UE side, BS-side semi-static SBFD, and dynamic TDD should be supported in 6G Day-1.</w:t>
            </w:r>
          </w:p>
          <w:p w14:paraId="24B7FF8F">
            <w:pPr>
              <w:widowControl w:val="0"/>
              <w:numPr>
                <w:ilvl w:val="0"/>
                <w:numId w:val="59"/>
              </w:numPr>
              <w:autoSpaceDE/>
              <w:autoSpaceDN/>
              <w:spacing w:afterLines="50"/>
              <w:ind w:left="726" w:hanging="363"/>
              <w:jc w:val="both"/>
              <w:rPr>
                <w:i/>
                <w:iCs/>
                <w:sz w:val="20"/>
                <w:szCs w:val="20"/>
              </w:rPr>
            </w:pPr>
            <w:r>
              <w:rPr>
                <w:i/>
                <w:iCs/>
                <w:sz w:val="20"/>
                <w:szCs w:val="20"/>
              </w:rPr>
              <w:t>Consider other implementation approaches for dynamic TDD, rather than Dynamic Indication (DCI-based).</w:t>
            </w:r>
          </w:p>
          <w:p w14:paraId="08E71A8A">
            <w:pPr>
              <w:widowControl w:val="0"/>
              <w:numPr>
                <w:ilvl w:val="0"/>
                <w:numId w:val="59"/>
              </w:numPr>
              <w:autoSpaceDE/>
              <w:autoSpaceDN/>
              <w:spacing w:afterLines="50"/>
              <w:ind w:left="726" w:hanging="363"/>
              <w:jc w:val="both"/>
              <w:rPr>
                <w:i/>
                <w:iCs/>
                <w:sz w:val="20"/>
                <w:szCs w:val="20"/>
              </w:rPr>
            </w:pPr>
            <w:r>
              <w:rPr>
                <w:i/>
                <w:iCs/>
                <w:sz w:val="20"/>
                <w:szCs w:val="20"/>
              </w:rPr>
              <w:t>FFS for gNB dynamic SBFD.</w:t>
            </w:r>
          </w:p>
        </w:tc>
      </w:tr>
      <w:tr w14:paraId="7339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CFC6E47">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66544363">
            <w:pPr>
              <w:widowControl w:val="0"/>
              <w:autoSpaceDE w:val="0"/>
              <w:autoSpaceDN w:val="0"/>
              <w:spacing w:afterLines="50"/>
              <w:jc w:val="both"/>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9AA145E">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DC271A">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4D4D8D3">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348F0253">
            <w:pPr>
              <w:widowControl w:val="0"/>
              <w:autoSpaceDE w:val="0"/>
              <w:autoSpaceDN w:val="0"/>
              <w:spacing w:afterLines="50"/>
              <w:jc w:val="both"/>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6D5904AA">
            <w:pPr>
              <w:pStyle w:val="63"/>
              <w:widowControl w:val="0"/>
              <w:numPr>
                <w:ilvl w:val="0"/>
                <w:numId w:val="60"/>
              </w:numPr>
              <w:autoSpaceDE w:val="0"/>
              <w:autoSpaceDN w:val="0"/>
              <w:spacing w:afterLines="50"/>
              <w:jc w:val="both"/>
              <w:rPr>
                <w:rFonts w:eastAsiaTheme="minorEastAsia"/>
                <w:bCs/>
                <w:color w:val="000000"/>
                <w:sz w:val="20"/>
                <w:szCs w:val="20"/>
              </w:rPr>
            </w:pPr>
            <w:r>
              <w:rPr>
                <w:bCs/>
                <w:sz w:val="20"/>
                <w:szCs w:val="20"/>
              </w:rPr>
              <w:t>Avoid coexistence of flexible symbols and SBFD symbols within the same TDD pattern period.</w:t>
            </w:r>
          </w:p>
          <w:p w14:paraId="0B14D7C9">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B1F84DE">
            <w:pPr>
              <w:widowControl w:val="0"/>
              <w:autoSpaceDE w:val="0"/>
              <w:autoSpaceDN w:val="0"/>
              <w:spacing w:afterLines="50"/>
              <w:jc w:val="both"/>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14:paraId="70FD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45C042D">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5EDB4F6E">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"_Toc220701038" </w:instrText>
            </w:r>
            <w:r>
              <w:fldChar w:fldCharType="separate"/>
            </w:r>
            <w:r>
              <w:rPr>
                <w:rStyle w:val="43"/>
                <w:rFonts w:ascii="Times New Roman" w:hAnsi="Times New Roman" w:cs="Times New Roman"/>
                <w:b w:val="0"/>
                <w:bCs/>
                <w:color w:val="auto"/>
                <w:szCs w:val="20"/>
                <w:u w:val="none"/>
                <w:lang w:val="en-GB"/>
              </w:rPr>
              <w:t>Proposal 11</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r>
              <w:rPr>
                <w:rStyle w:val="43"/>
                <w:rFonts w:ascii="Times New Roman" w:hAnsi="Times New Roman" w:cs="Times New Roman"/>
                <w:b w:val="0"/>
                <w:bCs/>
                <w:color w:val="auto"/>
                <w:szCs w:val="20"/>
                <w:u w:val="none"/>
                <w:lang w:val="en-GB"/>
              </w:rPr>
              <w:fldChar w:fldCharType="end"/>
            </w:r>
          </w:p>
          <w:p w14:paraId="1E832A72">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"_Toc220701039" </w:instrText>
            </w:r>
            <w:r>
              <w:fldChar w:fldCharType="separate"/>
            </w:r>
            <w:r>
              <w:rPr>
                <w:rStyle w:val="43"/>
                <w:rFonts w:ascii="Times New Roman" w:hAnsi="Times New Roman" w:cs="Times New Roman"/>
                <w:b w:val="0"/>
                <w:bCs/>
                <w:color w:val="auto"/>
                <w:szCs w:val="20"/>
                <w:u w:val="none"/>
                <w:lang w:val="en-GB"/>
              </w:rPr>
              <w:t>Proposal 12</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gNB dynamic SBFD and gNB FD for communications use-cases in the 6GR duplexing study.</w:t>
            </w:r>
            <w:r>
              <w:rPr>
                <w:rStyle w:val="43"/>
                <w:rFonts w:ascii="Times New Roman" w:hAnsi="Times New Roman" w:cs="Times New Roman"/>
                <w:b w:val="0"/>
                <w:bCs/>
                <w:color w:val="auto"/>
                <w:szCs w:val="20"/>
                <w:u w:val="none"/>
                <w:lang w:val="en-GB"/>
              </w:rPr>
              <w:fldChar w:fldCharType="end"/>
            </w:r>
          </w:p>
          <w:p w14:paraId="29001814">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"_Toc220701040" </w:instrText>
            </w:r>
            <w:r>
              <w:fldChar w:fldCharType="separate"/>
            </w:r>
            <w:r>
              <w:rPr>
                <w:rStyle w:val="43"/>
                <w:rFonts w:ascii="Times New Roman" w:hAnsi="Times New Roman" w:cs="Times New Roman"/>
                <w:b w:val="0"/>
                <w:bCs/>
                <w:color w:val="auto"/>
                <w:szCs w:val="20"/>
                <w:u w:val="none"/>
                <w:lang w:val="en-GB" w:eastAsia="ja-JP"/>
              </w:rPr>
              <w:t>Proposal 13</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UE SBFD for 6G duplexing schemes.</w:t>
            </w:r>
            <w:r>
              <w:rPr>
                <w:rStyle w:val="43"/>
                <w:rFonts w:ascii="Times New Roman" w:hAnsi="Times New Roman" w:cs="Times New Roman"/>
                <w:b w:val="0"/>
                <w:bCs/>
                <w:color w:val="auto"/>
                <w:szCs w:val="20"/>
                <w:u w:val="none"/>
                <w:lang w:val="en-GB"/>
              </w:rPr>
              <w:fldChar w:fldCharType="end"/>
            </w:r>
          </w:p>
          <w:p w14:paraId="03A887BE">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"_Toc220701041" </w:instrText>
            </w:r>
            <w:r>
              <w:fldChar w:fldCharType="separate"/>
            </w:r>
            <w:r>
              <w:rPr>
                <w:rStyle w:val="43"/>
                <w:rFonts w:ascii="Times New Roman" w:hAnsi="Times New Roman" w:cs="Times New Roman"/>
                <w:b w:val="0"/>
                <w:bCs/>
                <w:color w:val="auto"/>
                <w:szCs w:val="20"/>
                <w:u w:val="none"/>
                <w:lang w:val="en-GB" w:eastAsia="ja-JP"/>
              </w:rPr>
              <w:t>Proposal 14</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Any n</w:t>
            </w:r>
            <w:r>
              <w:rPr>
                <w:rStyle w:val="43"/>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r>
              <w:rPr>
                <w:rStyle w:val="43"/>
                <w:rFonts w:ascii="Times New Roman" w:hAnsi="Times New Roman" w:cs="Times New Roman"/>
                <w:b w:val="0"/>
                <w:bCs/>
                <w:color w:val="auto"/>
                <w:szCs w:val="20"/>
                <w:u w:val="none"/>
                <w:lang w:val="en-GB" w:eastAsia="ja-JP"/>
              </w:rPr>
              <w:fldChar w:fldCharType="end"/>
            </w:r>
          </w:p>
          <w:p w14:paraId="19190C6A">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b w:val="0"/>
                <w:i/>
                <w:szCs w:val="20"/>
                <w:u w:val="single"/>
              </w:rPr>
            </w:pPr>
            <w:r>
              <w:fldChar w:fldCharType="begin"/>
            </w:r>
            <w:r>
              <w:instrText xml:space="preserve"> HYPERLINK \l "_Toc220701042" </w:instrText>
            </w:r>
            <w:r>
              <w:fldChar w:fldCharType="separate"/>
            </w:r>
            <w:r>
              <w:rPr>
                <w:rStyle w:val="43"/>
                <w:rFonts w:ascii="Times New Roman" w:hAnsi="Times New Roman" w:cs="Times New Roman"/>
                <w:b w:val="0"/>
                <w:bCs/>
                <w:color w:val="auto"/>
                <w:szCs w:val="20"/>
                <w:u w:val="none"/>
                <w:lang w:val="en-GB"/>
              </w:rPr>
              <w:t>Proposal 15</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clarify the UE behaviours with respect to SBFD related configuration, if BS-SBFD is defined in the first 6G release.</w:t>
            </w:r>
            <w:r>
              <w:rPr>
                <w:rStyle w:val="43"/>
                <w:rFonts w:ascii="Times New Roman" w:hAnsi="Times New Roman" w:cs="Times New Roman"/>
                <w:b w:val="0"/>
                <w:bCs/>
                <w:color w:val="auto"/>
                <w:szCs w:val="20"/>
                <w:u w:val="none"/>
                <w:lang w:val="en-GB"/>
              </w:rPr>
              <w:fldChar w:fldCharType="end"/>
            </w:r>
          </w:p>
        </w:tc>
      </w:tr>
      <w:tr w14:paraId="00F2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7BB27A8">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3B7F843B">
            <w:pPr>
              <w:widowControl w:val="0"/>
              <w:autoSpaceDE w:val="0"/>
              <w:autoSpaceDN w:val="0"/>
              <w:spacing w:afterLines="50"/>
              <w:jc w:val="both"/>
              <w:rPr>
                <w:bCs/>
                <w:sz w:val="20"/>
                <w:szCs w:val="20"/>
                <w:lang w:eastAsia="ko-KR"/>
              </w:rPr>
            </w:pPr>
            <w:r>
              <w:rPr>
                <w:bCs/>
                <w:sz w:val="20"/>
                <w:szCs w:val="20"/>
                <w:lang w:eastAsia="ko-KR"/>
              </w:rPr>
              <w:t>Proposal 1: For duplexing, in addition to the duplex types already agreed to be studied, the following should also be considered:</w:t>
            </w:r>
          </w:p>
          <w:p w14:paraId="26009AB6">
            <w:pPr>
              <w:widowControl w:val="0"/>
              <w:numPr>
                <w:ilvl w:val="0"/>
                <w:numId w:val="36"/>
              </w:numPr>
              <w:autoSpaceDE w:val="0"/>
              <w:autoSpaceDN w:val="0"/>
              <w:spacing w:afterLines="50"/>
              <w:jc w:val="both"/>
              <w:rPr>
                <w:bCs/>
                <w:sz w:val="20"/>
                <w:szCs w:val="20"/>
                <w:lang w:eastAsia="ko-KR"/>
              </w:rPr>
            </w:pPr>
            <w:r>
              <w:rPr>
                <w:bCs/>
                <w:sz w:val="20"/>
                <w:szCs w:val="20"/>
                <w:lang w:eastAsia="ko-KR"/>
              </w:rPr>
              <w:t>Study the feasibility of SBFD from the UE perspective and dynamic transition mechanisms between SBFD and non-SBFD operation</w:t>
            </w:r>
          </w:p>
          <w:p w14:paraId="003BF257">
            <w:pPr>
              <w:widowControl w:val="0"/>
              <w:numPr>
                <w:ilvl w:val="0"/>
                <w:numId w:val="36"/>
              </w:numPr>
              <w:autoSpaceDE w:val="0"/>
              <w:autoSpaceDN w:val="0"/>
              <w:spacing w:afterLines="50"/>
              <w:jc w:val="both"/>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01ED200B">
            <w:pPr>
              <w:widowControl w:val="0"/>
              <w:numPr>
                <w:ilvl w:val="0"/>
                <w:numId w:val="36"/>
              </w:numPr>
              <w:autoSpaceDE w:val="0"/>
              <w:autoSpaceDN w:val="0"/>
              <w:spacing w:afterLines="50"/>
              <w:jc w:val="both"/>
              <w:rPr>
                <w:b/>
                <w:bCs/>
                <w:sz w:val="20"/>
                <w:szCs w:val="20"/>
                <w:lang w:eastAsia="ko-KR"/>
              </w:rPr>
            </w:pPr>
            <w:r>
              <w:rPr>
                <w:bCs/>
                <w:sz w:val="20"/>
                <w:szCs w:val="20"/>
                <w:lang w:eastAsia="ko-KR"/>
              </w:rPr>
              <w:t>A unified framework for carrier aggregation that supports operation regardless of duplex type</w:t>
            </w:r>
          </w:p>
        </w:tc>
      </w:tr>
      <w:tr w14:paraId="199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090F6D6">
            <w:pPr>
              <w:widowControl w:val="0"/>
              <w:autoSpaceDE w:val="0"/>
              <w:autoSpaceDN w:val="0"/>
              <w:spacing w:afterLines="50"/>
              <w:jc w:val="both"/>
              <w:rPr>
                <w:rFonts w:eastAsiaTheme="minorEastAsia"/>
                <w:iCs/>
                <w:sz w:val="20"/>
                <w:szCs w:val="20"/>
              </w:rPr>
            </w:pPr>
            <w:r>
              <w:rPr>
                <w:rFonts w:eastAsiaTheme="minorEastAsia"/>
                <w:iCs/>
                <w:sz w:val="20"/>
                <w:szCs w:val="20"/>
              </w:rPr>
              <w:t xml:space="preserve">Fraunhofer HHI, </w:t>
            </w:r>
          </w:p>
        </w:tc>
        <w:tc>
          <w:tcPr>
            <w:tcW w:w="3829" w:type="pct"/>
          </w:tcPr>
          <w:p w14:paraId="4589702E">
            <w:pPr>
              <w:pStyle w:val="125"/>
              <w:widowControl w:val="0"/>
              <w:autoSpaceDE w:val="0"/>
              <w:autoSpaceDN w:val="0"/>
              <w:adjustRightInd w:val="0"/>
              <w:snapToGrid w:val="0"/>
              <w:spacing w:afterLines="50"/>
              <w:rPr>
                <w:sz w:val="20"/>
              </w:rPr>
            </w:pPr>
            <w:r>
              <w:rPr>
                <w:sz w:val="20"/>
              </w:rPr>
              <w:t>Proposal 13: Support SBFD at the BS as a Day 1 feature.</w:t>
            </w:r>
          </w:p>
          <w:p w14:paraId="045A5C78">
            <w:pPr>
              <w:pStyle w:val="125"/>
              <w:widowControl w:val="0"/>
              <w:autoSpaceDE w:val="0"/>
              <w:autoSpaceDN w:val="0"/>
              <w:adjustRightInd w:val="0"/>
              <w:snapToGrid w:val="0"/>
              <w:spacing w:afterLines="50"/>
              <w:rPr>
                <w:rFonts w:eastAsiaTheme="minorEastAsia"/>
                <w:b/>
                <w:bCs/>
                <w:sz w:val="20"/>
                <w:lang w:eastAsia="zh-CN"/>
              </w:rPr>
            </w:pPr>
            <w:r>
              <w:rPr>
                <w:color w:val="000000" w:themeColor="text1"/>
                <w:sz w:val="20"/>
                <w14:textFill>
                  <w14:solidFill>
                    <w14:schemeClr w14:val="tx1"/>
                  </w14:solidFill>
                </w14:textFill>
              </w:rPr>
              <w:t xml:space="preserve">Proposal 14: </w:t>
            </w:r>
            <w:r>
              <w:rPr>
                <w:sz w:val="20"/>
              </w:rPr>
              <w:t>Study SBFD and CA: (a) SBFD in one carrier in a group of CA cells, and (b) SBFD achieved with intra-band CA.</w:t>
            </w:r>
          </w:p>
        </w:tc>
      </w:tr>
      <w:tr w14:paraId="1512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05647DB">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14:paraId="76FEA9E3">
            <w:pPr>
              <w:widowControl w:val="0"/>
              <w:autoSpaceDE w:val="0"/>
              <w:autoSpaceDN w:val="0"/>
              <w:spacing w:afterLines="50"/>
              <w:jc w:val="both"/>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22C85A02">
            <w:pPr>
              <w:pStyle w:val="63"/>
              <w:widowControl/>
              <w:numPr>
                <w:ilvl w:val="0"/>
                <w:numId w:val="61"/>
              </w:numPr>
              <w:autoSpaceDE w:val="0"/>
              <w:autoSpaceDN w:val="0"/>
              <w:spacing w:afterLines="50"/>
              <w:jc w:val="both"/>
              <w:rPr>
                <w:sz w:val="20"/>
                <w:szCs w:val="20"/>
              </w:rPr>
            </w:pPr>
            <w:r>
              <w:rPr>
                <w:sz w:val="20"/>
                <w:szCs w:val="20"/>
              </w:rPr>
              <w:t>FD-FDD</w:t>
            </w:r>
          </w:p>
          <w:p w14:paraId="7B31D1F8">
            <w:pPr>
              <w:pStyle w:val="63"/>
              <w:widowControl/>
              <w:numPr>
                <w:ilvl w:val="0"/>
                <w:numId w:val="61"/>
              </w:numPr>
              <w:autoSpaceDE w:val="0"/>
              <w:autoSpaceDN w:val="0"/>
              <w:spacing w:afterLines="50"/>
              <w:jc w:val="both"/>
              <w:rPr>
                <w:sz w:val="20"/>
                <w:szCs w:val="20"/>
              </w:rPr>
            </w:pPr>
            <w:r>
              <w:rPr>
                <w:sz w:val="20"/>
                <w:szCs w:val="20"/>
              </w:rPr>
              <w:t>Semi-static TDD</w:t>
            </w:r>
          </w:p>
          <w:p w14:paraId="41510FBB">
            <w:pPr>
              <w:pStyle w:val="63"/>
              <w:widowControl/>
              <w:numPr>
                <w:ilvl w:val="0"/>
                <w:numId w:val="61"/>
              </w:numPr>
              <w:autoSpaceDE w:val="0"/>
              <w:autoSpaceDN w:val="0"/>
              <w:spacing w:afterLines="50"/>
              <w:jc w:val="both"/>
              <w:rPr>
                <w:sz w:val="20"/>
                <w:szCs w:val="20"/>
              </w:rPr>
            </w:pPr>
            <w:r>
              <w:rPr>
                <w:sz w:val="20"/>
                <w:szCs w:val="20"/>
              </w:rPr>
              <w:t>gNB semi-static SBFD</w:t>
            </w:r>
          </w:p>
          <w:p w14:paraId="5DD53D7E">
            <w:pPr>
              <w:pStyle w:val="63"/>
              <w:widowControl/>
              <w:numPr>
                <w:ilvl w:val="0"/>
                <w:numId w:val="61"/>
              </w:numPr>
              <w:autoSpaceDE w:val="0"/>
              <w:autoSpaceDN w:val="0"/>
              <w:spacing w:afterLines="50"/>
              <w:jc w:val="both"/>
              <w:rPr>
                <w:sz w:val="20"/>
                <w:szCs w:val="20"/>
              </w:rPr>
            </w:pPr>
            <w:r>
              <w:rPr>
                <w:sz w:val="20"/>
                <w:szCs w:val="20"/>
              </w:rPr>
              <w:t>HD-FDD on UE side</w:t>
            </w:r>
          </w:p>
          <w:p w14:paraId="690F8FF2">
            <w:pPr>
              <w:pStyle w:val="63"/>
              <w:widowControl/>
              <w:numPr>
                <w:ilvl w:val="0"/>
                <w:numId w:val="61"/>
              </w:numPr>
              <w:autoSpaceDE w:val="0"/>
              <w:autoSpaceDN w:val="0"/>
              <w:spacing w:afterLines="50"/>
              <w:jc w:val="both"/>
              <w:rPr>
                <w:b/>
                <w:bCs/>
                <w:sz w:val="20"/>
                <w:szCs w:val="20"/>
              </w:rPr>
            </w:pPr>
            <w:r>
              <w:rPr>
                <w:sz w:val="20"/>
                <w:szCs w:val="20"/>
              </w:rPr>
              <w:t>Dynamic TDD without dynamic SFI</w:t>
            </w:r>
          </w:p>
        </w:tc>
      </w:tr>
      <w:tr w14:paraId="6DD7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F376AA7">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14:paraId="063DBEB6">
            <w:pPr>
              <w:widowControl w:val="0"/>
              <w:autoSpaceDE w:val="0"/>
              <w:autoSpaceDN w:val="0"/>
              <w:spacing w:afterLines="50"/>
              <w:jc w:val="both"/>
              <w:rPr>
                <w:sz w:val="20"/>
                <w:szCs w:val="20"/>
              </w:rPr>
            </w:pPr>
            <w:r>
              <w:rPr>
                <w:sz w:val="20"/>
                <w:szCs w:val="20"/>
              </w:rPr>
              <w:t>Proposal 14: 6GR should support from day one TDD and FDD duplex modes and consider supporting from day one SBFD and HD-FDD.</w:t>
            </w:r>
          </w:p>
          <w:p w14:paraId="3C03837A">
            <w:pPr>
              <w:widowControl w:val="0"/>
              <w:autoSpaceDE w:val="0"/>
              <w:autoSpaceDN w:val="0"/>
              <w:spacing w:afterLines="50"/>
              <w:jc w:val="both"/>
              <w:rPr>
                <w:rFonts w:eastAsiaTheme="minorEastAsia"/>
                <w:sz w:val="20"/>
                <w:szCs w:val="20"/>
              </w:rPr>
            </w:pPr>
            <w:r>
              <w:rPr>
                <w:sz w:val="20"/>
                <w:szCs w:val="20"/>
              </w:rPr>
              <w:t xml:space="preserve">Proposal 15: Further investigate the impact of duplex solutions such as SBFD and SSFD at UE on the frame structure design. </w:t>
            </w:r>
          </w:p>
        </w:tc>
      </w:tr>
      <w:tr w14:paraId="775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699A495">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14:paraId="73844C8A">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12:</w:t>
            </w:r>
            <w:r>
              <w:rPr>
                <w:rFonts w:eastAsiaTheme="minorEastAsia"/>
                <w:i/>
                <w:iCs/>
                <w:color w:val="000000" w:themeColor="text1"/>
                <w:sz w:val="20"/>
                <w:szCs w:val="20"/>
                <w14:textFill>
                  <w14:solidFill>
                    <w14:schemeClr w14:val="tx1"/>
                  </w14:solidFill>
                </w14:textFill>
              </w:rPr>
              <w:t xml:space="preserve"> Support native BS-side semi-static SBFD in 6GR, including the study of additional symbol/resource types (beyond DL/UL) to facilitate SBFD operation.</w:t>
            </w:r>
          </w:p>
          <w:p w14:paraId="35794325">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13:</w:t>
            </w:r>
            <w:r>
              <w:rPr>
                <w:rFonts w:eastAsiaTheme="minorEastAsia"/>
                <w:i/>
                <w:iCs/>
                <w:color w:val="000000" w:themeColor="text1"/>
                <w:sz w:val="20"/>
                <w:szCs w:val="20"/>
                <w14:textFill>
                  <w14:solidFill>
                    <w14:schemeClr w14:val="tx1"/>
                  </w14:solidFill>
                </w14:textFill>
              </w:rPr>
              <w:t xml:space="preserve"> Support SBFD operation independent of TDD patterns, enabling the utilization of UL/DL sub-band resources without the need for a configured TDD pattern.</w:t>
            </w:r>
          </w:p>
          <w:p w14:paraId="5F4BBB26">
            <w:pPr>
              <w:widowControl w:val="0"/>
              <w:autoSpaceDE w:val="0"/>
              <w:autoSpaceDN w:val="0"/>
              <w:spacing w:afterLines="50"/>
              <w:jc w:val="both"/>
              <w:rPr>
                <w:rFonts w:eastAsiaTheme="minorEastAsia"/>
                <w:b/>
                <w:bCs/>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14:</w:t>
            </w:r>
            <w:r>
              <w:rPr>
                <w:rFonts w:eastAsiaTheme="minorEastAsia"/>
                <w:i/>
                <w:iCs/>
                <w:color w:val="000000" w:themeColor="text1"/>
                <w:sz w:val="20"/>
                <w:szCs w:val="20"/>
                <w14:textFill>
                  <w14:solidFill>
                    <w14:schemeClr w14:val="tx1"/>
                  </w14:solidFill>
                </w14:textFill>
              </w:rPr>
              <w:t xml:space="preserve"> 6GR shall study dynamic SBFD enhancements, including the dynamic adjustment of sub-band sizes/positions and the dynamic indication of sub-band transmission directions via DCI</w:t>
            </w:r>
          </w:p>
        </w:tc>
      </w:tr>
      <w:tr w14:paraId="7494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52FEEB4">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14:paraId="6D57C66D">
            <w:pPr>
              <w:widowControl w:val="0"/>
              <w:autoSpaceDE w:val="0"/>
              <w:autoSpaceDN w:val="0"/>
              <w:spacing w:afterLines="50"/>
              <w:jc w:val="both"/>
              <w:rPr>
                <w:bCs/>
                <w:i/>
                <w:sz w:val="20"/>
                <w:szCs w:val="20"/>
              </w:rPr>
            </w:pPr>
            <w:r>
              <w:rPr>
                <w:bCs/>
                <w:i/>
                <w:sz w:val="20"/>
                <w:szCs w:val="20"/>
              </w:rPr>
              <w:t>Proposal 3: Design integrated frame structure and slot configuration signaling for FDD, TDD and SBFD.</w:t>
            </w:r>
          </w:p>
          <w:p w14:paraId="6AE52A48">
            <w:pPr>
              <w:widowControl w:val="0"/>
              <w:autoSpaceDE w:val="0"/>
              <w:autoSpaceDN w:val="0"/>
              <w:spacing w:afterLines="50"/>
              <w:jc w:val="both"/>
              <w:rPr>
                <w:rFonts w:eastAsiaTheme="minorEastAsia"/>
                <w:b/>
                <w:i/>
                <w:sz w:val="20"/>
                <w:szCs w:val="20"/>
              </w:rPr>
            </w:pPr>
            <w:r>
              <w:rPr>
                <w:bCs/>
                <w:i/>
                <w:sz w:val="20"/>
                <w:szCs w:val="20"/>
              </w:rPr>
              <w:t>Proposal 4: Support gNB-side SBFD while maintaining forward compatibility for potential UE-side SBFD in 6G first release.</w:t>
            </w:r>
          </w:p>
        </w:tc>
      </w:tr>
      <w:tr w14:paraId="5E89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E7BBF4E">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14:paraId="662BC9F4">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8EF7939">
            <w:pPr>
              <w:pStyle w:val="63"/>
              <w:widowControl w:val="0"/>
              <w:numPr>
                <w:ilvl w:val="0"/>
                <w:numId w:val="62"/>
              </w:numPr>
              <w:autoSpaceDE w:val="0"/>
              <w:autoSpaceDN w:val="0"/>
              <w:spacing w:afterLines="50"/>
              <w:jc w:val="both"/>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560A428B">
            <w:pPr>
              <w:pStyle w:val="63"/>
              <w:widowControl w:val="0"/>
              <w:numPr>
                <w:ilvl w:val="0"/>
                <w:numId w:val="62"/>
              </w:numPr>
              <w:autoSpaceDE w:val="0"/>
              <w:autoSpaceDN w:val="0"/>
              <w:spacing w:afterLines="50"/>
              <w:jc w:val="both"/>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pPr>
              <w:pStyle w:val="63"/>
              <w:widowControl w:val="0"/>
              <w:numPr>
                <w:ilvl w:val="0"/>
                <w:numId w:val="62"/>
              </w:numPr>
              <w:autoSpaceDE w:val="0"/>
              <w:autoSpaceDN w:val="0"/>
              <w:spacing w:afterLines="50"/>
              <w:jc w:val="both"/>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pPr>
              <w:pStyle w:val="63"/>
              <w:widowControl w:val="0"/>
              <w:numPr>
                <w:ilvl w:val="0"/>
                <w:numId w:val="62"/>
              </w:numPr>
              <w:autoSpaceDE w:val="0"/>
              <w:autoSpaceDN w:val="0"/>
              <w:spacing w:afterLines="50"/>
              <w:jc w:val="both"/>
              <w:rPr>
                <w:rFonts w:eastAsiaTheme="minorEastAsia"/>
                <w:b/>
                <w:bCs/>
                <w:i/>
                <w:iCs/>
                <w:sz w:val="20"/>
                <w:szCs w:val="20"/>
              </w:rPr>
            </w:pPr>
            <w:r>
              <w:rPr>
                <w:rFonts w:eastAsiaTheme="minorEastAsia"/>
                <w:b/>
                <w:bCs/>
                <w:i/>
                <w:iCs/>
                <w:sz w:val="20"/>
                <w:szCs w:val="20"/>
              </w:rPr>
              <w:t>Dynamic SFI mechanism increases UE complexity and power consumption, etc.</w:t>
            </w:r>
          </w:p>
          <w:p w14:paraId="04362D17">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2D6C77B7">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35396F56">
            <w:pPr>
              <w:pStyle w:val="63"/>
              <w:widowControl w:val="0"/>
              <w:numPr>
                <w:ilvl w:val="0"/>
                <w:numId w:val="63"/>
              </w:numPr>
              <w:autoSpaceDE/>
              <w:autoSpaceDN/>
              <w:spacing w:afterLines="50"/>
              <w:jc w:val="both"/>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7771177F">
            <w:pPr>
              <w:pStyle w:val="63"/>
              <w:widowControl w:val="0"/>
              <w:numPr>
                <w:ilvl w:val="0"/>
                <w:numId w:val="63"/>
              </w:numPr>
              <w:autoSpaceDE/>
              <w:autoSpaceDN/>
              <w:spacing w:afterLines="50"/>
              <w:jc w:val="both"/>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9F5A7F">
            <w:pPr>
              <w:pStyle w:val="63"/>
              <w:widowControl w:val="0"/>
              <w:numPr>
                <w:ilvl w:val="0"/>
                <w:numId w:val="63"/>
              </w:numPr>
              <w:autoSpaceDE/>
              <w:autoSpaceDN/>
              <w:spacing w:afterLines="50"/>
              <w:jc w:val="both"/>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245FA19D">
            <w:pPr>
              <w:pStyle w:val="63"/>
              <w:widowControl w:val="0"/>
              <w:numPr>
                <w:ilvl w:val="0"/>
                <w:numId w:val="63"/>
              </w:numPr>
              <w:autoSpaceDE/>
              <w:autoSpaceDN/>
              <w:spacing w:afterLines="50"/>
              <w:jc w:val="both"/>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03C7D7F5">
            <w:pPr>
              <w:pStyle w:val="63"/>
              <w:widowControl w:val="0"/>
              <w:numPr>
                <w:ilvl w:val="0"/>
                <w:numId w:val="63"/>
              </w:numPr>
              <w:autoSpaceDE/>
              <w:autoSpaceDN/>
              <w:spacing w:afterLines="50"/>
              <w:jc w:val="both"/>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7230F63E">
            <w:pPr>
              <w:pStyle w:val="12"/>
              <w:widowControl w:val="0"/>
              <w:autoSpaceDE w:val="0"/>
              <w:autoSpaceDN w:val="0"/>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5B638DFA">
            <w:pPr>
              <w:pStyle w:val="63"/>
              <w:widowControl w:val="0"/>
              <w:numPr>
                <w:ilvl w:val="1"/>
                <w:numId w:val="64"/>
              </w:numPr>
              <w:overflowPunct w:val="0"/>
              <w:autoSpaceDE w:val="0"/>
              <w:autoSpaceDN w:val="0"/>
              <w:spacing w:after="50"/>
              <w:ind w:left="22" w:leftChars="10"/>
              <w:jc w:val="both"/>
              <w:textAlignment w:val="baseline"/>
              <w:rPr>
                <w:b/>
                <w:i/>
                <w:sz w:val="20"/>
                <w:szCs w:val="20"/>
              </w:rPr>
            </w:pPr>
            <w:r>
              <w:rPr>
                <w:b/>
                <w:i/>
                <w:sz w:val="20"/>
                <w:szCs w:val="20"/>
              </w:rPr>
              <w:t>For simplified dynamic TDD</w:t>
            </w:r>
            <w:r>
              <w:rPr>
                <w:rFonts w:hint="eastAsia"/>
                <w:b/>
                <w:i/>
                <w:sz w:val="20"/>
                <w:szCs w:val="20"/>
              </w:rPr>
              <w:t>:</w:t>
            </w:r>
          </w:p>
          <w:p w14:paraId="154A8790">
            <w:pPr>
              <w:pStyle w:val="63"/>
              <w:widowControl w:val="0"/>
              <w:numPr>
                <w:ilvl w:val="2"/>
                <w:numId w:val="64"/>
              </w:numPr>
              <w:overflowPunct w:val="0"/>
              <w:autoSpaceDE w:val="0"/>
              <w:autoSpaceDN w:val="0"/>
              <w:spacing w:after="50"/>
              <w:ind w:left="484" w:leftChars="220"/>
              <w:jc w:val="both"/>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673F6DAF">
            <w:pPr>
              <w:pStyle w:val="63"/>
              <w:widowControl w:val="0"/>
              <w:numPr>
                <w:ilvl w:val="2"/>
                <w:numId w:val="64"/>
              </w:numPr>
              <w:overflowPunct w:val="0"/>
              <w:autoSpaceDE w:val="0"/>
              <w:autoSpaceDN w:val="0"/>
              <w:spacing w:after="50"/>
              <w:ind w:left="484" w:leftChars="220"/>
              <w:jc w:val="both"/>
              <w:textAlignment w:val="baseline"/>
              <w:rPr>
                <w:b/>
                <w:i/>
                <w:sz w:val="20"/>
                <w:szCs w:val="20"/>
              </w:rPr>
            </w:pPr>
            <w:r>
              <w:rPr>
                <w:b/>
                <w:i/>
                <w:sz w:val="20"/>
                <w:szCs w:val="20"/>
              </w:rPr>
              <w:t>The signaling details of transmission direction and cell/TRP coordination should be studied.</w:t>
            </w:r>
          </w:p>
          <w:p w14:paraId="075FD2A1">
            <w:pPr>
              <w:pStyle w:val="63"/>
              <w:widowControl w:val="0"/>
              <w:numPr>
                <w:ilvl w:val="1"/>
                <w:numId w:val="64"/>
              </w:numPr>
              <w:overflowPunct w:val="0"/>
              <w:autoSpaceDE w:val="0"/>
              <w:autoSpaceDN w:val="0"/>
              <w:spacing w:after="50"/>
              <w:ind w:left="22" w:leftChars="10"/>
              <w:jc w:val="both"/>
              <w:textAlignment w:val="baseline"/>
              <w:rPr>
                <w:b/>
                <w:i/>
                <w:sz w:val="20"/>
                <w:szCs w:val="20"/>
              </w:rPr>
            </w:pPr>
            <w:r>
              <w:rPr>
                <w:rFonts w:eastAsiaTheme="minorEastAsia"/>
                <w:b/>
                <w:i/>
                <w:sz w:val="20"/>
                <w:szCs w:val="20"/>
              </w:rPr>
              <w:t>For SBFD</w:t>
            </w:r>
          </w:p>
          <w:p w14:paraId="02202E3A">
            <w:pPr>
              <w:pStyle w:val="63"/>
              <w:widowControl w:val="0"/>
              <w:numPr>
                <w:ilvl w:val="2"/>
                <w:numId w:val="64"/>
              </w:numPr>
              <w:overflowPunct w:val="0"/>
              <w:autoSpaceDE w:val="0"/>
              <w:autoSpaceDN w:val="0"/>
              <w:spacing w:after="50"/>
              <w:jc w:val="both"/>
              <w:textAlignment w:val="baseline"/>
              <w:rPr>
                <w:b/>
                <w:i/>
                <w:sz w:val="20"/>
                <w:szCs w:val="20"/>
              </w:rPr>
            </w:pPr>
            <w:r>
              <w:rPr>
                <w:b/>
                <w:i/>
                <w:sz w:val="20"/>
                <w:szCs w:val="20"/>
              </w:rPr>
              <w:t>Support BS semi-static SBFD and subband adaptation are further studied.</w:t>
            </w:r>
          </w:p>
          <w:p w14:paraId="279A2257">
            <w:pPr>
              <w:pStyle w:val="63"/>
              <w:widowControl w:val="0"/>
              <w:numPr>
                <w:ilvl w:val="2"/>
                <w:numId w:val="64"/>
              </w:numPr>
              <w:overflowPunct w:val="0"/>
              <w:autoSpaceDE w:val="0"/>
              <w:autoSpaceDN w:val="0"/>
              <w:spacing w:after="50"/>
              <w:jc w:val="both"/>
              <w:textAlignment w:val="baseline"/>
              <w:rPr>
                <w:b/>
                <w:i/>
                <w:sz w:val="20"/>
                <w:szCs w:val="20"/>
              </w:rPr>
            </w:pPr>
            <w:r>
              <w:rPr>
                <w:b/>
                <w:i/>
                <w:sz w:val="20"/>
                <w:szCs w:val="20"/>
              </w:rPr>
              <w:t>How to support the following aspects should be studied in 6GR SI:</w:t>
            </w:r>
          </w:p>
          <w:p w14:paraId="5F243115">
            <w:pPr>
              <w:pStyle w:val="63"/>
              <w:widowControl w:val="0"/>
              <w:numPr>
                <w:ilvl w:val="3"/>
                <w:numId w:val="65"/>
              </w:numPr>
              <w:overflowPunct w:val="0"/>
              <w:autoSpaceDE w:val="0"/>
              <w:autoSpaceDN w:val="0"/>
              <w:spacing w:after="50"/>
              <w:jc w:val="both"/>
              <w:textAlignment w:val="baseline"/>
              <w:rPr>
                <w:b/>
                <w:i/>
                <w:sz w:val="20"/>
                <w:szCs w:val="20"/>
              </w:rPr>
            </w:pPr>
            <w:r>
              <w:rPr>
                <w:b/>
                <w:i/>
                <w:sz w:val="20"/>
                <w:szCs w:val="20"/>
              </w:rPr>
              <w:t>Time-frequency configuration in different UE RRC states</w:t>
            </w:r>
          </w:p>
          <w:p w14:paraId="0A7BDC6E">
            <w:pPr>
              <w:pStyle w:val="63"/>
              <w:widowControl w:val="0"/>
              <w:numPr>
                <w:ilvl w:val="3"/>
                <w:numId w:val="65"/>
              </w:numPr>
              <w:overflowPunct w:val="0"/>
              <w:autoSpaceDE w:val="0"/>
              <w:autoSpaceDN w:val="0"/>
              <w:spacing w:after="50"/>
              <w:jc w:val="both"/>
              <w:textAlignment w:val="baseline"/>
              <w:rPr>
                <w:b/>
                <w:i/>
                <w:sz w:val="20"/>
                <w:szCs w:val="20"/>
              </w:rPr>
            </w:pPr>
            <w:r>
              <w:rPr>
                <w:b/>
                <w:i/>
                <w:sz w:val="20"/>
                <w:szCs w:val="20"/>
              </w:rPr>
              <w:t>Random access configuration and procedure</w:t>
            </w:r>
          </w:p>
          <w:p w14:paraId="4CC42DB8">
            <w:pPr>
              <w:pStyle w:val="63"/>
              <w:widowControl w:val="0"/>
              <w:numPr>
                <w:ilvl w:val="3"/>
                <w:numId w:val="65"/>
              </w:numPr>
              <w:overflowPunct w:val="0"/>
              <w:autoSpaceDE w:val="0"/>
              <w:autoSpaceDN w:val="0"/>
              <w:spacing w:after="50"/>
              <w:jc w:val="both"/>
              <w:textAlignment w:val="baseline"/>
              <w:rPr>
                <w:b/>
                <w:i/>
                <w:sz w:val="20"/>
                <w:szCs w:val="20"/>
              </w:rPr>
            </w:pPr>
            <w:r>
              <w:rPr>
                <w:b/>
                <w:i/>
                <w:sz w:val="20"/>
                <w:szCs w:val="20"/>
              </w:rPr>
              <w:t>UE transmission, reception and measurement behaviors and procedures, including:</w:t>
            </w:r>
          </w:p>
          <w:p w14:paraId="1D1AC9CE">
            <w:pPr>
              <w:pStyle w:val="63"/>
              <w:widowControl w:val="0"/>
              <w:numPr>
                <w:ilvl w:val="4"/>
                <w:numId w:val="66"/>
              </w:numPr>
              <w:overflowPunct w:val="0"/>
              <w:autoSpaceDE w:val="0"/>
              <w:autoSpaceDN w:val="0"/>
              <w:spacing w:after="50"/>
              <w:jc w:val="both"/>
              <w:textAlignment w:val="baseline"/>
              <w:rPr>
                <w:b/>
                <w:i/>
                <w:sz w:val="20"/>
                <w:szCs w:val="20"/>
              </w:rPr>
            </w:pPr>
            <w:r>
              <w:rPr>
                <w:b/>
                <w:i/>
                <w:sz w:val="20"/>
                <w:szCs w:val="20"/>
              </w:rPr>
              <w:t>Transmission and reception behaviors in symbols with SBFD subbands configuration</w:t>
            </w:r>
          </w:p>
          <w:p w14:paraId="27BCB523">
            <w:pPr>
              <w:pStyle w:val="63"/>
              <w:widowControl w:val="0"/>
              <w:numPr>
                <w:ilvl w:val="4"/>
                <w:numId w:val="66"/>
              </w:numPr>
              <w:overflowPunct w:val="0"/>
              <w:autoSpaceDE w:val="0"/>
              <w:autoSpaceDN w:val="0"/>
              <w:spacing w:after="50"/>
              <w:jc w:val="both"/>
              <w:textAlignment w:val="baseline"/>
              <w:rPr>
                <w:b/>
                <w:i/>
                <w:sz w:val="20"/>
                <w:szCs w:val="20"/>
              </w:rPr>
            </w:pPr>
            <w:r>
              <w:rPr>
                <w:b/>
                <w:i/>
                <w:sz w:val="20"/>
                <w:szCs w:val="20"/>
              </w:rPr>
              <w:t>Resource allocation in symbols with SBFD subbands configuration</w:t>
            </w:r>
          </w:p>
          <w:p w14:paraId="0D7DB644">
            <w:pPr>
              <w:pStyle w:val="63"/>
              <w:widowControl w:val="0"/>
              <w:numPr>
                <w:ilvl w:val="4"/>
                <w:numId w:val="66"/>
              </w:numPr>
              <w:overflowPunct w:val="0"/>
              <w:autoSpaceDE w:val="0"/>
              <w:autoSpaceDN w:val="0"/>
              <w:spacing w:after="50"/>
              <w:jc w:val="both"/>
              <w:textAlignment w:val="baseline"/>
              <w:rPr>
                <w:b/>
                <w:i/>
                <w:sz w:val="20"/>
                <w:szCs w:val="20"/>
              </w:rPr>
            </w:pPr>
            <w:r>
              <w:rPr>
                <w:b/>
                <w:i/>
                <w:sz w:val="20"/>
                <w:szCs w:val="20"/>
              </w:rPr>
              <w:t>Physical channels/signals and procedure across symbols with and without SBFD subbands configuration in different slots</w:t>
            </w:r>
          </w:p>
          <w:p w14:paraId="2AC60B2C">
            <w:pPr>
              <w:pStyle w:val="63"/>
              <w:widowControl w:val="0"/>
              <w:numPr>
                <w:ilvl w:val="4"/>
                <w:numId w:val="66"/>
              </w:numPr>
              <w:overflowPunct w:val="0"/>
              <w:autoSpaceDE w:val="0"/>
              <w:autoSpaceDN w:val="0"/>
              <w:spacing w:after="50"/>
              <w:jc w:val="both"/>
              <w:textAlignment w:val="baseline"/>
              <w:rPr>
                <w:b/>
                <w:i/>
                <w:sz w:val="20"/>
                <w:szCs w:val="20"/>
              </w:rPr>
            </w:pPr>
            <w:r>
              <w:rPr>
                <w:b/>
                <w:i/>
                <w:sz w:val="20"/>
                <w:szCs w:val="20"/>
              </w:rPr>
              <w:t>Configurations for SRS, PUCCH and PUSCH on symbols with and without SBFD subbands configuration, e.g., resources, UL power control parameters etc.</w:t>
            </w:r>
          </w:p>
          <w:p w14:paraId="0AA760DE">
            <w:pPr>
              <w:pStyle w:val="63"/>
              <w:widowControl w:val="0"/>
              <w:numPr>
                <w:ilvl w:val="4"/>
                <w:numId w:val="66"/>
              </w:numPr>
              <w:overflowPunct w:val="0"/>
              <w:autoSpaceDE w:val="0"/>
              <w:autoSpaceDN w:val="0"/>
              <w:spacing w:after="50"/>
              <w:jc w:val="both"/>
              <w:textAlignment w:val="baseline"/>
              <w:rPr>
                <w:b/>
                <w:i/>
                <w:sz w:val="20"/>
                <w:szCs w:val="20"/>
              </w:rPr>
            </w:pPr>
            <w:r>
              <w:rPr>
                <w:b/>
                <w:i/>
                <w:sz w:val="20"/>
                <w:szCs w:val="20"/>
              </w:rPr>
              <w:t>Collision handling between DL reception in DL subband(s) and UL transmission in UL subband in symbols with SBFD</w:t>
            </w:r>
          </w:p>
          <w:p w14:paraId="0C66CB16">
            <w:pPr>
              <w:pStyle w:val="63"/>
              <w:widowControl w:val="0"/>
              <w:numPr>
                <w:ilvl w:val="3"/>
                <w:numId w:val="65"/>
              </w:numPr>
              <w:overflowPunct w:val="0"/>
              <w:autoSpaceDE w:val="0"/>
              <w:autoSpaceDN w:val="0"/>
              <w:spacing w:after="50"/>
              <w:jc w:val="both"/>
              <w:textAlignment w:val="baseline"/>
              <w:rPr>
                <w:b/>
                <w:i/>
                <w:szCs w:val="22"/>
              </w:rPr>
            </w:pPr>
            <w:r>
              <w:rPr>
                <w:b/>
                <w:i/>
                <w:sz w:val="20"/>
                <w:szCs w:val="20"/>
              </w:rPr>
              <w:t xml:space="preserve">Inter-UE and inter-BS CLI management. </w:t>
            </w:r>
          </w:p>
        </w:tc>
      </w:tr>
      <w:tr w14:paraId="699F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48D9726">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14:paraId="1ABA7E09">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9:</w:t>
            </w:r>
          </w:p>
          <w:p w14:paraId="76EC7DB8">
            <w:pPr>
              <w:widowControl w:val="0"/>
              <w:autoSpaceDE w:val="0"/>
              <w:autoSpaceDN w:val="0"/>
              <w:spacing w:afterLines="50"/>
              <w:jc w:val="both"/>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14:paraId="1418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956E9D2">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14:paraId="1CC65F07">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01385E99">
            <w:pPr>
              <w:pStyle w:val="19"/>
              <w:widowControl w:val="0"/>
              <w:numPr>
                <w:ilvl w:val="0"/>
                <w:numId w:val="67"/>
              </w:numPr>
              <w:autoSpaceDE w:val="0"/>
              <w:autoSpaceDN w:val="0"/>
              <w:spacing w:afterLines="50"/>
              <w:jc w:val="both"/>
            </w:pPr>
            <w:r>
              <w:rPr>
                <w:rFonts w:eastAsiaTheme="minorEastAsia"/>
                <w:b/>
                <w:bCs/>
                <w:i/>
                <w:iCs/>
                <w:lang w:eastAsia="ko-KR"/>
              </w:rPr>
              <w:t>UE-specific TDD configuration and Dynamic SFI are deprioritized.</w:t>
            </w:r>
          </w:p>
          <w:p w14:paraId="6A91B8E5">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5654F3C1">
            <w:pPr>
              <w:pStyle w:val="19"/>
              <w:widowControl w:val="0"/>
              <w:numPr>
                <w:ilvl w:val="0"/>
                <w:numId w:val="67"/>
              </w:numPr>
              <w:autoSpaceDE w:val="0"/>
              <w:autoSpaceDN w:val="0"/>
              <w:spacing w:afterLines="50"/>
              <w:jc w:val="both"/>
            </w:pPr>
            <w:r>
              <w:rPr>
                <w:rFonts w:eastAsiaTheme="minorEastAsia"/>
                <w:b/>
                <w:bCs/>
                <w:i/>
                <w:iCs/>
                <w:lang w:eastAsia="ko-KR"/>
              </w:rPr>
              <w:t>FFS: Time domain gNB dynamic SBFD, e.g., dynamic ON/OFF SBFD symbols within TDD patterns.</w:t>
            </w:r>
          </w:p>
        </w:tc>
      </w:tr>
      <w:tr w14:paraId="3AEE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E8868B8">
            <w:pPr>
              <w:widowControl w:val="0"/>
              <w:autoSpaceDE w:val="0"/>
              <w:autoSpaceDN w:val="0"/>
              <w:spacing w:afterLines="50"/>
              <w:jc w:val="both"/>
              <w:rPr>
                <w:rStyle w:val="43"/>
                <w:color w:val="auto"/>
                <w:u w:val="none"/>
              </w:rPr>
            </w:pPr>
            <w:r>
              <w:rPr>
                <w:rStyle w:val="43"/>
                <w:color w:val="auto"/>
                <w:sz w:val="20"/>
                <w:szCs w:val="21"/>
                <w:u w:val="none"/>
              </w:rPr>
              <w:t>Kyocera</w:t>
            </w:r>
          </w:p>
        </w:tc>
        <w:tc>
          <w:tcPr>
            <w:tcW w:w="3829" w:type="pct"/>
          </w:tcPr>
          <w:p w14:paraId="6EC57A99">
            <w:pPr>
              <w:widowControl w:val="0"/>
              <w:autoSpaceDE w:val="0"/>
              <w:autoSpaceDN w:val="0"/>
              <w:spacing w:afterLines="50"/>
              <w:jc w:val="both"/>
              <w:rPr>
                <w:rStyle w:val="43"/>
                <w:color w:val="auto"/>
                <w:sz w:val="20"/>
                <w:szCs w:val="21"/>
                <w:u w:val="none"/>
              </w:rPr>
            </w:pPr>
            <w:r>
              <w:fldChar w:fldCharType="begin"/>
            </w:r>
            <w:r>
              <w:instrText xml:space="preserve"> HYPERLINK \l "_Toc220439065" </w:instrText>
            </w:r>
            <w:r>
              <w:fldChar w:fldCharType="separate"/>
            </w:r>
            <w:r>
              <w:rPr>
                <w:rStyle w:val="43"/>
                <w:color w:val="auto"/>
                <w:sz w:val="20"/>
                <w:szCs w:val="21"/>
                <w:u w:val="none"/>
              </w:rPr>
              <w:t>Observation 2</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FD-FDD avoids the co-channel UL/DL slot collisions inherent in TDD, making it ideal for macro-cell deployments. However, its fixed resource allocation limits its flexibility to accommodate asymmetric traffic demands.</w:t>
            </w:r>
            <w:r>
              <w:rPr>
                <w:rStyle w:val="43"/>
                <w:color w:val="auto"/>
                <w:sz w:val="20"/>
                <w:szCs w:val="21"/>
                <w:u w:val="none"/>
              </w:rPr>
              <w:fldChar w:fldCharType="end"/>
            </w:r>
          </w:p>
          <w:p w14:paraId="28FD35D2">
            <w:pPr>
              <w:widowControl w:val="0"/>
              <w:autoSpaceDE w:val="0"/>
              <w:autoSpaceDN w:val="0"/>
              <w:spacing w:afterLines="50"/>
              <w:jc w:val="both"/>
              <w:rPr>
                <w:rStyle w:val="43"/>
                <w:color w:val="auto"/>
                <w:sz w:val="20"/>
                <w:szCs w:val="21"/>
                <w:u w:val="none"/>
              </w:rPr>
            </w:pPr>
            <w:r>
              <w:fldChar w:fldCharType="begin"/>
            </w:r>
            <w:r>
              <w:instrText xml:space="preserve"> HYPERLINK \l "_Toc220439066" </w:instrText>
            </w:r>
            <w:r>
              <w:fldChar w:fldCharType="separate"/>
            </w:r>
            <w:r>
              <w:rPr>
                <w:rStyle w:val="43"/>
                <w:color w:val="auto"/>
                <w:sz w:val="20"/>
                <w:szCs w:val="21"/>
                <w:u w:val="none"/>
              </w:rPr>
              <w:t>Observation 3</w:t>
            </w:r>
            <w:r>
              <w:rPr>
                <w:rStyle w:val="43"/>
                <w:color w:val="auto"/>
                <w:sz w:val="20"/>
                <w:szCs w:val="21"/>
                <w:u w:val="none"/>
              </w:rPr>
              <w:tab/>
            </w:r>
            <w:r>
              <w:rPr>
                <w:rStyle w:val="43"/>
                <w:color w:val="auto"/>
                <w:sz w:val="20"/>
                <w:szCs w:val="21"/>
                <w:u w:val="none"/>
              </w:rPr>
              <w:t>While Semi-static TDD excels in interference management, it has limitations in its ability to dynamically adapt resources to bursty traffic.</w:t>
            </w:r>
            <w:r>
              <w:rPr>
                <w:rStyle w:val="43"/>
                <w:color w:val="auto"/>
                <w:sz w:val="20"/>
                <w:szCs w:val="21"/>
                <w:u w:val="none"/>
              </w:rPr>
              <w:fldChar w:fldCharType="end"/>
            </w:r>
          </w:p>
          <w:p w14:paraId="1506850B">
            <w:pPr>
              <w:widowControl w:val="0"/>
              <w:autoSpaceDE w:val="0"/>
              <w:autoSpaceDN w:val="0"/>
              <w:spacing w:afterLines="50"/>
              <w:jc w:val="both"/>
              <w:rPr>
                <w:rStyle w:val="43"/>
                <w:rFonts w:eastAsiaTheme="minorEastAsia"/>
                <w:color w:val="auto"/>
                <w:sz w:val="20"/>
                <w:szCs w:val="21"/>
                <w:u w:val="none"/>
              </w:rPr>
            </w:pPr>
            <w:r>
              <w:fldChar w:fldCharType="begin"/>
            </w:r>
            <w:r>
              <w:instrText xml:space="preserve"> HYPERLINK \l "_Toc220439067" </w:instrText>
            </w:r>
            <w:r>
              <w:fldChar w:fldCharType="separate"/>
            </w:r>
            <w:r>
              <w:rPr>
                <w:rStyle w:val="43"/>
                <w:color w:val="auto"/>
                <w:sz w:val="20"/>
                <w:szCs w:val="21"/>
                <w:u w:val="none"/>
              </w:rPr>
              <w:t>Observation 4</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While HD-FDD on UE side offers clear cost advantages, it introduces challenges such as increased scheduling overhead on the network side and the necessity to manage complex collision handling rules.</w:t>
            </w:r>
            <w:r>
              <w:rPr>
                <w:rStyle w:val="43"/>
                <w:color w:val="auto"/>
                <w:sz w:val="20"/>
                <w:szCs w:val="21"/>
                <w:u w:val="none"/>
              </w:rPr>
              <w:fldChar w:fldCharType="end"/>
            </w:r>
          </w:p>
          <w:p w14:paraId="72261B34">
            <w:pPr>
              <w:widowControl w:val="0"/>
              <w:autoSpaceDE w:val="0"/>
              <w:autoSpaceDN w:val="0"/>
              <w:spacing w:afterLines="50"/>
              <w:jc w:val="both"/>
              <w:rPr>
                <w:rStyle w:val="43"/>
                <w:color w:val="auto"/>
                <w:u w:val="none"/>
              </w:rPr>
            </w:pPr>
            <w:r>
              <w:fldChar w:fldCharType="begin"/>
            </w:r>
            <w:r>
              <w:instrText xml:space="preserve"> HYPERLINK \l "_Toc220439069" </w:instrText>
            </w:r>
            <w:r>
              <w:fldChar w:fldCharType="separate"/>
            </w:r>
            <w:r>
              <w:rPr>
                <w:rStyle w:val="43"/>
                <w:color w:val="auto"/>
                <w:sz w:val="20"/>
                <w:szCs w:val="21"/>
                <w:u w:val="none"/>
              </w:rPr>
              <w:t>Proposal 3</w:t>
            </w:r>
            <w:r>
              <w:rPr>
                <w:rStyle w:val="43"/>
                <w:color w:val="auto"/>
                <w:sz w:val="20"/>
                <w:szCs w:val="21"/>
                <w:u w:val="none"/>
              </w:rPr>
              <w:tab/>
            </w:r>
            <w:r>
              <w:rPr>
                <w:rStyle w:val="43"/>
                <w:color w:val="auto"/>
                <w:sz w:val="20"/>
                <w:szCs w:val="21"/>
                <w:u w:val="none"/>
              </w:rPr>
              <w:t>RAN1 should consider semi-static SBFD operation on the BS side for 6GR, designed as a native extension of basic TDD operations without impacting non-SBFD-capable UEs.</w:t>
            </w:r>
            <w:r>
              <w:rPr>
                <w:rStyle w:val="43"/>
                <w:color w:val="auto"/>
                <w:sz w:val="20"/>
                <w:szCs w:val="21"/>
                <w:u w:val="none"/>
              </w:rPr>
              <w:fldChar w:fldCharType="end"/>
            </w:r>
          </w:p>
        </w:tc>
      </w:tr>
      <w:tr w14:paraId="593E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F49EFDE">
            <w:pPr>
              <w:widowControl w:val="0"/>
              <w:autoSpaceDE w:val="0"/>
              <w:autoSpaceDN w:val="0"/>
              <w:spacing w:afterLines="50"/>
              <w:jc w:val="both"/>
              <w:rPr>
                <w:rFonts w:eastAsiaTheme="minorEastAsia"/>
                <w:iCs/>
                <w:sz w:val="20"/>
                <w:szCs w:val="20"/>
              </w:rPr>
            </w:pPr>
            <w:r>
              <w:rPr>
                <w:rFonts w:hint="eastAsia" w:eastAsiaTheme="minorEastAsia"/>
                <w:iCs/>
                <w:sz w:val="20"/>
                <w:szCs w:val="20"/>
              </w:rPr>
              <w:t>Lenovo</w:t>
            </w:r>
          </w:p>
        </w:tc>
        <w:tc>
          <w:tcPr>
            <w:tcW w:w="3829" w:type="pct"/>
          </w:tcPr>
          <w:p w14:paraId="63E954E5">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Proposal 1</w:t>
            </w:r>
            <w:r>
              <w:rPr>
                <w:rFonts w:eastAsia="等线"/>
                <w:b/>
                <w:iCs/>
                <w:color w:val="000000" w:themeColor="text1"/>
                <w:sz w:val="20"/>
                <w:szCs w:val="20"/>
                <w:u w:val="single"/>
                <w:lang w:val="en-GB"/>
                <w14:textFill>
                  <w14:solidFill>
                    <w14:schemeClr w14:val="tx1"/>
                  </w14:solidFill>
                </w14:textFill>
              </w:rPr>
              <w:t>2</w:t>
            </w:r>
            <w:r>
              <w:rPr>
                <w:rFonts w:eastAsia="等线"/>
                <w:b/>
                <w:iCs/>
                <w:color w:val="000000" w:themeColor="text1"/>
                <w:sz w:val="20"/>
                <w:szCs w:val="20"/>
                <w:lang w:val="en-GB" w:eastAsia="ko-KR"/>
                <w14:textFill>
                  <w14:solidFill>
                    <w14:schemeClr w14:val="tx1"/>
                  </w14:solidFill>
                </w14:textFill>
              </w:rPr>
              <w:t>: RAN1 to</w:t>
            </w:r>
            <w:r>
              <w:rPr>
                <w:rFonts w:eastAsia="Calibri"/>
                <w:b/>
                <w:iCs/>
                <w:color w:val="000000" w:themeColor="text1"/>
                <w:sz w:val="20"/>
                <w:szCs w:val="20"/>
                <w:lang w:val="en-GB"/>
                <w14:textFill>
                  <w14:solidFill>
                    <w14:schemeClr w14:val="tx1"/>
                  </w14:solidFill>
                </w14:textFill>
              </w:rPr>
              <w:t xml:space="preserve"> study a more practical friendly dynamic TDD and dynamic SBFD modes in 6GR duplexing. </w:t>
            </w:r>
          </w:p>
          <w:p w14:paraId="096ABDF2">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13</w:t>
            </w:r>
            <w:r>
              <w:rPr>
                <w:rFonts w:eastAsia="等线"/>
                <w:b/>
                <w:iCs/>
                <w:color w:val="000000" w:themeColor="text1"/>
                <w:sz w:val="20"/>
                <w:szCs w:val="20"/>
                <w:lang w:val="en-GB" w:eastAsia="ko-KR"/>
                <w14:textFill>
                  <w14:solidFill>
                    <w14:schemeClr w14:val="tx1"/>
                  </w14:solidFill>
                </w14:textFill>
              </w:rPr>
              <w:t>: RAN1 to include UE side SBFD in Day-1 6GR duplexing targeting at least advanced and more capable UE types.</w:t>
            </w:r>
          </w:p>
          <w:p w14:paraId="4283E6EC">
            <w:pPr>
              <w:widowControl/>
              <w:autoSpaceDE w:val="0"/>
              <w:autoSpaceDN w:val="0"/>
              <w:spacing w:afterLines="50"/>
              <w:jc w:val="both"/>
              <w:rPr>
                <w:rFonts w:eastAsiaTheme="minorEastAsia"/>
                <w:b/>
                <w:bCs/>
                <w:sz w:val="20"/>
                <w:szCs w:val="20"/>
                <w:lang w:val="en-GB"/>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14</w:t>
            </w:r>
            <w:r>
              <w:rPr>
                <w:rFonts w:eastAsia="等线"/>
                <w:b/>
                <w:iCs/>
                <w:color w:val="000000" w:themeColor="text1"/>
                <w:sz w:val="20"/>
                <w:szCs w:val="20"/>
                <w:lang w:val="en-GB" w:eastAsia="ko-KR"/>
                <w14:textFill>
                  <w14:solidFill>
                    <w14:schemeClr w14:val="tx1"/>
                  </w14:solidFill>
                </w14:textFill>
              </w:rPr>
              <w:t xml:space="preserve">: 6GR </w:t>
            </w:r>
            <w:r>
              <w:rPr>
                <w:rFonts w:eastAsia="等线"/>
                <w:b/>
                <w:iCs/>
                <w:color w:val="000000" w:themeColor="text1"/>
                <w:sz w:val="20"/>
                <w:szCs w:val="20"/>
                <w:lang w:val="en-GB"/>
                <w14:textFill>
                  <w14:solidFill>
                    <w14:schemeClr w14:val="tx1"/>
                  </w14:solidFill>
                </w14:textFill>
              </w:rPr>
              <w:t xml:space="preserve">day-1 </w:t>
            </w:r>
            <w:r>
              <w:rPr>
                <w:rFonts w:eastAsia="等线"/>
                <w:b/>
                <w:iCs/>
                <w:color w:val="000000" w:themeColor="text1"/>
                <w:sz w:val="20"/>
                <w:szCs w:val="20"/>
                <w:lang w:val="en-GB" w:eastAsia="ko-KR"/>
                <w14:textFill>
                  <w14:solidFill>
                    <w14:schemeClr w14:val="tx1"/>
                  </w14:solidFill>
                </w14:textFill>
              </w:rPr>
              <w:t>duplexing should be designed with forward compatibility mindset to accommodate future advanced duplexing in Day-2/3 6GR.</w:t>
            </w:r>
          </w:p>
        </w:tc>
      </w:tr>
      <w:tr w14:paraId="376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37FA1C0">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14:paraId="3E45BB18">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8</w:t>
            </w:r>
            <w:r>
              <w:rPr>
                <w:b/>
                <w:bCs/>
                <w:sz w:val="20"/>
                <w:szCs w:val="20"/>
                <w:lang w:eastAsia="ko-KR"/>
              </w:rPr>
              <w:tab/>
            </w:r>
            <w:r>
              <w:rPr>
                <w:b/>
                <w:bCs/>
                <w:sz w:val="20"/>
                <w:szCs w:val="20"/>
                <w:lang w:eastAsia="ko-KR"/>
              </w:rPr>
              <w:t>RAN1 to support flexible symbol/resource configured by frame format configuration.</w:t>
            </w:r>
          </w:p>
          <w:p w14:paraId="14275C51">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9</w:t>
            </w:r>
            <w:r>
              <w:rPr>
                <w:b/>
                <w:bCs/>
                <w:sz w:val="20"/>
                <w:szCs w:val="20"/>
                <w:lang w:eastAsia="ko-KR"/>
              </w:rPr>
              <w:tab/>
            </w:r>
            <w:r>
              <w:rPr>
                <w:b/>
                <w:bCs/>
                <w:sz w:val="20"/>
                <w:szCs w:val="20"/>
                <w:lang w:eastAsia="ko-KR"/>
              </w:rPr>
              <w:t>RAN1 to consider dynamic TDD by UL/DL scheduling via DCI for 6GR duplexing study.</w:t>
            </w:r>
          </w:p>
          <w:p w14:paraId="450D45AD">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10</w:t>
            </w:r>
            <w:r>
              <w:rPr>
                <w:b/>
                <w:bCs/>
                <w:sz w:val="20"/>
                <w:szCs w:val="20"/>
                <w:lang w:eastAsia="ko-KR"/>
              </w:rPr>
              <w:tab/>
            </w:r>
            <w:r>
              <w:rPr>
                <w:b/>
                <w:bCs/>
                <w:sz w:val="20"/>
                <w:szCs w:val="20"/>
                <w:lang w:eastAsia="ko-KR"/>
              </w:rPr>
              <w:t>Deprioritize frame format indication (i.e., dynamic indication by DCI) for 6G study.</w:t>
            </w:r>
          </w:p>
          <w:p w14:paraId="526CEA29">
            <w:pPr>
              <w:widowControl w:val="0"/>
              <w:autoSpaceDE w:val="0"/>
              <w:autoSpaceDN w:val="0"/>
              <w:spacing w:afterLines="50"/>
              <w:ind w:left="1200" w:hanging="1201" w:hangingChars="600"/>
              <w:jc w:val="both"/>
              <w:rPr>
                <w:rFonts w:eastAsiaTheme="minorEastAsia"/>
                <w:b/>
                <w:bCs/>
                <w:sz w:val="20"/>
                <w:szCs w:val="20"/>
              </w:rPr>
            </w:pPr>
            <w:r>
              <w:rPr>
                <w:b/>
                <w:bCs/>
                <w:sz w:val="20"/>
                <w:szCs w:val="20"/>
                <w:lang w:eastAsia="ko-KR"/>
              </w:rPr>
              <w:t>Proposal 11</w:t>
            </w:r>
            <w:r>
              <w:rPr>
                <w:b/>
                <w:bCs/>
                <w:sz w:val="20"/>
                <w:szCs w:val="20"/>
                <w:lang w:eastAsia="ko-KR"/>
              </w:rPr>
              <w:tab/>
            </w:r>
            <w:r>
              <w:rPr>
                <w:b/>
                <w:bCs/>
                <w:sz w:val="20"/>
                <w:szCs w:val="20"/>
                <w:lang w:eastAsia="ko-KR"/>
              </w:rPr>
              <w:t>RAN1 to consider dynamic SBFD for 6GR duplexing study.</w:t>
            </w:r>
          </w:p>
        </w:tc>
      </w:tr>
      <w:tr w14:paraId="70C5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8C6933">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14:paraId="591C7D8B">
            <w:pPr>
              <w:widowControl w:val="0"/>
              <w:autoSpaceDE w:val="0"/>
              <w:autoSpaceDN w:val="0"/>
              <w:spacing w:afterLines="50"/>
              <w:jc w:val="both"/>
              <w:rPr>
                <w:b/>
                <w:bCs/>
                <w:sz w:val="20"/>
                <w:szCs w:val="20"/>
              </w:rPr>
            </w:pPr>
            <w:r>
              <w:rPr>
                <w:b/>
                <w:bCs/>
                <w:sz w:val="20"/>
                <w:szCs w:val="20"/>
              </w:rPr>
              <w:t>Proposal 9: Target both FD-FDD and HD-FDD operation at UE side for paired bands.</w:t>
            </w:r>
          </w:p>
          <w:p w14:paraId="3D1B1E83">
            <w:pPr>
              <w:widowControl w:val="0"/>
              <w:autoSpaceDE w:val="0"/>
              <w:autoSpaceDN w:val="0"/>
              <w:spacing w:afterLines="50"/>
              <w:jc w:val="both"/>
              <w:rPr>
                <w:b/>
                <w:bCs/>
                <w:sz w:val="20"/>
                <w:szCs w:val="20"/>
              </w:rPr>
            </w:pPr>
            <w:r>
              <w:rPr>
                <w:b/>
                <w:bCs/>
                <w:sz w:val="20"/>
                <w:szCs w:val="20"/>
              </w:rPr>
              <w:t>Proposal 10: Target semi-static TDD operation in unpaired bands as a baseline, with consideration for CLI mitigation for asynchronous semi-static TDD scenarios.</w:t>
            </w:r>
          </w:p>
          <w:p w14:paraId="29578DBD">
            <w:pPr>
              <w:widowControl w:val="0"/>
              <w:autoSpaceDE w:val="0"/>
              <w:autoSpaceDN w:val="0"/>
              <w:spacing w:afterLines="50"/>
              <w:jc w:val="both"/>
              <w:rPr>
                <w:b/>
                <w:bCs/>
                <w:sz w:val="20"/>
                <w:szCs w:val="20"/>
              </w:rPr>
            </w:pPr>
            <w:r>
              <w:rPr>
                <w:b/>
                <w:bCs/>
                <w:sz w:val="20"/>
                <w:szCs w:val="20"/>
              </w:rPr>
              <w:t>Observation 8: Due to a lack of use cases and the presence of high co-channel CLI, dynamic TDD was not deployed in 5G networks.</w:t>
            </w:r>
          </w:p>
          <w:p w14:paraId="5EF58DE1">
            <w:pPr>
              <w:widowControl w:val="0"/>
              <w:autoSpaceDE w:val="0"/>
              <w:autoSpaceDN w:val="0"/>
              <w:spacing w:afterLines="50"/>
              <w:jc w:val="both"/>
              <w:rPr>
                <w:b/>
                <w:bCs/>
                <w:sz w:val="20"/>
                <w:szCs w:val="20"/>
              </w:rPr>
            </w:pPr>
            <w:r>
              <w:rPr>
                <w:b/>
                <w:bCs/>
                <w:sz w:val="20"/>
                <w:szCs w:val="20"/>
              </w:rPr>
              <w:t>Observation 9: The uncertainty in the transmission direction caused by the overdesign of dynamic TDD in NR led to high implementation complexity for both UE and gNB.</w:t>
            </w:r>
          </w:p>
          <w:p w14:paraId="7446AA15">
            <w:pPr>
              <w:widowControl w:val="0"/>
              <w:autoSpaceDE w:val="0"/>
              <w:autoSpaceDN w:val="0"/>
              <w:spacing w:afterLines="50"/>
              <w:jc w:val="both"/>
              <w:rPr>
                <w:b/>
                <w:bCs/>
                <w:sz w:val="20"/>
                <w:szCs w:val="20"/>
              </w:rPr>
            </w:pPr>
            <w:r>
              <w:rPr>
                <w:b/>
                <w:bCs/>
                <w:sz w:val="20"/>
                <w:szCs w:val="20"/>
              </w:rPr>
              <w:t>Proposal 11: For dynamic TDD study, consider the following:</w:t>
            </w:r>
          </w:p>
          <w:p w14:paraId="55F7E848">
            <w:pPr>
              <w:pStyle w:val="63"/>
              <w:widowControl w:val="0"/>
              <w:numPr>
                <w:ilvl w:val="0"/>
                <w:numId w:val="68"/>
              </w:numPr>
              <w:autoSpaceDE w:val="0"/>
              <w:autoSpaceDN w:val="0"/>
              <w:spacing w:afterLines="50"/>
              <w:jc w:val="both"/>
              <w:rPr>
                <w:b/>
                <w:bCs/>
                <w:sz w:val="20"/>
                <w:szCs w:val="20"/>
              </w:rPr>
            </w:pPr>
            <w:r>
              <w:rPr>
                <w:b/>
                <w:bCs/>
                <w:sz w:val="20"/>
                <w:szCs w:val="20"/>
              </w:rPr>
              <w:t>The targeted deployment to evaluate the impact of inter-gNB and inter-UE CLI.</w:t>
            </w:r>
          </w:p>
          <w:p w14:paraId="2296E75A">
            <w:pPr>
              <w:pStyle w:val="63"/>
              <w:widowControl w:val="0"/>
              <w:numPr>
                <w:ilvl w:val="0"/>
                <w:numId w:val="68"/>
              </w:numPr>
              <w:autoSpaceDE w:val="0"/>
              <w:autoSpaceDN w:val="0"/>
              <w:spacing w:afterLines="50"/>
              <w:ind w:left="714" w:hanging="357"/>
              <w:jc w:val="both"/>
              <w:rPr>
                <w:b/>
                <w:bCs/>
                <w:sz w:val="20"/>
                <w:szCs w:val="20"/>
              </w:rPr>
            </w:pPr>
            <w:r>
              <w:rPr>
                <w:b/>
                <w:bCs/>
                <w:sz w:val="20"/>
                <w:szCs w:val="20"/>
              </w:rPr>
              <w:t>The targeted use-case (e.g., DL/UL ratio change for coverage enhancement) for dynamic TDD.</w:t>
            </w:r>
          </w:p>
          <w:p w14:paraId="43C275DE">
            <w:pPr>
              <w:widowControl w:val="0"/>
              <w:autoSpaceDE w:val="0"/>
              <w:autoSpaceDN w:val="0"/>
              <w:spacing w:afterLines="50"/>
              <w:jc w:val="both"/>
              <w:rPr>
                <w:b/>
                <w:bCs/>
                <w:sz w:val="20"/>
                <w:szCs w:val="20"/>
              </w:rPr>
            </w:pPr>
            <w:r>
              <w:rPr>
                <w:b/>
                <w:bCs/>
                <w:sz w:val="20"/>
                <w:szCs w:val="20"/>
              </w:rPr>
              <w:t>Proposal 12: For TDD operation in 6G, define only “D” symbols, “U” symbols, and guard period.</w:t>
            </w:r>
          </w:p>
          <w:p w14:paraId="62EA6A00">
            <w:pPr>
              <w:widowControl w:val="0"/>
              <w:autoSpaceDE w:val="0"/>
              <w:autoSpaceDN w:val="0"/>
              <w:spacing w:afterLines="50"/>
              <w:jc w:val="both"/>
              <w:rPr>
                <w:b/>
                <w:bCs/>
                <w:sz w:val="20"/>
                <w:szCs w:val="20"/>
              </w:rPr>
            </w:pPr>
            <w:r>
              <w:rPr>
                <w:b/>
                <w:bCs/>
                <w:sz w:val="20"/>
                <w:szCs w:val="20"/>
              </w:rPr>
              <w:t>Proposal 13: If dynamic TDD to be supported, 6G should adopt the indication of a TDD pattern out of predefined TDD patterns.</w:t>
            </w:r>
          </w:p>
          <w:p w14:paraId="55F17FE1">
            <w:pPr>
              <w:pStyle w:val="63"/>
              <w:widowControl w:val="0"/>
              <w:numPr>
                <w:ilvl w:val="0"/>
                <w:numId w:val="69"/>
              </w:numPr>
              <w:autoSpaceDE w:val="0"/>
              <w:autoSpaceDN w:val="0"/>
              <w:spacing w:afterLines="50"/>
              <w:jc w:val="both"/>
              <w:rPr>
                <w:b/>
                <w:bCs/>
                <w:sz w:val="20"/>
                <w:szCs w:val="20"/>
              </w:rPr>
            </w:pPr>
            <w:r>
              <w:rPr>
                <w:b/>
                <w:bCs/>
                <w:sz w:val="20"/>
                <w:szCs w:val="20"/>
              </w:rPr>
              <w:t>No need to support Flexible symbols.</w:t>
            </w:r>
          </w:p>
          <w:p w14:paraId="2CC3BA93">
            <w:pPr>
              <w:pStyle w:val="63"/>
              <w:widowControl w:val="0"/>
              <w:numPr>
                <w:ilvl w:val="0"/>
                <w:numId w:val="69"/>
              </w:numPr>
              <w:autoSpaceDE w:val="0"/>
              <w:autoSpaceDN w:val="0"/>
              <w:spacing w:afterLines="50"/>
              <w:jc w:val="both"/>
              <w:rPr>
                <w:b/>
                <w:bCs/>
                <w:sz w:val="20"/>
                <w:szCs w:val="20"/>
              </w:rPr>
            </w:pPr>
            <w:r>
              <w:rPr>
                <w:b/>
                <w:bCs/>
                <w:sz w:val="20"/>
                <w:szCs w:val="20"/>
              </w:rPr>
              <w:t>The UE should be provided with sufficient processing time to apply the TDD pattern change.</w:t>
            </w:r>
          </w:p>
          <w:p w14:paraId="0C3BB055">
            <w:pPr>
              <w:widowControl w:val="0"/>
              <w:autoSpaceDE w:val="0"/>
              <w:autoSpaceDN w:val="0"/>
              <w:spacing w:afterLines="50"/>
              <w:jc w:val="both"/>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388874EB">
            <w:pPr>
              <w:widowControl w:val="0"/>
              <w:autoSpaceDE w:val="0"/>
              <w:autoSpaceDN w:val="0"/>
              <w:spacing w:afterLines="50"/>
              <w:jc w:val="both"/>
              <w:rPr>
                <w:b/>
                <w:bCs/>
                <w:sz w:val="20"/>
                <w:szCs w:val="20"/>
              </w:rPr>
            </w:pPr>
            <w:r>
              <w:rPr>
                <w:b/>
                <w:bCs/>
                <w:sz w:val="20"/>
                <w:szCs w:val="20"/>
              </w:rPr>
              <w:t>Proposal 14: Study TDD enhanced with SBFD as a fundamental 6G design component for unpaired bands.</w:t>
            </w:r>
          </w:p>
          <w:p w14:paraId="48544742">
            <w:pPr>
              <w:widowControl w:val="0"/>
              <w:autoSpaceDE w:val="0"/>
              <w:autoSpaceDN w:val="0"/>
              <w:spacing w:afterLines="50"/>
              <w:jc w:val="both"/>
              <w:rPr>
                <w:b/>
                <w:bCs/>
                <w:sz w:val="20"/>
                <w:szCs w:val="20"/>
              </w:rPr>
            </w:pPr>
            <w:r>
              <w:rPr>
                <w:b/>
                <w:bCs/>
                <w:sz w:val="20"/>
                <w:szCs w:val="20"/>
              </w:rPr>
              <w:t>Proposal 15: If network-side SBFD is supported in 6G, link direction should be provided to the UE (half-duplex UEs).</w:t>
            </w:r>
          </w:p>
          <w:p w14:paraId="4E5E483C">
            <w:pPr>
              <w:widowControl w:val="0"/>
              <w:autoSpaceDE w:val="0"/>
              <w:autoSpaceDN w:val="0"/>
              <w:spacing w:afterLines="50"/>
              <w:jc w:val="both"/>
              <w:rPr>
                <w:b/>
                <w:bCs/>
                <w:sz w:val="20"/>
                <w:szCs w:val="20"/>
              </w:rPr>
            </w:pPr>
            <w:r>
              <w:rPr>
                <w:b/>
                <w:bCs/>
                <w:sz w:val="20"/>
                <w:szCs w:val="20"/>
              </w:rPr>
              <w:t>Observation 11: UE-SBFD further improves the capacity for latency-bound services and coverage by eliminating the trade-off between DL and UL transmissions.</w:t>
            </w:r>
          </w:p>
          <w:p w14:paraId="4DAC9461">
            <w:pPr>
              <w:widowControl w:val="0"/>
              <w:autoSpaceDE w:val="0"/>
              <w:autoSpaceDN w:val="0"/>
              <w:spacing w:afterLines="50"/>
              <w:jc w:val="both"/>
              <w:rPr>
                <w:rFonts w:eastAsiaTheme="minorEastAsia"/>
                <w:sz w:val="20"/>
                <w:szCs w:val="20"/>
              </w:rPr>
            </w:pPr>
            <w:r>
              <w:rPr>
                <w:b/>
                <w:bCs/>
                <w:sz w:val="20"/>
                <w:szCs w:val="20"/>
              </w:rPr>
              <w:t>Proposal 16: Study UE-side SBFD on top of network-side SBFD for 6G.</w:t>
            </w:r>
            <w:r>
              <w:rPr>
                <w:sz w:val="20"/>
                <w:szCs w:val="20"/>
              </w:rPr>
              <w:t xml:space="preserve"> </w:t>
            </w:r>
          </w:p>
        </w:tc>
      </w:tr>
      <w:tr w14:paraId="403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E4445F8">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14:paraId="18AB4599">
            <w:pPr>
              <w:widowControl w:val="0"/>
              <w:autoSpaceDE w:val="0"/>
              <w:autoSpaceDN w:val="0"/>
              <w:spacing w:afterLines="50"/>
              <w:jc w:val="both"/>
              <w:rPr>
                <w:b/>
                <w:bCs/>
                <w:sz w:val="20"/>
                <w:szCs w:val="20"/>
              </w:rPr>
            </w:pPr>
            <w:r>
              <w:rPr>
                <w:b/>
                <w:bCs/>
                <w:sz w:val="20"/>
                <w:szCs w:val="20"/>
              </w:rPr>
              <w:t>Proposal 5: Study dynamic SBFD within Release 20; FFS on DCI-based dynamic SBFD</w:t>
            </w:r>
          </w:p>
          <w:p w14:paraId="2C3D2139">
            <w:pPr>
              <w:widowControl w:val="0"/>
              <w:autoSpaceDE w:val="0"/>
              <w:autoSpaceDN w:val="0"/>
              <w:spacing w:afterLines="50"/>
              <w:jc w:val="both"/>
              <w:rPr>
                <w:rFonts w:eastAsiaTheme="minorEastAsia"/>
                <w:b/>
                <w:bCs/>
                <w:sz w:val="20"/>
                <w:szCs w:val="20"/>
              </w:rPr>
            </w:pPr>
            <w:r>
              <w:rPr>
                <w:b/>
                <w:bCs/>
                <w:sz w:val="20"/>
                <w:szCs w:val="20"/>
              </w:rPr>
              <w:t>Proposal 6: Study methods to decouple SBFD from per BWP allocation</w:t>
            </w:r>
          </w:p>
        </w:tc>
      </w:tr>
      <w:tr w14:paraId="42B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F6502AD">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14:paraId="4B087031">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5.1: </w:t>
            </w:r>
            <w:r>
              <w:rPr>
                <w:i/>
                <w:iCs/>
                <w:color w:val="000000" w:themeColor="text1"/>
                <w:sz w:val="20"/>
                <w:szCs w:val="20"/>
                <w14:textFill>
                  <w14:solidFill>
                    <w14:schemeClr w14:val="tx1"/>
                  </w14:solidFill>
                </w14:textFill>
              </w:rPr>
              <w:t>For MRSS compatibility purposes, semi-static TDD</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is considered the</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primary duplexing scheme also for 6G. The support of advanced duplexing schemes in 6G should not come at the cost of increased complexity for basic TDD operation.</w:t>
            </w:r>
          </w:p>
          <w:p w14:paraId="1DC4D31B">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5.2: </w:t>
            </w:r>
            <w:r>
              <w:rPr>
                <w:i/>
                <w:iCs/>
                <w:color w:val="000000" w:themeColor="text1"/>
                <w:sz w:val="20"/>
                <w:szCs w:val="20"/>
                <w14:textFill>
                  <w14:solidFill>
                    <w14:schemeClr w14:val="tx1"/>
                  </w14:solidFill>
                </w14:textFill>
              </w:rPr>
              <w:t xml:space="preserve">Target a unified design for different duplexing options including at least FDD, half-duplex FDD, semi-static TDD, dynamic TDD and sub-band full duplex operation. </w:t>
            </w:r>
          </w:p>
          <w:p w14:paraId="22E37B57">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5.3:</w:t>
            </w:r>
            <w:r>
              <w:rPr>
                <w:i/>
                <w:iCs/>
                <w:color w:val="000000" w:themeColor="text1"/>
                <w:sz w:val="20"/>
                <w:szCs w:val="20"/>
                <w14:textFill>
                  <w14:solidFill>
                    <w14:schemeClr w14:val="tx1"/>
                  </w14:solidFill>
                </w14:textFill>
              </w:rPr>
              <w:t xml:space="preserve"> 6GR to support dynamic TDD operation based on UL, DL and flexible resources. The following aspects are to be considered:</w:t>
            </w:r>
          </w:p>
          <w:p w14:paraId="0BFF8BDB">
            <w:pPr>
              <w:pStyle w:val="63"/>
              <w:widowControl w:val="0"/>
              <w:numPr>
                <w:ilvl w:val="0"/>
                <w:numId w:val="70"/>
              </w:numPr>
              <w:autoSpaceDE w:val="0"/>
              <w:autoSpaceDN w:val="0"/>
              <w:spacing w:afterLines="50"/>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Consider TDD operation based on set of TDD patterns instead of fully flexibly configurable slot format combinations</w:t>
            </w:r>
          </w:p>
          <w:p w14:paraId="65A4FC77">
            <w:pPr>
              <w:pStyle w:val="63"/>
              <w:widowControl w:val="0"/>
              <w:numPr>
                <w:ilvl w:val="0"/>
                <w:numId w:val="70"/>
              </w:numPr>
              <w:autoSpaceDE w:val="0"/>
              <w:autoSpaceDN w:val="0"/>
              <w:spacing w:afterLines="50"/>
              <w:ind w:left="714" w:hanging="357"/>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 xml:space="preserve">Support Cross-link interference (CLI) handling mechanisms enabling flexible TDD operation from Day-1. </w:t>
            </w:r>
          </w:p>
          <w:p w14:paraId="05764C02">
            <w:pPr>
              <w:widowControl w:val="0"/>
              <w:autoSpaceDE w:val="0"/>
              <w:autoSpaceDN w:val="0"/>
              <w:spacing w:afterLines="50"/>
              <w:ind w:left="284" w:hanging="284"/>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5.4: </w:t>
            </w:r>
            <w:r>
              <w:rPr>
                <w:i/>
                <w:iCs/>
                <w:color w:val="000000" w:themeColor="text1"/>
                <w:sz w:val="20"/>
                <w:szCs w:val="20"/>
                <w14:textFill>
                  <w14:solidFill>
                    <w14:schemeClr w14:val="tx1"/>
                  </w14:solidFill>
                </w14:textFill>
              </w:rPr>
              <w:t>Consider the following enhancements for collision handling in 6GR:</w:t>
            </w:r>
          </w:p>
          <w:p w14:paraId="264E95FC">
            <w:pPr>
              <w:pStyle w:val="63"/>
              <w:widowControl w:val="0"/>
              <w:numPr>
                <w:ilvl w:val="0"/>
                <w:numId w:val="71"/>
              </w:numPr>
              <w:autoSpaceDE w:val="0"/>
              <w:autoSpaceDN w:val="0"/>
              <w:spacing w:afterLines="50"/>
              <w:jc w:val="both"/>
              <w:rPr>
                <w:i/>
                <w:sz w:val="20"/>
                <w:szCs w:val="20"/>
              </w:rPr>
            </w:pPr>
            <w:r>
              <w:rPr>
                <w:i/>
                <w:sz w:val="20"/>
                <w:szCs w:val="20"/>
              </w:rPr>
              <w:t>Unified design for different half-duplex scenarios: HD-FDD, HD-SBFD and HD-CA</w:t>
            </w:r>
          </w:p>
          <w:p w14:paraId="2FDCB34C">
            <w:pPr>
              <w:pStyle w:val="63"/>
              <w:widowControl w:val="0"/>
              <w:numPr>
                <w:ilvl w:val="0"/>
                <w:numId w:val="71"/>
              </w:numPr>
              <w:autoSpaceDE w:val="0"/>
              <w:autoSpaceDN w:val="0"/>
              <w:spacing w:afterLines="50"/>
              <w:jc w:val="both"/>
              <w:rPr>
                <w:i/>
                <w:sz w:val="20"/>
                <w:szCs w:val="20"/>
              </w:rPr>
            </w:pPr>
            <w:r>
              <w:rPr>
                <w:i/>
                <w:sz w:val="20"/>
                <w:szCs w:val="20"/>
              </w:rPr>
              <w:t>Simplifying/reducing the number of rules for link direction determination in flexible symbols.</w:t>
            </w:r>
          </w:p>
          <w:p w14:paraId="40D740C7">
            <w:pPr>
              <w:pStyle w:val="63"/>
              <w:widowControl w:val="0"/>
              <w:numPr>
                <w:ilvl w:val="0"/>
                <w:numId w:val="71"/>
              </w:numPr>
              <w:autoSpaceDE w:val="0"/>
              <w:autoSpaceDN w:val="0"/>
              <w:spacing w:afterLines="50"/>
              <w:ind w:left="799" w:hanging="357"/>
              <w:jc w:val="both"/>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pPr>
              <w:widowControl w:val="0"/>
              <w:autoSpaceDE w:val="0"/>
              <w:autoSpaceDN w:val="0"/>
              <w:spacing w:afterLines="50"/>
              <w:jc w:val="both"/>
              <w:rPr>
                <w:i/>
                <w:sz w:val="20"/>
                <w:szCs w:val="20"/>
              </w:rPr>
            </w:pPr>
            <w:r>
              <w:rPr>
                <w:b/>
                <w:bCs/>
                <w:i/>
                <w:iCs/>
                <w:sz w:val="20"/>
                <w:szCs w:val="20"/>
              </w:rPr>
              <w:t xml:space="preserve">Observation 5.1: </w:t>
            </w:r>
            <w:r>
              <w:rPr>
                <w:i/>
                <w:sz w:val="20"/>
                <w:szCs w:val="20"/>
              </w:rPr>
              <w:t>On the use cases and performance of dynamic TDD and other duplexing schemes:</w:t>
            </w:r>
          </w:p>
          <w:p w14:paraId="61B4ED86">
            <w:pPr>
              <w:pStyle w:val="63"/>
              <w:widowControl w:val="0"/>
              <w:numPr>
                <w:ilvl w:val="0"/>
                <w:numId w:val="72"/>
              </w:numPr>
              <w:autoSpaceDE w:val="0"/>
              <w:autoSpaceDN w:val="0"/>
              <w:spacing w:afterLines="50"/>
              <w:ind w:left="714" w:hanging="357"/>
              <w:jc w:val="both"/>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75090FE8">
            <w:pPr>
              <w:pStyle w:val="63"/>
              <w:widowControl w:val="0"/>
              <w:numPr>
                <w:ilvl w:val="0"/>
                <w:numId w:val="72"/>
              </w:numPr>
              <w:autoSpaceDE w:val="0"/>
              <w:autoSpaceDN w:val="0"/>
              <w:spacing w:afterLines="50"/>
              <w:ind w:left="714" w:hanging="357"/>
              <w:jc w:val="both"/>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pPr>
              <w:widowControl w:val="0"/>
              <w:autoSpaceDE w:val="0"/>
              <w:autoSpaceDN w:val="0"/>
              <w:spacing w:afterLines="50"/>
              <w:jc w:val="both"/>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11249046">
            <w:pPr>
              <w:widowControl w:val="0"/>
              <w:autoSpaceDE w:val="0"/>
              <w:autoSpaceDN w:val="0"/>
              <w:spacing w:afterLines="50"/>
              <w:jc w:val="both"/>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14:paraId="4B15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C91066F">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14:paraId="2229D4FC">
            <w:pPr>
              <w:widowControl w:val="0"/>
              <w:autoSpaceDE w:val="0"/>
              <w:autoSpaceDN w:val="0"/>
              <w:spacing w:afterLines="50"/>
              <w:jc w:val="both"/>
              <w:rPr>
                <w:rFonts w:eastAsia="MS Mincho"/>
                <w:b/>
                <w:sz w:val="20"/>
                <w:szCs w:val="20"/>
                <w:u w:val="single"/>
              </w:rPr>
            </w:pPr>
            <w:r>
              <w:rPr>
                <w:rFonts w:eastAsia="MS Mincho"/>
                <w:b/>
                <w:sz w:val="20"/>
                <w:szCs w:val="20"/>
                <w:u w:val="single"/>
              </w:rPr>
              <w:t>Observation 1:</w:t>
            </w:r>
          </w:p>
          <w:p w14:paraId="39DC87FC">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pPr>
              <w:widowControl w:val="0"/>
              <w:autoSpaceDE w:val="0"/>
              <w:autoSpaceDN w:val="0"/>
              <w:spacing w:afterLines="50"/>
              <w:jc w:val="both"/>
              <w:rPr>
                <w:rFonts w:eastAsia="MS Mincho"/>
                <w:b/>
                <w:sz w:val="20"/>
                <w:szCs w:val="20"/>
                <w:u w:val="single"/>
              </w:rPr>
            </w:pPr>
            <w:r>
              <w:rPr>
                <w:rFonts w:eastAsia="MS Mincho"/>
                <w:b/>
                <w:sz w:val="20"/>
                <w:szCs w:val="20"/>
                <w:u w:val="single"/>
              </w:rPr>
              <w:t>Proposal 1:</w:t>
            </w:r>
          </w:p>
          <w:p w14:paraId="201C85CC">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Study dynamic TDD that can be used in real NW deployments</w:t>
            </w:r>
          </w:p>
          <w:p w14:paraId="0145B383">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At least deprioritize SFI</w:t>
            </w:r>
          </w:p>
          <w:p w14:paraId="43BA3072">
            <w:pPr>
              <w:widowControl w:val="0"/>
              <w:autoSpaceDE w:val="0"/>
              <w:autoSpaceDN w:val="0"/>
              <w:spacing w:afterLines="50"/>
              <w:jc w:val="both"/>
              <w:rPr>
                <w:rFonts w:eastAsia="MS Mincho"/>
                <w:b/>
                <w:sz w:val="20"/>
                <w:szCs w:val="20"/>
                <w:u w:val="single"/>
              </w:rPr>
            </w:pPr>
            <w:r>
              <w:rPr>
                <w:rFonts w:eastAsia="MS Mincho"/>
                <w:b/>
                <w:sz w:val="20"/>
                <w:szCs w:val="20"/>
                <w:u w:val="single"/>
              </w:rPr>
              <w:t>Proposal 2:</w:t>
            </w:r>
          </w:p>
          <w:p w14:paraId="58E15643">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57B721CE">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Lack of large-scale commercial deployment</w:t>
            </w:r>
          </w:p>
          <w:p w14:paraId="2798B108">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High co-channel and adjacent channel CLI for DL/UL transmission except for isolated scenarios</w:t>
            </w:r>
          </w:p>
          <w:p w14:paraId="27CC478A">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gNB and UE ambiguity when missing monitoring DCI indicating DL/UL direction</w:t>
            </w:r>
          </w:p>
          <w:p w14:paraId="62E1457C">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Complex dynamic SFI mechanism for UE and high overhead</w:t>
            </w:r>
          </w:p>
          <w:p w14:paraId="0E451310">
            <w:pPr>
              <w:widowControl w:val="0"/>
              <w:autoSpaceDE w:val="0"/>
              <w:autoSpaceDN w:val="0"/>
              <w:spacing w:afterLines="50"/>
              <w:jc w:val="both"/>
              <w:rPr>
                <w:rFonts w:eastAsia="MS Mincho"/>
                <w:b/>
                <w:sz w:val="20"/>
                <w:szCs w:val="20"/>
                <w:u w:val="single"/>
              </w:rPr>
            </w:pPr>
            <w:r>
              <w:rPr>
                <w:rFonts w:eastAsia="MS Mincho"/>
                <w:b/>
                <w:sz w:val="20"/>
                <w:szCs w:val="20"/>
                <w:u w:val="single"/>
              </w:rPr>
              <w:t>Proposal 3:</w:t>
            </w:r>
          </w:p>
          <w:p w14:paraId="0AF8FE0B">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05820042">
            <w:pPr>
              <w:widowControl w:val="0"/>
              <w:autoSpaceDE w:val="0"/>
              <w:autoSpaceDN w:val="0"/>
              <w:spacing w:afterLines="50"/>
              <w:jc w:val="both"/>
              <w:rPr>
                <w:rFonts w:eastAsia="MS Mincho"/>
                <w:b/>
                <w:sz w:val="20"/>
                <w:szCs w:val="20"/>
                <w:u w:val="single"/>
              </w:rPr>
            </w:pPr>
            <w:r>
              <w:rPr>
                <w:rFonts w:eastAsia="MS Mincho"/>
                <w:b/>
                <w:sz w:val="20"/>
                <w:szCs w:val="20"/>
                <w:u w:val="single"/>
              </w:rPr>
              <w:t>Proposal 4:</w:t>
            </w:r>
          </w:p>
          <w:p w14:paraId="6750A6F6">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C22140B">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6267BA51">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Co-channel inter-subband and adjacent channel CLI for DL/UL transmission in some scenarios</w:t>
            </w:r>
          </w:p>
          <w:p w14:paraId="4A9DC5C8">
            <w:pPr>
              <w:widowControl w:val="0"/>
              <w:autoSpaceDE w:val="0"/>
              <w:autoSpaceDN w:val="0"/>
              <w:spacing w:afterLines="50"/>
              <w:jc w:val="both"/>
              <w:rPr>
                <w:rFonts w:eastAsia="MS Mincho"/>
                <w:b/>
                <w:sz w:val="20"/>
                <w:szCs w:val="20"/>
                <w:u w:val="single"/>
              </w:rPr>
            </w:pPr>
            <w:r>
              <w:rPr>
                <w:rFonts w:eastAsia="MS Mincho"/>
                <w:b/>
                <w:sz w:val="20"/>
                <w:szCs w:val="20"/>
                <w:u w:val="single"/>
              </w:rPr>
              <w:t>Proposal 5:</w:t>
            </w:r>
          </w:p>
          <w:p w14:paraId="21B97508">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RAN1 to discuss the following before discussing configuration format:</w:t>
            </w:r>
          </w:p>
          <w:p w14:paraId="62CB728B">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 xml:space="preserve">1) Clarify what kind of details for each duplex type are assumed for 6GR </w:t>
            </w:r>
          </w:p>
          <w:p w14:paraId="31F63901">
            <w:pPr>
              <w:pStyle w:val="63"/>
              <w:widowControl w:val="0"/>
              <w:numPr>
                <w:ilvl w:val="1"/>
                <w:numId w:val="73"/>
              </w:numPr>
              <w:autoSpaceDE w:val="0"/>
              <w:autoSpaceDN w:val="0"/>
              <w:spacing w:afterLines="50"/>
              <w:jc w:val="both"/>
              <w:rPr>
                <w:rFonts w:eastAsia="MS Mincho"/>
                <w:b/>
                <w:bCs/>
                <w:iCs/>
                <w:sz w:val="20"/>
                <w:szCs w:val="20"/>
              </w:rPr>
            </w:pPr>
            <w:r>
              <w:rPr>
                <w:rFonts w:eastAsia="MS Mincho"/>
                <w:b/>
                <w:bCs/>
                <w:iCs/>
                <w:sz w:val="20"/>
                <w:szCs w:val="20"/>
              </w:rPr>
              <w:t>2) Assess the need of modifying time/frequency configurations for each duplex type defined in NR</w:t>
            </w:r>
          </w:p>
          <w:p w14:paraId="661B7EB9">
            <w:pPr>
              <w:widowControl w:val="0"/>
              <w:autoSpaceDE w:val="0"/>
              <w:autoSpaceDN w:val="0"/>
              <w:spacing w:afterLines="50"/>
              <w:jc w:val="both"/>
              <w:rPr>
                <w:rFonts w:eastAsia="MS Mincho"/>
                <w:b/>
                <w:sz w:val="20"/>
                <w:szCs w:val="20"/>
                <w:u w:val="single"/>
              </w:rPr>
            </w:pPr>
            <w:r>
              <w:rPr>
                <w:rFonts w:eastAsia="MS Mincho"/>
                <w:b/>
                <w:sz w:val="20"/>
                <w:szCs w:val="20"/>
                <w:u w:val="single"/>
              </w:rPr>
              <w:t>Proposal 6:</w:t>
            </w:r>
          </w:p>
          <w:p w14:paraId="02B09377">
            <w:pPr>
              <w:pStyle w:val="63"/>
              <w:widowControl w:val="0"/>
              <w:numPr>
                <w:ilvl w:val="0"/>
                <w:numId w:val="73"/>
              </w:numPr>
              <w:autoSpaceDE w:val="0"/>
              <w:autoSpaceDN w:val="0"/>
              <w:spacing w:afterLines="50"/>
              <w:jc w:val="both"/>
              <w:rPr>
                <w:rFonts w:eastAsia="MS Mincho"/>
                <w:b/>
                <w:bCs/>
                <w:iCs/>
                <w:sz w:val="20"/>
                <w:szCs w:val="20"/>
              </w:rPr>
            </w:pPr>
            <w:r>
              <w:rPr>
                <w:rFonts w:eastAsia="MS Mincho"/>
                <w:b/>
                <w:bCs/>
                <w:iCs/>
                <w:sz w:val="20"/>
                <w:szCs w:val="20"/>
              </w:rPr>
              <w:t>Deprioritize the other duplex modes such as BS dynamic SBFD, UE SBFD, BS FD</w:t>
            </w:r>
          </w:p>
        </w:tc>
      </w:tr>
      <w:tr w14:paraId="536D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CD51616">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14:paraId="33C0F274">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C222B01">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15D87732">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C6164A0">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55BD1F7C">
            <w:pPr>
              <w:widowControl w:val="0"/>
              <w:autoSpaceDE w:val="0"/>
              <w:autoSpaceDN w:val="0"/>
              <w:spacing w:afterLines="50"/>
              <w:jc w:val="both"/>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14:paraId="161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48FEF55">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14:paraId="30D0D2A1">
            <w:pPr>
              <w:pStyle w:val="19"/>
              <w:widowControl w:val="0"/>
              <w:autoSpaceDE w:val="0"/>
              <w:autoSpaceDN w:val="0"/>
              <w:spacing w:afterLines="50"/>
              <w:jc w:val="both"/>
              <w:rPr>
                <w:rFonts w:eastAsia="宋体"/>
                <w:b/>
                <w:bCs/>
                <w:i/>
                <w:iCs/>
              </w:rPr>
            </w:pPr>
            <w:r>
              <w:rPr>
                <w:rFonts w:eastAsia="宋体"/>
                <w:b/>
                <w:bCs/>
                <w:i/>
                <w:iCs/>
              </w:rPr>
              <w:t>Observation 1: For FDD, FD-FDD has been widely commercialized and HD-FDD is beneficial for low-capability service implementation.</w:t>
            </w:r>
          </w:p>
          <w:p w14:paraId="562D4407">
            <w:pPr>
              <w:pStyle w:val="19"/>
              <w:widowControl w:val="0"/>
              <w:autoSpaceDE w:val="0"/>
              <w:autoSpaceDN w:val="0"/>
              <w:spacing w:afterLines="50"/>
              <w:jc w:val="both"/>
              <w:rPr>
                <w:rFonts w:eastAsia="宋体"/>
                <w:b/>
                <w:bCs/>
                <w:i/>
                <w:iCs/>
              </w:rPr>
            </w:pPr>
            <w:r>
              <w:rPr>
                <w:rFonts w:eastAsia="宋体"/>
                <w:b/>
                <w:bCs/>
                <w:i/>
                <w:iCs/>
              </w:rPr>
              <w:t>Proposal 14: Study to support FD-FDD and HD-FDD in 6GR for both TN and NTN.</w:t>
            </w:r>
          </w:p>
          <w:p w14:paraId="21979CB5">
            <w:pPr>
              <w:pStyle w:val="19"/>
              <w:widowControl w:val="0"/>
              <w:autoSpaceDE w:val="0"/>
              <w:autoSpaceDN w:val="0"/>
              <w:spacing w:afterLines="50"/>
              <w:jc w:val="both"/>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50638F43">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167BF06F">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2BC385CD">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pPr>
              <w:pStyle w:val="19"/>
              <w:widowControl w:val="0"/>
              <w:autoSpaceDE w:val="0"/>
              <w:autoSpaceDN w:val="0"/>
              <w:spacing w:afterLines="50"/>
              <w:jc w:val="both"/>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6113F3D4">
            <w:pPr>
              <w:pStyle w:val="19"/>
              <w:widowControl w:val="0"/>
              <w:autoSpaceDE w:val="0"/>
              <w:autoSpaceDN w:val="0"/>
              <w:spacing w:afterLines="50"/>
              <w:jc w:val="both"/>
              <w:rPr>
                <w:rFonts w:eastAsiaTheme="minorEastAsia"/>
                <w:b/>
                <w:bCs/>
              </w:rPr>
            </w:pPr>
            <w:r>
              <w:rPr>
                <w:rFonts w:eastAsiaTheme="minorEastAsia"/>
                <w:b/>
                <w:bCs/>
                <w:i/>
                <w:iCs/>
              </w:rPr>
              <w:t>Proposal 16: 6GR can study the feasibility of TDD NTN taking into account spectrum efficiency.</w:t>
            </w:r>
          </w:p>
          <w:p w14:paraId="557E009A">
            <w:pPr>
              <w:pStyle w:val="19"/>
              <w:widowControl w:val="0"/>
              <w:autoSpaceDE w:val="0"/>
              <w:autoSpaceDN w:val="0"/>
              <w:spacing w:afterLines="50"/>
              <w:jc w:val="both"/>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5DEA060F">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75F75FC9">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2E22A944">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02C46A4D">
            <w:pPr>
              <w:pStyle w:val="19"/>
              <w:widowControl w:val="0"/>
              <w:autoSpaceDE w:val="0"/>
              <w:autoSpaceDN w:val="0"/>
              <w:spacing w:afterLines="50"/>
              <w:jc w:val="both"/>
              <w:rPr>
                <w:b/>
                <w:i/>
              </w:rPr>
            </w:pPr>
            <w:r>
              <w:rPr>
                <w:b/>
                <w:i/>
              </w:rPr>
              <w:t>Observation 3: Comparing with semi-static SBFD, dynamic SBFD observe additional inter-cell intra-subband CLI for both UE-to-UE and gNB-to-gNB.</w:t>
            </w:r>
          </w:p>
          <w:p w14:paraId="442EC239">
            <w:pPr>
              <w:pStyle w:val="19"/>
              <w:widowControl w:val="0"/>
              <w:autoSpaceDE w:val="0"/>
              <w:autoSpaceDN w:val="0"/>
              <w:spacing w:afterLines="50"/>
              <w:jc w:val="both"/>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pPr>
              <w:pStyle w:val="19"/>
              <w:widowControl w:val="0"/>
              <w:autoSpaceDE w:val="0"/>
              <w:autoSpaceDN w:val="0"/>
              <w:spacing w:afterLines="50"/>
              <w:jc w:val="both"/>
              <w:rPr>
                <w:b/>
                <w:i/>
              </w:rPr>
            </w:pPr>
            <w:r>
              <w:rPr>
                <w:b/>
                <w:i/>
              </w:rPr>
              <w:t>Observation 5: For dense urban scenario with RU 10%~30%, comparing to semi-static SBFD, dynamic SBFD can bring about 14% performance gain for DL UPT and 43% performance gain for UL UPT.</w:t>
            </w:r>
          </w:p>
          <w:p w14:paraId="67DB2A1F">
            <w:pPr>
              <w:pStyle w:val="19"/>
              <w:widowControl w:val="0"/>
              <w:autoSpaceDE w:val="0"/>
              <w:autoSpaceDN w:val="0"/>
              <w:spacing w:afterLines="50"/>
              <w:jc w:val="both"/>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5DEBE0A5">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Necessity, feasibility, commercial potentials, implementation complexity and performance</w:t>
            </w:r>
          </w:p>
          <w:p w14:paraId="3D15FDAC">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Unified design for dynamic TDD and dynamic SBFD</w:t>
            </w:r>
          </w:p>
          <w:p w14:paraId="0FB18043">
            <w:pPr>
              <w:pStyle w:val="19"/>
              <w:widowControl w:val="0"/>
              <w:autoSpaceDE w:val="0"/>
              <w:autoSpaceDN w:val="0"/>
              <w:spacing w:afterLines="50"/>
              <w:jc w:val="both"/>
              <w:rPr>
                <w:b/>
                <w:i/>
              </w:rPr>
            </w:pPr>
            <w:r>
              <w:rPr>
                <w:b/>
                <w:i/>
              </w:rPr>
              <w:t xml:space="preserve">Observation 6: For UE-side SBFD, to ensure that UE receiver front end is not saturated and sufficient downlink SINR for data decoding, </w:t>
            </w:r>
          </w:p>
          <w:p w14:paraId="27923679">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F409946">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5C44D9AF">
            <w:pPr>
              <w:pStyle w:val="19"/>
              <w:widowControl w:val="0"/>
              <w:autoSpaceDE w:val="0"/>
              <w:autoSpaceDN w:val="0"/>
              <w:spacing w:afterLines="50"/>
              <w:jc w:val="both"/>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pPr>
              <w:pStyle w:val="19"/>
              <w:widowControl w:val="0"/>
              <w:autoSpaceDE w:val="0"/>
              <w:autoSpaceDN w:val="0"/>
              <w:spacing w:afterLines="50"/>
              <w:jc w:val="both"/>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76A56B2A">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Target 1: To make sure that the UE receiver front end is not saturated.</w:t>
            </w:r>
          </w:p>
          <w:p w14:paraId="10DD54F7">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Target 2: To make sure that the SINR for the downlink signal is enough for data decoding.</w:t>
            </w:r>
          </w:p>
        </w:tc>
      </w:tr>
      <w:tr w14:paraId="4348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C34C733">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14:paraId="5D49859B">
            <w:pPr>
              <w:widowControl w:val="0"/>
              <w:autoSpaceDE w:val="0"/>
              <w:autoSpaceDN w:val="0"/>
              <w:spacing w:afterLines="50"/>
              <w:jc w:val="both"/>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5AB076A7">
            <w:pPr>
              <w:widowControl w:val="0"/>
              <w:autoSpaceDE w:val="0"/>
              <w:autoSpaceDN w:val="0"/>
              <w:spacing w:afterLines="50"/>
              <w:jc w:val="both"/>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202236A8">
            <w:pPr>
              <w:widowControl w:val="0"/>
              <w:autoSpaceDE w:val="0"/>
              <w:autoSpaceDN w:val="0"/>
              <w:spacing w:afterLines="50"/>
              <w:jc w:val="both"/>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5B97815B">
            <w:pPr>
              <w:widowControl w:val="0"/>
              <w:autoSpaceDE w:val="0"/>
              <w:autoSpaceDN w:val="0"/>
              <w:spacing w:afterLines="50"/>
              <w:jc w:val="both"/>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5E4A64FC">
            <w:pPr>
              <w:widowControl w:val="0"/>
              <w:autoSpaceDE w:val="0"/>
              <w:autoSpaceDN w:val="0"/>
              <w:spacing w:afterLines="50"/>
              <w:jc w:val="both"/>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1FCAD488">
            <w:pPr>
              <w:widowControl w:val="0"/>
              <w:autoSpaceDE w:val="0"/>
              <w:autoSpaceDN w:val="0"/>
              <w:spacing w:afterLines="50"/>
              <w:jc w:val="both"/>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14:paraId="1EA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33C02B2">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14:paraId="1BB7A40F">
            <w:pPr>
              <w:widowControl w:val="0"/>
              <w:autoSpaceDE w:val="0"/>
              <w:autoSpaceDN w:val="0"/>
              <w:spacing w:afterLines="50"/>
              <w:jc w:val="both"/>
              <w:rPr>
                <w:b/>
                <w:sz w:val="20"/>
                <w:szCs w:val="20"/>
                <w:lang w:eastAsia="ja-JP"/>
              </w:rPr>
            </w:pPr>
            <w:r>
              <w:rPr>
                <w:b/>
                <w:sz w:val="20"/>
                <w:szCs w:val="20"/>
                <w:lang w:eastAsia="ja-JP"/>
              </w:rPr>
              <w:t>Proposal 7. For 6GR duplexing study, RAN1 prioritizes semi-static TDD, FD-FDD, HD-FDD, gNB semi-static SBFD and dynamic TDD.</w:t>
            </w:r>
          </w:p>
          <w:p w14:paraId="6F1D8559">
            <w:pPr>
              <w:pStyle w:val="63"/>
              <w:widowControl w:val="0"/>
              <w:numPr>
                <w:ilvl w:val="0"/>
                <w:numId w:val="67"/>
              </w:numPr>
              <w:autoSpaceDE w:val="0"/>
              <w:autoSpaceDN w:val="0"/>
              <w:spacing w:afterLines="50"/>
              <w:jc w:val="both"/>
              <w:rPr>
                <w:b/>
                <w:sz w:val="20"/>
                <w:szCs w:val="20"/>
                <w:lang w:eastAsia="ja-JP"/>
              </w:rPr>
            </w:pPr>
            <w:r>
              <w:rPr>
                <w:b/>
                <w:sz w:val="20"/>
                <w:szCs w:val="20"/>
                <w:lang w:eastAsia="ja-JP"/>
              </w:rPr>
              <w:t>6GR frame structure design should support future advanced duplex schemes.</w:t>
            </w:r>
          </w:p>
          <w:p w14:paraId="0CD1DEE3">
            <w:pPr>
              <w:widowControl w:val="0"/>
              <w:autoSpaceDE w:val="0"/>
              <w:autoSpaceDN w:val="0"/>
              <w:spacing w:afterLines="50"/>
              <w:jc w:val="both"/>
              <w:rPr>
                <w:rFonts w:eastAsiaTheme="minorEastAsia"/>
                <w:b/>
                <w:sz w:val="20"/>
                <w:szCs w:val="20"/>
              </w:rPr>
            </w:pPr>
            <w:r>
              <w:rPr>
                <w:b/>
                <w:sz w:val="20"/>
                <w:szCs w:val="20"/>
                <w:lang w:eastAsia="ja-JP"/>
              </w:rPr>
              <w:t>Proposal 8. In 6GR, only one of dynamic TDD and network side semi-static SBFD are supported at the same time in a cell.</w:t>
            </w:r>
          </w:p>
          <w:p w14:paraId="74B90C66">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7A1D92AD">
            <w:pPr>
              <w:widowControl w:val="0"/>
              <w:autoSpaceDE w:val="0"/>
              <w:autoSpaceDN w:val="0"/>
              <w:spacing w:afterLines="50"/>
              <w:jc w:val="both"/>
              <w:rPr>
                <w:rFonts w:eastAsiaTheme="minorEastAsia"/>
                <w:b/>
                <w:sz w:val="20"/>
                <w:szCs w:val="20"/>
              </w:rPr>
            </w:pPr>
            <w:r>
              <w:rPr>
                <w:rFonts w:eastAsiaTheme="minorEastAsia"/>
                <w:b/>
                <w:sz w:val="20"/>
                <w:szCs w:val="20"/>
              </w:rPr>
              <w:t>Proposal 10. In 6GR, a single TDD pattern is configured.</w:t>
            </w:r>
          </w:p>
          <w:p w14:paraId="5B90DDB9">
            <w:pPr>
              <w:pStyle w:val="63"/>
              <w:widowControl w:val="0"/>
              <w:numPr>
                <w:ilvl w:val="0"/>
                <w:numId w:val="67"/>
              </w:numPr>
              <w:autoSpaceDE w:val="0"/>
              <w:autoSpaceDN w:val="0"/>
              <w:spacing w:afterLines="50"/>
              <w:jc w:val="both"/>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5F96EB2E">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3BC92FE8">
            <w:pPr>
              <w:pStyle w:val="63"/>
              <w:widowControl w:val="0"/>
              <w:numPr>
                <w:ilvl w:val="0"/>
                <w:numId w:val="67"/>
              </w:numPr>
              <w:autoSpaceDE w:val="0"/>
              <w:autoSpaceDN w:val="0"/>
              <w:spacing w:afterLines="50"/>
              <w:jc w:val="both"/>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303FBC36">
            <w:pPr>
              <w:pStyle w:val="63"/>
              <w:widowControl w:val="0"/>
              <w:numPr>
                <w:ilvl w:val="0"/>
                <w:numId w:val="67"/>
              </w:numPr>
              <w:autoSpaceDE w:val="0"/>
              <w:autoSpaceDN w:val="0"/>
              <w:spacing w:afterLines="50"/>
              <w:jc w:val="both"/>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pPr>
              <w:widowControl w:val="0"/>
              <w:autoSpaceDE w:val="0"/>
              <w:autoSpaceDN w:val="0"/>
              <w:spacing w:afterLines="50"/>
              <w:jc w:val="both"/>
              <w:rPr>
                <w:rFonts w:eastAsiaTheme="minorEastAsia"/>
                <w:b/>
                <w:sz w:val="20"/>
                <w:szCs w:val="20"/>
              </w:rPr>
            </w:pPr>
            <w:r>
              <w:rPr>
                <w:rFonts w:eastAsiaTheme="minorEastAsia"/>
                <w:b/>
                <w:sz w:val="20"/>
                <w:szCs w:val="20"/>
              </w:rPr>
              <w:t>Proposal 12. In 6GR, simplified version of dynamic TDD is supported in the first release</w:t>
            </w:r>
          </w:p>
          <w:p w14:paraId="3F70B908">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No dynamic SFI transmission and monitoring.</w:t>
            </w:r>
          </w:p>
          <w:p w14:paraId="62774737">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For flexible symbol ‘X’ configured by RRC, UE will simply follow dynamic grants to either transmit or receive.</w:t>
            </w:r>
          </w:p>
          <w:p w14:paraId="14F3E49F">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6B9660DB">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030E9B23">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Link direction is determined by dynamic grants with a maximum of one DL-UL switching point within set of X symbols.</w:t>
            </w:r>
          </w:p>
          <w:p w14:paraId="62623EA4">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6E0A0ADF">
            <w:pPr>
              <w:widowControl w:val="0"/>
              <w:autoSpaceDE w:val="0"/>
              <w:autoSpaceDN w:val="0"/>
              <w:spacing w:afterLines="50"/>
              <w:jc w:val="both"/>
              <w:rPr>
                <w:rFonts w:eastAsiaTheme="minorEastAsia"/>
                <w:b/>
                <w:sz w:val="20"/>
                <w:szCs w:val="20"/>
              </w:rPr>
            </w:pPr>
            <w:r>
              <w:rPr>
                <w:rFonts w:eastAsiaTheme="minorEastAsia"/>
                <w:b/>
                <w:sz w:val="20"/>
                <w:szCs w:val="20"/>
              </w:rPr>
              <w:t>Proposal 14. In 6GR, strive to simplify and unify collision handling rules.</w:t>
            </w:r>
          </w:p>
          <w:p w14:paraId="124FF012">
            <w:pPr>
              <w:widowControl w:val="0"/>
              <w:autoSpaceDE w:val="0"/>
              <w:autoSpaceDN w:val="0"/>
              <w:spacing w:afterLines="50"/>
              <w:jc w:val="both"/>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1FB99B1D">
            <w:pPr>
              <w:widowControl w:val="0"/>
              <w:autoSpaceDE w:val="0"/>
              <w:autoSpaceDN w:val="0"/>
              <w:spacing w:afterLines="50"/>
              <w:jc w:val="both"/>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604052A2">
            <w:pPr>
              <w:widowControl w:val="0"/>
              <w:autoSpaceDE w:val="0"/>
              <w:autoSpaceDN w:val="0"/>
              <w:spacing w:afterLines="50"/>
              <w:jc w:val="both"/>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14:paraId="0D7E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C71DFE0">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14:paraId="28146D7C">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#1.</w:t>
            </w:r>
            <w:r>
              <w:rPr>
                <w:rFonts w:cs="Times New Roman"/>
                <w:b/>
                <w:bCs/>
                <w:lang w:val="en-US"/>
              </w:rPr>
              <w:tab/>
            </w:r>
            <w:r>
              <w:rPr>
                <w:rFonts w:cs="Times New Roman"/>
                <w:b/>
                <w:bCs/>
                <w:lang w:val="en-US"/>
              </w:rPr>
              <w:t xml:space="preserve">FD-FDD, semi-static TDD, and HD-FDD on UE side, have been widely commercialized over decades. </w:t>
            </w:r>
          </w:p>
          <w:p w14:paraId="32B8F621">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#2.</w:t>
            </w:r>
            <w:r>
              <w:rPr>
                <w:rFonts w:cs="Times New Roman"/>
                <w:b/>
                <w:bCs/>
                <w:lang w:val="en-US"/>
              </w:rPr>
              <w:tab/>
            </w:r>
            <w:r>
              <w:rPr>
                <w:rFonts w:cs="Times New Roman"/>
                <w:b/>
                <w:bCs/>
                <w:lang w:val="en-US"/>
              </w:rPr>
              <w:t>In Rel-18 and Rel-19, semi-static SBFD operation has been extensively evaluated in RAN1 and its feasibility and requirements have been concluded in RAN4.</w:t>
            </w:r>
          </w:p>
          <w:p w14:paraId="7CC71FC9">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#3.</w:t>
            </w:r>
            <w:r>
              <w:rPr>
                <w:rFonts w:cs="Times New Roman"/>
                <w:b/>
                <w:bCs/>
                <w:lang w:val="en-US"/>
              </w:rPr>
              <w:tab/>
            </w:r>
            <w:r>
              <w:rPr>
                <w:rFonts w:cs="Times New Roman"/>
                <w:b/>
                <w:bCs/>
                <w:lang w:val="en-US"/>
              </w:rPr>
              <w:t>TR38.828 also concludes that dynamic TDD is not practically deployable in Macro scenarios.</w:t>
            </w:r>
          </w:p>
          <w:p w14:paraId="7E1B4D03">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#4.</w:t>
            </w:r>
            <w:r>
              <w:rPr>
                <w:rFonts w:cs="Times New Roman"/>
                <w:b/>
                <w:bCs/>
                <w:lang w:val="en-US"/>
              </w:rPr>
              <w:tab/>
            </w:r>
            <w:r>
              <w:rPr>
                <w:rFonts w:cs="Times New Roman"/>
                <w:b/>
                <w:bCs/>
                <w:lang w:val="en-US"/>
              </w:rPr>
              <w:t xml:space="preserve">Advanced schemes, such as dynamic SBFD, UE-side SBFD, and sNB-FD require more careful study in both RAN1 and RAN4 in terms of complexity, feasibility, and potential gains. </w:t>
            </w:r>
          </w:p>
          <w:p w14:paraId="37A69A6C">
            <w:pPr>
              <w:pStyle w:val="130"/>
              <w:widowControl w:val="0"/>
              <w:autoSpaceDE w:val="0"/>
              <w:autoSpaceDN w:val="0"/>
              <w:adjustRightInd w:val="0"/>
              <w:snapToGrid w:val="0"/>
              <w:spacing w:before="0" w:after="120" w:afterLines="50" w:line="240" w:lineRule="auto"/>
              <w:ind w:firstLine="0" w:firstLineChars="0"/>
              <w:rPr>
                <w:rFonts w:cs="Times New Roman"/>
                <w:b/>
                <w:bCs/>
                <w:u w:val="single"/>
                <w:lang w:val="en-US"/>
              </w:rPr>
            </w:pPr>
            <w:r>
              <w:rPr>
                <w:rFonts w:cs="Times New Roman"/>
                <w:b/>
                <w:bCs/>
                <w:lang w:val="en-US"/>
              </w:rPr>
              <w:t>Proposal #1.</w:t>
            </w:r>
            <w:r>
              <w:rPr>
                <w:rFonts w:cs="Times New Roman"/>
                <w:b/>
                <w:bCs/>
                <w:lang w:val="en-US"/>
              </w:rPr>
              <w:tab/>
            </w:r>
            <w:r>
              <w:rPr>
                <w:rFonts w:cs="Times New Roman"/>
                <w:b/>
                <w:bCs/>
                <w:lang w:val="en-US"/>
              </w:rPr>
              <w:t>RAN1 prioritizes FD/HD-FDD, semi-static TDD, and semi-static SBFD for 6GR study.</w:t>
            </w:r>
          </w:p>
        </w:tc>
      </w:tr>
      <w:tr w14:paraId="276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4169898">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14:paraId="0DF7D993">
            <w:pPr>
              <w:widowControl w:val="0"/>
              <w:autoSpaceDE w:val="0"/>
              <w:autoSpaceDN w:val="0"/>
              <w:spacing w:afterLines="50"/>
              <w:jc w:val="both"/>
              <w:rPr>
                <w:b/>
                <w:bCs/>
                <w:sz w:val="20"/>
                <w:szCs w:val="20"/>
              </w:rPr>
            </w:pPr>
            <w:r>
              <w:rPr>
                <w:b/>
                <w:bCs/>
                <w:sz w:val="20"/>
                <w:szCs w:val="20"/>
              </w:rPr>
              <w:t>Proposal 1: Paired and unpaired spectrum as baseline in 6GR study.</w:t>
            </w:r>
          </w:p>
          <w:p w14:paraId="78628EC0">
            <w:pPr>
              <w:widowControl w:val="0"/>
              <w:autoSpaceDE w:val="0"/>
              <w:autoSpaceDN w:val="0"/>
              <w:spacing w:afterLines="50"/>
              <w:jc w:val="both"/>
              <w:rPr>
                <w:b/>
                <w:bCs/>
                <w:sz w:val="20"/>
                <w:szCs w:val="20"/>
              </w:rPr>
            </w:pPr>
            <w:r>
              <w:rPr>
                <w:b/>
                <w:bCs/>
                <w:sz w:val="20"/>
                <w:szCs w:val="20"/>
              </w:rPr>
              <w:t>Proposal 2: 6GR study should ensure that both half duplex FDD UEs and full duplex FDD UEs can be operated.</w:t>
            </w:r>
          </w:p>
          <w:p w14:paraId="11E8B4CC">
            <w:pPr>
              <w:widowControl w:val="0"/>
              <w:autoSpaceDE w:val="0"/>
              <w:autoSpaceDN w:val="0"/>
              <w:spacing w:afterLines="50"/>
              <w:jc w:val="both"/>
              <w:rPr>
                <w:rFonts w:eastAsiaTheme="minorEastAsia"/>
                <w:b/>
                <w:bCs/>
                <w:sz w:val="20"/>
                <w:szCs w:val="20"/>
              </w:rPr>
            </w:pPr>
            <w:r>
              <w:rPr>
                <w:b/>
                <w:bCs/>
                <w:sz w:val="20"/>
                <w:szCs w:val="20"/>
              </w:rPr>
              <w:t>Proposal 3: 6GR study should support SBFD as a key candidate technologies for coverage.</w:t>
            </w:r>
          </w:p>
        </w:tc>
      </w:tr>
      <w:tr w14:paraId="3CB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9CBFFF">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14:paraId="5A1585D1">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69A86409">
            <w:pPr>
              <w:widowControl w:val="0"/>
              <w:autoSpaceDE w:val="0"/>
              <w:autoSpaceDN w:val="0"/>
              <w:spacing w:afterLines="50"/>
              <w:jc w:val="both"/>
              <w:rPr>
                <w:b/>
                <w:bCs/>
                <w:i/>
                <w:iCs/>
                <w:sz w:val="20"/>
                <w:szCs w:val="20"/>
              </w:rPr>
            </w:pPr>
            <w:r>
              <w:rPr>
                <w:b/>
                <w:bCs/>
                <w:i/>
                <w:iCs/>
                <w:sz w:val="20"/>
                <w:szCs w:val="20"/>
              </w:rPr>
              <w:t>Proposal 1: Not support of gNB dynamic SBFD, UE SBFD and gNB FD in 6GR day1.</w:t>
            </w:r>
          </w:p>
          <w:p w14:paraId="7C128B27">
            <w:pPr>
              <w:widowControl w:val="0"/>
              <w:autoSpaceDE w:val="0"/>
              <w:autoSpaceDN w:val="0"/>
              <w:spacing w:afterLines="50"/>
              <w:jc w:val="both"/>
              <w:rPr>
                <w:b/>
                <w:bCs/>
                <w:i/>
                <w:iCs/>
                <w:sz w:val="20"/>
                <w:szCs w:val="20"/>
              </w:rPr>
            </w:pPr>
            <w:r>
              <w:rPr>
                <w:b/>
                <w:bCs/>
                <w:i/>
                <w:iCs/>
                <w:sz w:val="20"/>
                <w:szCs w:val="20"/>
              </w:rPr>
              <w:t xml:space="preserve">Proposal 2: For 6GR symbol/slot types, </w:t>
            </w:r>
          </w:p>
          <w:p w14:paraId="6E7147DC">
            <w:pPr>
              <w:pStyle w:val="63"/>
              <w:widowControl w:val="0"/>
              <w:numPr>
                <w:ilvl w:val="0"/>
                <w:numId w:val="70"/>
              </w:numPr>
              <w:autoSpaceDE w:val="0"/>
              <w:autoSpaceDN w:val="0"/>
              <w:spacing w:afterLines="50"/>
              <w:jc w:val="both"/>
              <w:rPr>
                <w:b/>
                <w:bCs/>
                <w:i/>
                <w:iCs/>
                <w:sz w:val="20"/>
                <w:szCs w:val="20"/>
              </w:rPr>
            </w:pPr>
            <w:r>
              <w:rPr>
                <w:b/>
                <w:bCs/>
                <w:i/>
                <w:iCs/>
                <w:sz w:val="20"/>
                <w:szCs w:val="20"/>
              </w:rPr>
              <w:t>Support at least DL, UL and Flexible</w:t>
            </w:r>
          </w:p>
          <w:p w14:paraId="0ADEA3F5">
            <w:pPr>
              <w:pStyle w:val="63"/>
              <w:widowControl w:val="0"/>
              <w:numPr>
                <w:ilvl w:val="0"/>
                <w:numId w:val="70"/>
              </w:numPr>
              <w:autoSpaceDE w:val="0"/>
              <w:autoSpaceDN w:val="0"/>
              <w:spacing w:afterLines="50"/>
              <w:jc w:val="both"/>
              <w:rPr>
                <w:b/>
                <w:bCs/>
                <w:i/>
                <w:iCs/>
                <w:sz w:val="20"/>
                <w:szCs w:val="20"/>
              </w:rPr>
            </w:pPr>
            <w:r>
              <w:rPr>
                <w:b/>
                <w:bCs/>
                <w:i/>
                <w:iCs/>
                <w:sz w:val="20"/>
                <w:szCs w:val="20"/>
              </w:rPr>
              <w:t>Study SBFD symbol as a new symbol type</w:t>
            </w:r>
          </w:p>
          <w:p w14:paraId="1A44AA2D">
            <w:pPr>
              <w:pStyle w:val="63"/>
              <w:widowControl w:val="0"/>
              <w:numPr>
                <w:ilvl w:val="0"/>
                <w:numId w:val="70"/>
              </w:numPr>
              <w:autoSpaceDE w:val="0"/>
              <w:autoSpaceDN w:val="0"/>
              <w:spacing w:afterLines="50"/>
              <w:jc w:val="both"/>
              <w:rPr>
                <w:b/>
                <w:bCs/>
                <w:i/>
                <w:iCs/>
                <w:sz w:val="20"/>
                <w:szCs w:val="20"/>
              </w:rPr>
            </w:pPr>
            <w:r>
              <w:rPr>
                <w:b/>
                <w:bCs/>
                <w:i/>
                <w:iCs/>
                <w:sz w:val="20"/>
                <w:szCs w:val="20"/>
              </w:rPr>
              <w:t>Study Reserved symbols/slots type</w:t>
            </w:r>
          </w:p>
          <w:p w14:paraId="117E7E1E">
            <w:pPr>
              <w:widowControl w:val="0"/>
              <w:autoSpaceDE w:val="0"/>
              <w:autoSpaceDN w:val="0"/>
              <w:spacing w:afterLines="50"/>
              <w:jc w:val="both"/>
              <w:rPr>
                <w:b/>
                <w:bCs/>
                <w:sz w:val="20"/>
                <w:szCs w:val="20"/>
              </w:rPr>
            </w:pPr>
            <w:r>
              <w:rPr>
                <w:b/>
                <w:bCs/>
                <w:i/>
                <w:iCs/>
                <w:sz w:val="20"/>
                <w:szCs w:val="20"/>
              </w:rPr>
              <w:t>Proposal 3: Study finer CLI measurement and handling scheme in 6GR for dynamic TDD if supported.</w:t>
            </w:r>
          </w:p>
        </w:tc>
      </w:tr>
      <w:tr w14:paraId="6FB4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034A79F">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14:paraId="10E77D53">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1BBFA48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2217C4E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185743D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3A561B77">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4686F63">
            <w:pPr>
              <w:pStyle w:val="63"/>
              <w:widowControl w:val="0"/>
              <w:numPr>
                <w:ilvl w:val="0"/>
                <w:numId w:val="65"/>
              </w:numPr>
              <w:autoSpaceDE w:val="0"/>
              <w:autoSpaceDN w:val="0"/>
              <w:spacing w:afterLines="50"/>
              <w:jc w:val="both"/>
              <w:rPr>
                <w:rFonts w:eastAsiaTheme="minorEastAsia"/>
                <w:b/>
                <w:bCs/>
                <w:i/>
                <w:iCs/>
                <w:sz w:val="20"/>
                <w:szCs w:val="20"/>
              </w:rPr>
            </w:pPr>
            <w:r>
              <w:rPr>
                <w:rFonts w:eastAsiaTheme="minorEastAsia"/>
                <w:b/>
                <w:bCs/>
                <w:i/>
                <w:iCs/>
                <w:sz w:val="20"/>
                <w:szCs w:val="20"/>
              </w:rPr>
              <w:t>FDD, HD-FDD on UE side</w:t>
            </w:r>
          </w:p>
          <w:p w14:paraId="0585E390">
            <w:pPr>
              <w:pStyle w:val="63"/>
              <w:widowControl w:val="0"/>
              <w:numPr>
                <w:ilvl w:val="0"/>
                <w:numId w:val="65"/>
              </w:numPr>
              <w:autoSpaceDE w:val="0"/>
              <w:autoSpaceDN w:val="0"/>
              <w:spacing w:afterLines="50"/>
              <w:jc w:val="both"/>
              <w:rPr>
                <w:rFonts w:eastAsiaTheme="minorEastAsia"/>
                <w:b/>
                <w:bCs/>
                <w:i/>
                <w:iCs/>
                <w:sz w:val="20"/>
                <w:szCs w:val="20"/>
              </w:rPr>
            </w:pPr>
            <w:r>
              <w:rPr>
                <w:rFonts w:eastAsiaTheme="minorEastAsia"/>
                <w:b/>
                <w:bCs/>
                <w:i/>
                <w:iCs/>
                <w:sz w:val="20"/>
                <w:szCs w:val="20"/>
              </w:rPr>
              <w:t>Semi-static TDD and semi-static BS SBFD</w:t>
            </w:r>
          </w:p>
          <w:p w14:paraId="7C77C06F">
            <w:pPr>
              <w:pStyle w:val="63"/>
              <w:widowControl w:val="0"/>
              <w:numPr>
                <w:ilvl w:val="0"/>
                <w:numId w:val="65"/>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Dynamic TDD and dynamic BS SBFD </w:t>
            </w:r>
          </w:p>
          <w:p w14:paraId="191E5A36">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C779512">
            <w:pPr>
              <w:pStyle w:val="63"/>
              <w:widowControl w:val="0"/>
              <w:numPr>
                <w:ilvl w:val="0"/>
                <w:numId w:val="65"/>
              </w:numPr>
              <w:autoSpaceDE w:val="0"/>
              <w:autoSpaceDN w:val="0"/>
              <w:spacing w:afterLines="50"/>
              <w:jc w:val="both"/>
              <w:rPr>
                <w:rFonts w:eastAsiaTheme="minorEastAsia"/>
                <w:b/>
                <w:bCs/>
                <w:i/>
                <w:iCs/>
                <w:sz w:val="20"/>
                <w:szCs w:val="20"/>
              </w:rPr>
            </w:pPr>
            <w:r>
              <w:rPr>
                <w:rFonts w:eastAsiaTheme="minorEastAsia"/>
                <w:b/>
                <w:bCs/>
                <w:i/>
                <w:iCs/>
                <w:sz w:val="20"/>
                <w:szCs w:val="20"/>
              </w:rPr>
              <w:t>UE-side SBFD</w:t>
            </w:r>
          </w:p>
          <w:p w14:paraId="5F0F797E">
            <w:pPr>
              <w:pStyle w:val="63"/>
              <w:widowControl w:val="0"/>
              <w:numPr>
                <w:ilvl w:val="0"/>
                <w:numId w:val="74"/>
              </w:numPr>
              <w:autoSpaceDE w:val="0"/>
              <w:autoSpaceDN w:val="0"/>
              <w:spacing w:afterLines="50"/>
              <w:jc w:val="both"/>
              <w:rPr>
                <w:rFonts w:eastAsiaTheme="minorEastAsia"/>
                <w:b/>
                <w:bCs/>
                <w:i/>
                <w:iCs/>
                <w:sz w:val="20"/>
                <w:szCs w:val="20"/>
              </w:rPr>
            </w:pPr>
            <w:r>
              <w:rPr>
                <w:rFonts w:eastAsiaTheme="minorEastAsia"/>
                <w:b/>
                <w:bCs/>
                <w:i/>
                <w:iCs/>
                <w:sz w:val="20"/>
                <w:szCs w:val="20"/>
              </w:rPr>
              <w:tab/>
            </w:r>
            <w:r>
              <w:rPr>
                <w:rFonts w:eastAsiaTheme="minorEastAsia"/>
                <w:b/>
                <w:bCs/>
                <w:i/>
                <w:iCs/>
                <w:sz w:val="20"/>
                <w:szCs w:val="20"/>
              </w:rPr>
              <w:t>BS-side fully overlapping full duplex (FD)</w:t>
            </w:r>
          </w:p>
        </w:tc>
      </w:tr>
      <w:tr w14:paraId="2F5A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E7B498D">
            <w:pPr>
              <w:widowControl w:val="0"/>
              <w:autoSpaceDE w:val="0"/>
              <w:autoSpaceDN w:val="0"/>
              <w:spacing w:afterLines="50"/>
              <w:jc w:val="both"/>
              <w:rPr>
                <w:rFonts w:eastAsiaTheme="minorEastAsia"/>
                <w:iCs/>
                <w:sz w:val="20"/>
                <w:szCs w:val="20"/>
              </w:rPr>
            </w:pPr>
            <w:r>
              <w:rPr>
                <w:rFonts w:eastAsiaTheme="minorEastAsia"/>
                <w:iCs/>
                <w:sz w:val="20"/>
                <w:szCs w:val="20"/>
              </w:rPr>
              <w:t>WILUS</w:t>
            </w:r>
          </w:p>
        </w:tc>
        <w:tc>
          <w:tcPr>
            <w:tcW w:w="3829" w:type="pct"/>
          </w:tcPr>
          <w:p w14:paraId="0785EE8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5856D79">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14:paraId="2F0B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A3AC614">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14:paraId="745B6ADD">
            <w:pPr>
              <w:widowControl w:val="0"/>
              <w:overflowPunct w:val="0"/>
              <w:autoSpaceDE w:val="0"/>
              <w:autoSpaceDN w:val="0"/>
              <w:spacing w:afterLines="50"/>
              <w:jc w:val="both"/>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4BCDBE56">
            <w:pPr>
              <w:widowControl w:val="0"/>
              <w:numPr>
                <w:ilvl w:val="0"/>
                <w:numId w:val="75"/>
              </w:numPr>
              <w:overflowPunct w:val="0"/>
              <w:autoSpaceDE w:val="0"/>
              <w:autoSpaceDN w:val="0"/>
              <w:spacing w:afterLines="50"/>
              <w:jc w:val="both"/>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14:paraId="7853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FC77CC8">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14:paraId="2D381DDB">
            <w:pPr>
              <w:widowControl w:val="0"/>
              <w:autoSpaceDE w:val="0"/>
              <w:autoSpaceDN w:val="0"/>
              <w:spacing w:afterLines="50"/>
              <w:jc w:val="both"/>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7369441">
            <w:pPr>
              <w:widowControl w:val="0"/>
              <w:autoSpaceDE w:val="0"/>
              <w:autoSpaceDN w:val="0"/>
              <w:spacing w:afterLines="50"/>
              <w:jc w:val="both"/>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6DD2AD65">
            <w:pPr>
              <w:widowControl w:val="0"/>
              <w:autoSpaceDE w:val="0"/>
              <w:autoSpaceDN w:val="0"/>
              <w:spacing w:afterLines="50"/>
              <w:jc w:val="both"/>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652E185">
            <w:pPr>
              <w:widowControl w:val="0"/>
              <w:numPr>
                <w:ilvl w:val="0"/>
                <w:numId w:val="76"/>
              </w:numPr>
              <w:autoSpaceDE w:val="0"/>
              <w:autoSpaceDN w:val="0"/>
              <w:spacing w:afterLines="50"/>
              <w:jc w:val="both"/>
              <w:rPr>
                <w:i/>
                <w:sz w:val="20"/>
                <w:szCs w:val="20"/>
                <w:lang w:val="en-GB" w:eastAsia="en-US"/>
              </w:rPr>
            </w:pPr>
            <w:r>
              <w:rPr>
                <w:i/>
                <w:sz w:val="20"/>
                <w:szCs w:val="20"/>
                <w:lang w:val="en-GB" w:eastAsia="en-US"/>
              </w:rPr>
              <w:t>Subband based frame structure configuration</w:t>
            </w:r>
          </w:p>
          <w:p w14:paraId="230B01DD">
            <w:pPr>
              <w:widowControl w:val="0"/>
              <w:numPr>
                <w:ilvl w:val="0"/>
                <w:numId w:val="76"/>
              </w:numPr>
              <w:autoSpaceDE w:val="0"/>
              <w:autoSpaceDN w:val="0"/>
              <w:spacing w:afterLines="50"/>
              <w:jc w:val="both"/>
              <w:rPr>
                <w:sz w:val="20"/>
                <w:szCs w:val="20"/>
                <w:lang w:val="en-GB"/>
              </w:rPr>
            </w:pPr>
            <w:r>
              <w:rPr>
                <w:i/>
                <w:sz w:val="20"/>
                <w:szCs w:val="20"/>
                <w:lang w:val="en-GB" w:eastAsia="en-US"/>
              </w:rPr>
              <w:t xml:space="preserve">A new symbol type for SBFD </w:t>
            </w:r>
          </w:p>
        </w:tc>
      </w:tr>
    </w:tbl>
    <w:p w14:paraId="50D57735">
      <w:pPr>
        <w:spacing w:before="120"/>
        <w:rPr>
          <w:rFonts w:eastAsia="等线"/>
        </w:rPr>
      </w:pPr>
    </w:p>
    <w:p w14:paraId="284B1E26">
      <w:pPr>
        <w:pStyle w:val="3"/>
        <w:spacing w:after="120"/>
        <w:rPr>
          <w:rFonts w:eastAsia="等线"/>
        </w:rPr>
      </w:pPr>
      <w:r>
        <w:rPr>
          <w:rFonts w:hint="eastAsia" w:eastAsia="等线"/>
        </w:rPr>
        <w:t>Discussion</w:t>
      </w:r>
    </w:p>
    <w:p w14:paraId="055375F1">
      <w:pPr>
        <w:rPr>
          <w:rFonts w:eastAsia="等线"/>
        </w:rPr>
      </w:pPr>
      <w:r>
        <w:rPr>
          <w:rFonts w:hint="eastAsia" w:eastAsiaTheme="minorEastAsia"/>
        </w:rPr>
        <w:t>Th</w:t>
      </w:r>
      <w:r>
        <w:t xml:space="preserve">e following agreements </w:t>
      </w:r>
      <w:r>
        <w:rPr>
          <w:rFonts w:hint="eastAsia" w:eastAsiaTheme="minorEastAsia"/>
        </w:rPr>
        <w:t xml:space="preserve">was made in </w:t>
      </w:r>
      <w:r>
        <w:t>RAN1#122</w:t>
      </w:r>
      <w:r>
        <w:rPr>
          <w:rFonts w:hint="eastAsia" w:eastAsiaTheme="minorEastAsia"/>
        </w:rPr>
        <w:t xml:space="preserve"> </w:t>
      </w:r>
      <w:r>
        <w:t>regarding duplex modes for 6GR:</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34A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6DE03F24">
            <w:pPr>
              <w:widowControl w:val="0"/>
              <w:autoSpaceDE w:val="0"/>
              <w:autoSpaceDN w:val="0"/>
              <w:jc w:val="both"/>
              <w:rPr>
                <w:rFonts w:eastAsia="等线"/>
                <w:highlight w:val="green"/>
              </w:rPr>
            </w:pPr>
            <w:r>
              <w:rPr>
                <w:rFonts w:hint="eastAsia" w:eastAsia="等线"/>
                <w:highlight w:val="green"/>
              </w:rPr>
              <w:t>Agreement</w:t>
            </w:r>
          </w:p>
          <w:p w14:paraId="4EE348CE">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hint="eastAsia" w:eastAsia="等线"/>
                <w:sz w:val="21"/>
                <w:szCs w:val="21"/>
              </w:rPr>
              <w:t xml:space="preserve"> </w:t>
            </w:r>
            <w:r>
              <w:rPr>
                <w:rFonts w:hint="eastAsia"/>
                <w:sz w:val="21"/>
                <w:szCs w:val="21"/>
              </w:rPr>
              <w:t>duplex modes</w:t>
            </w:r>
          </w:p>
          <w:p w14:paraId="006CE314">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On 6GR duplexing study, RAN1 considers at least following duplex types</w:t>
            </w:r>
          </w:p>
          <w:p w14:paraId="6C501A61">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FD-FDD</w:t>
            </w:r>
          </w:p>
          <w:p w14:paraId="5810EA35">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Semi-static TDD</w:t>
            </w:r>
          </w:p>
          <w:p w14:paraId="1BF5D915">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semi-static SBFD</w:t>
            </w:r>
          </w:p>
          <w:p w14:paraId="4195CEB3">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HD-FDD</w:t>
            </w:r>
            <w:r>
              <w:rPr>
                <w:rFonts w:hint="eastAsia"/>
                <w:sz w:val="21"/>
                <w:szCs w:val="21"/>
              </w:rPr>
              <w:t xml:space="preserve"> on UE side</w:t>
            </w:r>
          </w:p>
          <w:p w14:paraId="2B277B3A">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Dynamic TDD</w:t>
            </w:r>
          </w:p>
          <w:p w14:paraId="24AF1D83">
            <w:pPr>
              <w:pStyle w:val="63"/>
              <w:widowControl w:val="0"/>
              <w:numPr>
                <w:ilvl w:val="0"/>
                <w:numId w:val="8"/>
              </w:numPr>
              <w:autoSpaceDE/>
              <w:autoSpaceDN/>
              <w:adjustRightInd/>
              <w:snapToGrid/>
              <w:spacing w:after="0" w:line="252" w:lineRule="auto"/>
              <w:contextualSpacing/>
              <w:jc w:val="both"/>
              <w:rPr>
                <w:sz w:val="21"/>
                <w:szCs w:val="21"/>
              </w:rPr>
            </w:pPr>
            <w:r>
              <w:rPr>
                <w:rFonts w:eastAsia="等线"/>
                <w:sz w:val="21"/>
                <w:szCs w:val="21"/>
              </w:rPr>
              <w:t>S</w:t>
            </w:r>
            <w:r>
              <w:rPr>
                <w:rFonts w:hint="eastAsia" w:eastAsia="等线"/>
                <w:sz w:val="21"/>
                <w:szCs w:val="21"/>
              </w:rPr>
              <w:t>tudy</w:t>
            </w:r>
            <w:r>
              <w:rPr>
                <w:rFonts w:hint="eastAsia"/>
                <w:sz w:val="21"/>
                <w:szCs w:val="21"/>
              </w:rPr>
              <w:t xml:space="preserve"> whether to consider following duplexing types</w:t>
            </w:r>
          </w:p>
          <w:p w14:paraId="6D0C0254">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dynamic SBFD</w:t>
            </w:r>
          </w:p>
          <w:p w14:paraId="00C24542">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UE SBFD</w:t>
            </w:r>
          </w:p>
          <w:p w14:paraId="37E7A874">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FD</w:t>
            </w:r>
          </w:p>
          <w:p w14:paraId="4D363BD0">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Note: Other duplex modes are not precluded</w:t>
            </w:r>
          </w:p>
        </w:tc>
      </w:tr>
    </w:tbl>
    <w:p w14:paraId="32A1F214">
      <w:pPr>
        <w:rPr>
          <w:rFonts w:eastAsia="等线"/>
        </w:rPr>
      </w:pPr>
    </w:p>
    <w:p w14:paraId="76CE9941">
      <w:pPr>
        <w:rPr>
          <w:rFonts w:eastAsia="等线"/>
        </w:rPr>
      </w:pPr>
      <w:r>
        <w:rPr>
          <w:rFonts w:hint="eastAsia" w:eastAsia="等线"/>
        </w:rPr>
        <w:t xml:space="preserve">On dynamic TDD, 20 </w:t>
      </w:r>
      <w:r>
        <w:rPr>
          <w:rFonts w:eastAsia="等线"/>
        </w:rPr>
        <w:t>companies</w:t>
      </w:r>
      <w:r>
        <w:rPr>
          <w:rFonts w:hint="eastAsia" w:eastAsia="等线"/>
        </w:rPr>
        <w:t xml:space="preserve"> are </w:t>
      </w:r>
      <w:r>
        <w:rPr>
          <w:rFonts w:eastAsia="等线"/>
        </w:rPr>
        <w:t>supportive</w:t>
      </w:r>
      <w:r>
        <w:rPr>
          <w:rFonts w:hint="eastAsia" w:eastAsia="等线"/>
        </w:rPr>
        <w:t xml:space="preserve"> while 4 companies </w:t>
      </w:r>
      <w:r>
        <w:rPr>
          <w:rFonts w:eastAsia="等线"/>
        </w:rPr>
        <w:t>have</w:t>
      </w:r>
      <w:r>
        <w:rPr>
          <w:rFonts w:hint="eastAsia" w:eastAsia="等线"/>
        </w:rPr>
        <w:t xml:space="preserve"> some </w:t>
      </w:r>
      <w:r>
        <w:rPr>
          <w:rFonts w:eastAsia="等线"/>
        </w:rPr>
        <w:t>concern</w:t>
      </w:r>
      <w:r>
        <w:rPr>
          <w:rFonts w:hint="eastAsia" w:eastAsia="等线"/>
        </w:rPr>
        <w:t xml:space="preserve">. </w:t>
      </w:r>
    </w:p>
    <w:p w14:paraId="09D0CAAD">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#1</w:t>
      </w:r>
      <w:r>
        <w:rPr>
          <w:rFonts w:eastAsia="等线" w:cs="Times"/>
          <w:b/>
          <w:bCs/>
          <w:iCs/>
          <w:szCs w:val="20"/>
        </w:rPr>
        <w:t>:</w:t>
      </w:r>
      <w:r>
        <w:rPr>
          <w:rFonts w:hint="eastAsia" w:eastAsia="等线" w:cs="Times"/>
          <w:b/>
          <w:iCs/>
          <w:szCs w:val="20"/>
        </w:rPr>
        <w:t xml:space="preserve"> D</w:t>
      </w:r>
      <w:r>
        <w:rPr>
          <w:rFonts w:eastAsia="等线" w:cs="Times"/>
          <w:b/>
          <w:iCs/>
          <w:szCs w:val="20"/>
        </w:rPr>
        <w:t>ynamic TDD</w:t>
      </w:r>
    </w:p>
    <w:p w14:paraId="29FC076C">
      <w:pPr>
        <w:pStyle w:val="63"/>
        <w:numPr>
          <w:ilvl w:val="0"/>
          <w:numId w:val="77"/>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44B57308">
      <w:pPr>
        <w:pStyle w:val="63"/>
        <w:numPr>
          <w:ilvl w:val="1"/>
          <w:numId w:val="77"/>
        </w:numPr>
        <w:autoSpaceDE w:val="0"/>
        <w:autoSpaceDN w:val="0"/>
        <w:spacing w:after="0"/>
        <w:jc w:val="both"/>
        <w:rPr>
          <w:rFonts w:eastAsiaTheme="minorEastAsia"/>
          <w:bCs/>
          <w:i/>
          <w:szCs w:val="20"/>
        </w:rPr>
      </w:pPr>
      <w:r>
        <w:rPr>
          <w:rFonts w:hint="eastAsia" w:eastAsia="等线"/>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000AC79C">
      <w:pPr>
        <w:pStyle w:val="63"/>
        <w:numPr>
          <w:ilvl w:val="2"/>
          <w:numId w:val="77"/>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5D6B6810">
      <w:pPr>
        <w:pStyle w:val="63"/>
        <w:numPr>
          <w:ilvl w:val="2"/>
          <w:numId w:val="77"/>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r>
        <w:rPr>
          <w:rFonts w:eastAsia="等线"/>
          <w:bCs/>
          <w:i/>
        </w:rPr>
        <w:t>Ofinno</w:t>
      </w:r>
      <w:r>
        <w:rPr>
          <w:bCs/>
          <w:i/>
          <w:lang w:val="fr-BE"/>
        </w:rPr>
        <w:t>, InterDigital, MTK, Qualcomm</w:t>
      </w:r>
    </w:p>
    <w:p w14:paraId="7C8404E0">
      <w:pPr>
        <w:pStyle w:val="63"/>
        <w:numPr>
          <w:ilvl w:val="1"/>
          <w:numId w:val="77"/>
        </w:numPr>
        <w:overflowPunct w:val="0"/>
        <w:autoSpaceDE w:val="0"/>
        <w:autoSpaceDN w:val="0"/>
        <w:spacing w:after="0"/>
        <w:ind w:hanging="442"/>
        <w:jc w:val="both"/>
        <w:textAlignment w:val="baseline"/>
        <w:rPr>
          <w:rFonts w:eastAsia="等线"/>
          <w:iCs/>
        </w:rPr>
      </w:pPr>
      <w:r>
        <w:rPr>
          <w:rFonts w:hint="eastAsia" w:eastAsia="等线"/>
          <w:b/>
          <w:iCs/>
        </w:rPr>
        <w:t xml:space="preserve">Direction </w:t>
      </w:r>
      <w:r>
        <w:rPr>
          <w:rFonts w:eastAsia="等线"/>
          <w:b/>
          <w:iCs/>
        </w:rPr>
        <w:t xml:space="preserve">#2: </w:t>
      </w:r>
      <w:r>
        <w:rPr>
          <w:rFonts w:eastAsia="等线"/>
          <w:iCs/>
        </w:rPr>
        <w:t>Others</w:t>
      </w:r>
    </w:p>
    <w:p w14:paraId="6FBC081F">
      <w:pPr>
        <w:pStyle w:val="63"/>
        <w:numPr>
          <w:ilvl w:val="2"/>
          <w:numId w:val="77"/>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135C224F">
      <w:pPr>
        <w:pStyle w:val="63"/>
        <w:numPr>
          <w:ilvl w:val="2"/>
          <w:numId w:val="77"/>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509CE825">
      <w:pPr>
        <w:pStyle w:val="63"/>
        <w:numPr>
          <w:ilvl w:val="0"/>
          <w:numId w:val="77"/>
        </w:numPr>
        <w:overflowPunct w:val="0"/>
        <w:autoSpaceDE w:val="0"/>
        <w:autoSpaceDN w:val="0"/>
        <w:spacing w:after="0"/>
        <w:ind w:hanging="442"/>
        <w:jc w:val="both"/>
        <w:textAlignment w:val="baseline"/>
        <w:rPr>
          <w:bCs/>
          <w:i/>
        </w:rPr>
      </w:pPr>
      <w:r>
        <w:rPr>
          <w:rFonts w:hint="eastAsia" w:eastAsiaTheme="minor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531CD002">
      <w:pPr>
        <w:spacing w:before="120"/>
        <w:jc w:val="both"/>
        <w:rPr>
          <w:rFonts w:eastAsia="等线"/>
          <w:bCs/>
          <w:iCs/>
        </w:rPr>
      </w:pPr>
      <w:r>
        <w:rPr>
          <w:rFonts w:hint="eastAsia" w:eastAsia="等线"/>
          <w:bCs/>
          <w:iCs/>
        </w:rPr>
        <w:t xml:space="preserve">On SBFD, 33 </w:t>
      </w:r>
      <w:r>
        <w:rPr>
          <w:rFonts w:eastAsia="等线"/>
          <w:bCs/>
          <w:iCs/>
        </w:rPr>
        <w:t>companies</w:t>
      </w:r>
      <w:r>
        <w:rPr>
          <w:rFonts w:hint="eastAsia" w:eastAsia="等线"/>
          <w:bCs/>
          <w:iCs/>
        </w:rPr>
        <w:t xml:space="preserve"> are supportive and no company shows any concerns. However, one thing that needs to be clarified is the related UE behavior, i.e., whether a UE is aware of SBFD configuration and able of SBFD operation. </w:t>
      </w:r>
    </w:p>
    <w:p w14:paraId="1364CBD9">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#2</w:t>
      </w:r>
      <w:r>
        <w:rPr>
          <w:rFonts w:eastAsia="等线" w:cs="Times"/>
          <w:b/>
          <w:bCs/>
          <w:iCs/>
          <w:szCs w:val="20"/>
        </w:rPr>
        <w:t>:</w:t>
      </w:r>
      <w:r>
        <w:rPr>
          <w:rFonts w:hint="eastAsia" w:eastAsia="等线" w:cs="Times"/>
          <w:b/>
          <w:iCs/>
          <w:szCs w:val="20"/>
        </w:rPr>
        <w:t xml:space="preserve"> S</w:t>
      </w:r>
      <w:r>
        <w:rPr>
          <w:rFonts w:eastAsia="等线" w:cs="Times"/>
          <w:b/>
          <w:iCs/>
          <w:szCs w:val="20"/>
        </w:rPr>
        <w:t>emi-static SBFD @</w:t>
      </w:r>
      <w:r>
        <w:rPr>
          <w:rFonts w:hint="eastAsia" w:eastAsia="等线" w:cs="Times"/>
          <w:b/>
          <w:iCs/>
          <w:szCs w:val="20"/>
        </w:rPr>
        <w:t>BS</w:t>
      </w:r>
    </w:p>
    <w:p w14:paraId="41C050DF">
      <w:pPr>
        <w:pStyle w:val="63"/>
        <w:numPr>
          <w:ilvl w:val="0"/>
          <w:numId w:val="78"/>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hAnsi="Times" w:eastAsia="Batang" w:cs="Times"/>
          <w:bCs/>
          <w:i/>
        </w:rPr>
        <w:t>, Vivo, Lenovo</w:t>
      </w:r>
      <w:r>
        <w:rPr>
          <w:rFonts w:eastAsia="等线" w:cs="Times"/>
          <w:bCs/>
          <w:i/>
        </w:rPr>
        <w:t>, Ericsson,</w:t>
      </w:r>
      <w:r>
        <w:t xml:space="preserve"> </w:t>
      </w:r>
      <w:r>
        <w:rPr>
          <w:rFonts w:eastAsia="等线" w:cs="Times"/>
          <w:bCs/>
          <w:i/>
        </w:rPr>
        <w:t>Ofinno</w:t>
      </w:r>
      <w:r>
        <w:rPr>
          <w:rFonts w:ascii="Times" w:hAnsi="Times" w:eastAsia="Batang" w:cs="Times"/>
          <w:bCs/>
          <w:i/>
        </w:rPr>
        <w:t>, Panasonic</w:t>
      </w:r>
      <w:r>
        <w:rPr>
          <w:rFonts w:cs="Times"/>
          <w:bCs/>
          <w:i/>
        </w:rPr>
        <w:t>, Panasonic, NEC</w:t>
      </w:r>
      <w:r>
        <w:rPr>
          <w:rFonts w:eastAsia="等线" w:cs="Times"/>
          <w:bCs/>
          <w:i/>
        </w:rPr>
        <w:t>, China Telecom, Samsung</w:t>
      </w:r>
      <w:r>
        <w:rPr>
          <w:rFonts w:cs="Times"/>
          <w:bCs/>
          <w:i/>
        </w:rPr>
        <w:t>, InterDigital,</w:t>
      </w:r>
      <w:r>
        <w:rPr>
          <w:rFonts w:ascii="Times" w:hAnsi="Times" w:eastAsia="等线" w:cs="Times"/>
          <w:bCs/>
          <w:i/>
        </w:rPr>
        <w:t xml:space="preserve"> Apple</w:t>
      </w:r>
      <w:r>
        <w:rPr>
          <w:rFonts w:ascii="Times" w:hAnsi="Times" w:eastAsia="Batang"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401944E1">
      <w:pPr>
        <w:pStyle w:val="63"/>
        <w:numPr>
          <w:ilvl w:val="1"/>
          <w:numId w:val="78"/>
        </w:numPr>
        <w:overflowPunct w:val="0"/>
        <w:autoSpaceDE w:val="0"/>
        <w:autoSpaceDN w:val="0"/>
        <w:spacing w:after="0"/>
        <w:jc w:val="both"/>
        <w:textAlignment w:val="baseline"/>
        <w:rPr>
          <w:rFonts w:eastAsia="等线"/>
          <w:iCs/>
        </w:rPr>
      </w:pPr>
      <w:r>
        <w:rPr>
          <w:rFonts w:hint="eastAsia" w:eastAsia="等线" w:cs="Times"/>
          <w:b/>
          <w:iCs/>
          <w:szCs w:val="20"/>
        </w:rPr>
        <w:t>Direction #</w:t>
      </w:r>
      <w:r>
        <w:rPr>
          <w:rFonts w:eastAsia="等线" w:cs="Times"/>
          <w:b/>
          <w:iCs/>
          <w:szCs w:val="20"/>
        </w:rPr>
        <w:t xml:space="preserve">1: </w:t>
      </w:r>
      <w:r>
        <w:rPr>
          <w:rFonts w:hint="eastAsia" w:eastAsia="等线" w:cs="Times"/>
          <w:b/>
          <w:iCs/>
          <w:szCs w:val="20"/>
        </w:rPr>
        <w:t>N</w:t>
      </w:r>
      <w:r>
        <w:rPr>
          <w:rFonts w:eastAsia="等线" w:cs="Times"/>
          <w:b/>
          <w:iCs/>
          <w:szCs w:val="20"/>
        </w:rPr>
        <w:t>ative SBFD configuration</w:t>
      </w:r>
    </w:p>
    <w:p w14:paraId="53F20E04">
      <w:pPr>
        <w:pStyle w:val="63"/>
        <w:numPr>
          <w:ilvl w:val="2"/>
          <w:numId w:val="78"/>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hAnsi="Times" w:eastAsia="Batang" w:cs="Times"/>
          <w:bCs/>
          <w:i/>
        </w:rPr>
        <w:t>,</w:t>
      </w:r>
      <w:r>
        <w:rPr>
          <w:rFonts w:eastAsia="等线" w:cs="Times"/>
          <w:bCs/>
          <w:i/>
        </w:rPr>
        <w:t xml:space="preserve"> NEC, China Telecom</w:t>
      </w:r>
      <w:r>
        <w:rPr>
          <w:rFonts w:cs="Times"/>
          <w:bCs/>
          <w:i/>
        </w:rPr>
        <w:t>, Honor, Qualcomm, KT, Google, CEWiT, WILUS</w:t>
      </w:r>
      <w:r>
        <w:rPr>
          <w:rFonts w:hint="eastAsia" w:cs="Times" w:eastAsiaTheme="minorEastAsia"/>
          <w:bCs/>
          <w:i/>
        </w:rPr>
        <w:t>, NTT, DOCOMO(</w:t>
      </w:r>
      <w:r>
        <w:rPr>
          <w:rFonts w:cs="Times" w:eastAsiaTheme="minorEastAsia"/>
          <w:bCs/>
          <w:i/>
        </w:rPr>
        <w:t> </w:t>
      </w:r>
      <w:r>
        <w:rPr>
          <w:rFonts w:hint="eastAsia" w:cs="Times" w:eastAsiaTheme="minorEastAsia"/>
          <w:bCs/>
          <w:i/>
        </w:rPr>
        <w:t>?)</w:t>
      </w:r>
    </w:p>
    <w:p w14:paraId="2BA6C659">
      <w:pPr>
        <w:pStyle w:val="63"/>
        <w:numPr>
          <w:ilvl w:val="1"/>
          <w:numId w:val="78"/>
        </w:numPr>
        <w:autoSpaceDE w:val="0"/>
        <w:autoSpaceDN w:val="0"/>
        <w:spacing w:after="0"/>
        <w:jc w:val="both"/>
        <w:rPr>
          <w:rFonts w:eastAsia="等线" w:cs="Times"/>
          <w:b/>
          <w:iCs/>
          <w:szCs w:val="20"/>
        </w:rPr>
      </w:pPr>
      <w:r>
        <w:rPr>
          <w:rFonts w:hint="eastAsia" w:eastAsia="等线" w:cs="Times"/>
          <w:b/>
          <w:iCs/>
          <w:szCs w:val="20"/>
        </w:rPr>
        <w:t xml:space="preserve">Direction </w:t>
      </w:r>
      <w:r>
        <w:rPr>
          <w:rFonts w:eastAsia="等线" w:cs="Times"/>
          <w:b/>
          <w:iCs/>
          <w:szCs w:val="20"/>
        </w:rPr>
        <w:t xml:space="preserve">#2: </w:t>
      </w:r>
      <w:r>
        <w:rPr>
          <w:rFonts w:hint="eastAsia" w:eastAsia="等线" w:cs="Times"/>
          <w:b/>
          <w:iCs/>
          <w:szCs w:val="20"/>
        </w:rPr>
        <w:t>L</w:t>
      </w:r>
      <w:r>
        <w:rPr>
          <w:rFonts w:eastAsia="等线" w:cs="Times"/>
          <w:b/>
          <w:iCs/>
          <w:szCs w:val="20"/>
        </w:rPr>
        <w:t>ink direction determination in SBFD symbols</w:t>
      </w:r>
    </w:p>
    <w:p w14:paraId="381414E1">
      <w:pPr>
        <w:pStyle w:val="63"/>
        <w:numPr>
          <w:ilvl w:val="2"/>
          <w:numId w:val="78"/>
        </w:numPr>
        <w:autoSpaceDE w:val="0"/>
        <w:autoSpaceDN w:val="0"/>
        <w:spacing w:after="0"/>
        <w:jc w:val="both"/>
        <w:rPr>
          <w:rFonts w:eastAsia="等线" w:cs="Times"/>
          <w:b/>
          <w:iCs/>
          <w:szCs w:val="20"/>
        </w:rPr>
      </w:pPr>
      <w:r>
        <w:rPr>
          <w:rFonts w:eastAsia="等线" w:cs="Times"/>
          <w:b/>
          <w:iCs/>
          <w:szCs w:val="20"/>
        </w:rPr>
        <w:t>Option 1: gNB configuration/indication</w:t>
      </w:r>
    </w:p>
    <w:p w14:paraId="7571DFB1">
      <w:pPr>
        <w:pStyle w:val="63"/>
        <w:numPr>
          <w:ilvl w:val="3"/>
          <w:numId w:val="78"/>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等线" w:cs="Times"/>
          <w:bCs/>
          <w:i/>
        </w:rPr>
        <w:t>CMCC,</w:t>
      </w:r>
      <w:r>
        <w:t xml:space="preserve"> </w:t>
      </w:r>
      <w:r>
        <w:rPr>
          <w:rFonts w:eastAsia="等线" w:cs="Times"/>
          <w:bCs/>
          <w:i/>
        </w:rPr>
        <w:t>Ofinno,</w:t>
      </w:r>
      <w:r>
        <w:rPr>
          <w:rFonts w:ascii="Times" w:hAnsi="Times" w:eastAsia="等线" w:cs="Times"/>
          <w:bCs/>
          <w:i/>
        </w:rPr>
        <w:t xml:space="preserve"> Apple,</w:t>
      </w:r>
      <w:r>
        <w:rPr>
          <w:rFonts w:eastAsia="等线" w:cs="Times"/>
          <w:bCs/>
          <w:i/>
        </w:rPr>
        <w:t xml:space="preserve"> MTK, Qualcomm, CEWiT, WILUS</w:t>
      </w:r>
    </w:p>
    <w:p w14:paraId="575CE55D">
      <w:pPr>
        <w:pStyle w:val="63"/>
        <w:numPr>
          <w:ilvl w:val="2"/>
          <w:numId w:val="78"/>
        </w:numPr>
        <w:autoSpaceDE w:val="0"/>
        <w:autoSpaceDN w:val="0"/>
        <w:spacing w:after="0"/>
        <w:jc w:val="both"/>
        <w:rPr>
          <w:rFonts w:eastAsia="等线" w:cs="Times"/>
          <w:b/>
          <w:iCs/>
          <w:szCs w:val="20"/>
        </w:rPr>
      </w:pPr>
      <w:r>
        <w:rPr>
          <w:rFonts w:eastAsia="等线" w:cs="Times"/>
          <w:b/>
          <w:iCs/>
          <w:szCs w:val="20"/>
        </w:rPr>
        <w:t>Option 2: collision handling rules</w:t>
      </w:r>
    </w:p>
    <w:p w14:paraId="21D7FF1F">
      <w:pPr>
        <w:pStyle w:val="63"/>
        <w:numPr>
          <w:ilvl w:val="3"/>
          <w:numId w:val="78"/>
        </w:numPr>
        <w:overflowPunct w:val="0"/>
        <w:autoSpaceDE w:val="0"/>
        <w:autoSpaceDN w:val="0"/>
        <w:spacing w:after="0"/>
        <w:jc w:val="both"/>
        <w:textAlignment w:val="baseline"/>
        <w:rPr>
          <w:bCs/>
          <w:iCs/>
        </w:rPr>
      </w:pPr>
      <w:r>
        <w:rPr>
          <w:rFonts w:cs="Times" w:eastAsiaTheme="minorEastAsia"/>
          <w:b/>
          <w:bCs/>
          <w:szCs w:val="20"/>
          <w:lang w:val="fr-BE" w:eastAsia="en-GB"/>
        </w:rPr>
        <w:t>Support(2):</w:t>
      </w:r>
      <w:r>
        <w:rPr>
          <w:rFonts w:eastAsia="等线" w:cs="Times"/>
          <w:bCs/>
          <w:i/>
        </w:rPr>
        <w:t xml:space="preserve"> Nokia,</w:t>
      </w:r>
      <w:r>
        <w:t xml:space="preserve"> </w:t>
      </w:r>
      <w:r>
        <w:rPr>
          <w:rFonts w:eastAsia="等线" w:cs="Times"/>
          <w:bCs/>
          <w:i/>
        </w:rPr>
        <w:t>Qualcomm</w:t>
      </w:r>
    </w:p>
    <w:p w14:paraId="0212E18C">
      <w:pPr>
        <w:spacing w:before="120"/>
        <w:jc w:val="both"/>
        <w:rPr>
          <w:rFonts w:eastAsia="等线"/>
          <w:bCs/>
          <w:iCs/>
        </w:rPr>
      </w:pPr>
      <w:r>
        <w:rPr>
          <w:rFonts w:hint="eastAsia" w:eastAsia="等线"/>
          <w:bCs/>
          <w:iCs/>
        </w:rPr>
        <w:t xml:space="preserve">On dynamic SBFD, 11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7 </w:t>
      </w:r>
      <w:r>
        <w:rPr>
          <w:rFonts w:eastAsia="等线"/>
          <w:bCs/>
          <w:iCs/>
        </w:rPr>
        <w:t>companies have</w:t>
      </w:r>
      <w:r>
        <w:rPr>
          <w:rFonts w:hint="eastAsia" w:eastAsia="等线"/>
          <w:bCs/>
          <w:iCs/>
        </w:rPr>
        <w:t xml:space="preserve"> some concerns on performance benefit and gNB/UE </w:t>
      </w:r>
      <w:r>
        <w:rPr>
          <w:rFonts w:eastAsia="等线"/>
          <w:bCs/>
          <w:iCs/>
        </w:rPr>
        <w:t>implementation</w:t>
      </w:r>
      <w:r>
        <w:rPr>
          <w:rFonts w:hint="eastAsia" w:eastAsia="等线"/>
          <w:bCs/>
          <w:iCs/>
        </w:rPr>
        <w:t xml:space="preserve"> complexity.</w:t>
      </w:r>
    </w:p>
    <w:p w14:paraId="2963778D">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#3</w:t>
      </w:r>
      <w:r>
        <w:rPr>
          <w:rFonts w:eastAsia="等线" w:cs="Times"/>
          <w:b/>
          <w:bCs/>
          <w:iCs/>
          <w:szCs w:val="20"/>
        </w:rPr>
        <w:t>:</w:t>
      </w:r>
      <w:r>
        <w:rPr>
          <w:rFonts w:hint="eastAsia" w:eastAsia="等线" w:cs="Times"/>
          <w:b/>
          <w:iCs/>
          <w:szCs w:val="20"/>
        </w:rPr>
        <w:t xml:space="preserve"> </w:t>
      </w:r>
      <w:r>
        <w:rPr>
          <w:rFonts w:eastAsia="等线" w:cs="Times"/>
          <w:b/>
          <w:iCs/>
          <w:szCs w:val="20"/>
        </w:rPr>
        <w:t>dynamic SBFD</w:t>
      </w:r>
      <w:r>
        <w:rPr>
          <w:rFonts w:hint="eastAsia" w:eastAsia="等线" w:cs="Times"/>
          <w:b/>
          <w:iCs/>
          <w:szCs w:val="20"/>
        </w:rPr>
        <w:t xml:space="preserve"> @BS</w:t>
      </w:r>
    </w:p>
    <w:p w14:paraId="67EE1ED6">
      <w:pPr>
        <w:pStyle w:val="63"/>
        <w:numPr>
          <w:ilvl w:val="0"/>
          <w:numId w:val="79"/>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CMCC</w:t>
      </w:r>
      <w:r>
        <w:rPr>
          <w:rFonts w:ascii="Times" w:hAnsi="Times" w:eastAsia="Batang" w:cs="Times"/>
          <w:bCs/>
          <w:i/>
        </w:rPr>
        <w:t>, Vivo</w:t>
      </w:r>
      <w:r>
        <w:rPr>
          <w:rFonts w:cs="Times"/>
          <w:bCs/>
          <w:i/>
        </w:rPr>
        <w:t>, LG</w:t>
      </w:r>
      <w:r>
        <w:rPr>
          <w:rFonts w:ascii="Times" w:hAnsi="Times" w:eastAsia="Batang" w:cs="Times"/>
          <w:bCs/>
          <w:i/>
        </w:rPr>
        <w:t>, Lenovo,</w:t>
      </w:r>
      <w:r>
        <w:rPr>
          <w:rFonts w:eastAsia="等线" w:cs="Times"/>
          <w:bCs/>
          <w:i/>
        </w:rPr>
        <w:t xml:space="preserve"> NEC, China Telecom, InterDigital, KT Corp., Google</w:t>
      </w:r>
    </w:p>
    <w:p w14:paraId="2D5E30A3">
      <w:pPr>
        <w:pStyle w:val="63"/>
        <w:numPr>
          <w:ilvl w:val="0"/>
          <w:numId w:val="79"/>
        </w:numPr>
        <w:overflowPunct w:val="0"/>
        <w:autoSpaceDE w:val="0"/>
        <w:autoSpaceDN w:val="0"/>
        <w:spacing w:after="0"/>
        <w:jc w:val="both"/>
        <w:textAlignment w:val="baseline"/>
        <w:rPr>
          <w:rFonts w:cs="Times"/>
          <w:b/>
          <w:bCs/>
          <w:lang w:val="fr-BE"/>
        </w:rPr>
      </w:pPr>
      <w:bookmarkStart w:id="21" w:name="_Hlk221045653"/>
      <w:r>
        <w:rPr>
          <w:rFonts w:hint="eastAsia" w:cs="Times"/>
          <w:b/>
          <w:bCs/>
          <w:lang w:val="fr-BE"/>
        </w:rPr>
        <w:t>N</w:t>
      </w:r>
      <w:r>
        <w:rPr>
          <w:rFonts w:cs="Times"/>
          <w:b/>
          <w:bCs/>
          <w:lang w:val="fr-BE"/>
        </w:rPr>
        <w:t>etrual(1):</w:t>
      </w:r>
      <w:bookmarkEnd w:id="21"/>
      <w:r>
        <w:rPr>
          <w:rFonts w:cs="Times"/>
          <w:b/>
          <w:bCs/>
          <w:lang w:val="fr-BE"/>
        </w:rPr>
        <w:t xml:space="preserve"> </w:t>
      </w:r>
      <w:r>
        <w:rPr>
          <w:rFonts w:eastAsia="等线" w:cs="Times"/>
          <w:bCs/>
          <w:i/>
        </w:rPr>
        <w:t>OPPO</w:t>
      </w:r>
    </w:p>
    <w:p w14:paraId="2000451F">
      <w:pPr>
        <w:pStyle w:val="63"/>
        <w:numPr>
          <w:ilvl w:val="0"/>
          <w:numId w:val="79"/>
        </w:numPr>
        <w:overflowPunct w:val="0"/>
        <w:autoSpaceDE w:val="0"/>
        <w:autoSpaceDN w:val="0"/>
        <w:spacing w:after="0"/>
        <w:jc w:val="both"/>
        <w:textAlignment w:val="baseline"/>
        <w:rPr>
          <w:rFonts w:cs="Times"/>
          <w:b/>
          <w:bCs/>
        </w:rPr>
      </w:pPr>
      <w:r>
        <w:rPr>
          <w:rFonts w:hint="eastAsia" w:cs="Times" w:eastAsiaTheme="minor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1BE54329">
      <w:pPr>
        <w:spacing w:before="120"/>
        <w:jc w:val="both"/>
        <w:rPr>
          <w:rFonts w:eastAsia="等线"/>
          <w:bCs/>
          <w:iCs/>
        </w:rPr>
      </w:pPr>
      <w:r>
        <w:rPr>
          <w:rFonts w:hint="eastAsia" w:eastAsia="等线"/>
          <w:bCs/>
          <w:iCs/>
        </w:rPr>
        <w:t xml:space="preserve">On UE-side SBFD, 8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9 </w:t>
      </w:r>
      <w:r>
        <w:rPr>
          <w:rFonts w:eastAsia="等线"/>
          <w:bCs/>
          <w:iCs/>
        </w:rPr>
        <w:t>companies have</w:t>
      </w:r>
      <w:r>
        <w:rPr>
          <w:rFonts w:hint="eastAsia" w:eastAsia="等线"/>
          <w:bCs/>
          <w:iCs/>
        </w:rPr>
        <w:t xml:space="preserve"> some concerns on the </w:t>
      </w:r>
      <w:r>
        <w:rPr>
          <w:rFonts w:eastAsia="等线"/>
          <w:bCs/>
          <w:iCs/>
        </w:rPr>
        <w:t>feasibility</w:t>
      </w:r>
      <w:r>
        <w:rPr>
          <w:rFonts w:hint="eastAsia" w:eastAsia="等线"/>
          <w:bCs/>
          <w:iCs/>
        </w:rPr>
        <w:t xml:space="preserve"> such as antenna </w:t>
      </w:r>
      <w:r>
        <w:rPr>
          <w:rFonts w:eastAsia="等线"/>
          <w:bCs/>
          <w:iCs/>
        </w:rPr>
        <w:t>separation</w:t>
      </w:r>
      <w:r>
        <w:rPr>
          <w:rFonts w:hint="eastAsia" w:eastAsia="等线"/>
          <w:bCs/>
          <w:iCs/>
        </w:rPr>
        <w:t xml:space="preserve"> and isolation. </w:t>
      </w:r>
    </w:p>
    <w:p w14:paraId="20D635F4">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#4</w:t>
      </w:r>
      <w:r>
        <w:rPr>
          <w:rFonts w:eastAsia="等线" w:cs="Times"/>
          <w:b/>
          <w:bCs/>
          <w:iCs/>
          <w:szCs w:val="20"/>
        </w:rPr>
        <w:t>:</w:t>
      </w:r>
      <w:r>
        <w:rPr>
          <w:rFonts w:hint="eastAsia" w:eastAsia="等线" w:cs="Times"/>
          <w:b/>
          <w:iCs/>
          <w:szCs w:val="20"/>
        </w:rPr>
        <w:t xml:space="preserve"> </w:t>
      </w:r>
      <w:r>
        <w:rPr>
          <w:rFonts w:eastAsia="等线" w:cs="Times"/>
          <w:b/>
          <w:iCs/>
          <w:szCs w:val="20"/>
        </w:rPr>
        <w:t>SBFD @ UE</w:t>
      </w:r>
    </w:p>
    <w:p w14:paraId="54E087D0">
      <w:pPr>
        <w:pStyle w:val="63"/>
        <w:numPr>
          <w:ilvl w:val="0"/>
          <w:numId w:val="80"/>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hAnsi="Times" w:eastAsia="Batang" w:cs="Times"/>
          <w:bCs/>
          <w:i/>
          <w:strike/>
          <w:color w:val="FF0000"/>
        </w:rPr>
        <w:t xml:space="preserve">, </w:t>
      </w:r>
      <w:r>
        <w:rPr>
          <w:rFonts w:ascii="Times" w:hAnsi="Times" w:eastAsia="Batang" w:cs="Times"/>
          <w:bCs/>
          <w:i/>
        </w:rPr>
        <w:t>Lenovo</w:t>
      </w:r>
      <w:r>
        <w:rPr>
          <w:rFonts w:eastAsia="等线" w:cs="Times"/>
          <w:bCs/>
          <w:i/>
        </w:rPr>
        <w:t>,</w:t>
      </w:r>
      <w:r>
        <w:t xml:space="preserve"> </w:t>
      </w:r>
      <w:r>
        <w:rPr>
          <w:rFonts w:eastAsia="等线" w:cs="Times"/>
          <w:bCs/>
          <w:i/>
        </w:rPr>
        <w:t>Ofinno</w:t>
      </w:r>
      <w:r>
        <w:rPr>
          <w:rFonts w:cs="Times"/>
          <w:bCs/>
          <w:i/>
        </w:rPr>
        <w:t>, MTK, Sharp, Honor, ETRI</w:t>
      </w:r>
    </w:p>
    <w:p w14:paraId="416C4D9B">
      <w:pPr>
        <w:pStyle w:val="63"/>
        <w:numPr>
          <w:ilvl w:val="0"/>
          <w:numId w:val="79"/>
        </w:numPr>
        <w:overflowPunct w:val="0"/>
        <w:autoSpaceDE w:val="0"/>
        <w:autoSpaceDN w:val="0"/>
        <w:spacing w:after="0"/>
        <w:jc w:val="both"/>
        <w:textAlignment w:val="baseline"/>
        <w:rPr>
          <w:rFonts w:eastAsia="等线" w:cs="Times"/>
          <w:b/>
          <w:i/>
          <w:iCs/>
          <w:kern w:val="2"/>
        </w:rPr>
      </w:pPr>
      <w:r>
        <w:rPr>
          <w:rFonts w:hint="eastAsia" w:cs="Times"/>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2842546">
      <w:pPr>
        <w:pStyle w:val="63"/>
        <w:numPr>
          <w:ilvl w:val="0"/>
          <w:numId w:val="79"/>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2CA79055">
      <w:pPr>
        <w:spacing w:before="120"/>
        <w:jc w:val="both"/>
        <w:rPr>
          <w:rFonts w:eastAsia="等线"/>
          <w:bCs/>
          <w:iCs/>
        </w:rPr>
      </w:pPr>
      <w:r>
        <w:rPr>
          <w:rFonts w:hint="eastAsia" w:eastAsia="等线"/>
          <w:bCs/>
          <w:iCs/>
        </w:rPr>
        <w:t xml:space="preserve">Several </w:t>
      </w:r>
      <w:r>
        <w:rPr>
          <w:rFonts w:eastAsia="等线"/>
          <w:bCs/>
          <w:iCs/>
        </w:rPr>
        <w:t>companies</w:t>
      </w:r>
      <w:r>
        <w:rPr>
          <w:rFonts w:hint="eastAsia" w:eastAsia="等线"/>
          <w:bCs/>
          <w:iCs/>
        </w:rPr>
        <w:t xml:space="preserve"> shows concerns on support of IBFD in the first </w:t>
      </w:r>
      <w:r>
        <w:rPr>
          <w:rFonts w:eastAsia="等线"/>
          <w:bCs/>
          <w:iCs/>
        </w:rPr>
        <w:t>release</w:t>
      </w:r>
      <w:r>
        <w:rPr>
          <w:rFonts w:hint="eastAsia" w:eastAsia="等线"/>
          <w:bCs/>
          <w:iCs/>
        </w:rPr>
        <w:t xml:space="preserve"> of 6GR while some companies propose to support a forward </w:t>
      </w:r>
      <w:r>
        <w:rPr>
          <w:rFonts w:eastAsia="等线"/>
          <w:bCs/>
          <w:iCs/>
        </w:rPr>
        <w:t>compatible</w:t>
      </w:r>
      <w:r>
        <w:rPr>
          <w:rFonts w:hint="eastAsia" w:eastAsia="等线"/>
          <w:bCs/>
          <w:iCs/>
        </w:rPr>
        <w:t xml:space="preserve"> frame structure to introduce advanced duplexing mode in later release. </w:t>
      </w:r>
    </w:p>
    <w:p w14:paraId="3358C826">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#5</w:t>
      </w:r>
      <w:r>
        <w:rPr>
          <w:rFonts w:eastAsia="等线" w:cs="Times"/>
          <w:b/>
          <w:bCs/>
          <w:iCs/>
          <w:szCs w:val="20"/>
        </w:rPr>
        <w:t>:</w:t>
      </w:r>
      <w:r>
        <w:rPr>
          <w:rFonts w:hint="eastAsia" w:eastAsia="等线" w:cs="Times"/>
          <w:b/>
          <w:iCs/>
          <w:szCs w:val="20"/>
        </w:rPr>
        <w:t xml:space="preserve"> </w:t>
      </w:r>
      <w:r>
        <w:rPr>
          <w:rFonts w:eastAsia="等线" w:cs="Times"/>
          <w:b/>
          <w:iCs/>
          <w:szCs w:val="20"/>
        </w:rPr>
        <w:t>IBFD/</w:t>
      </w:r>
      <w:r>
        <w:rPr>
          <w:rFonts w:hint="eastAsia" w:eastAsia="等线" w:cs="Times"/>
          <w:b/>
          <w:iCs/>
          <w:szCs w:val="20"/>
        </w:rPr>
        <w:t>SFFD/</w:t>
      </w:r>
      <w:r>
        <w:rPr>
          <w:rFonts w:eastAsia="等线" w:cs="Times"/>
          <w:b/>
          <w:iCs/>
          <w:szCs w:val="20"/>
        </w:rPr>
        <w:t>overlapping-SBFD</w:t>
      </w:r>
    </w:p>
    <w:p w14:paraId="70032747">
      <w:pPr>
        <w:pStyle w:val="63"/>
        <w:numPr>
          <w:ilvl w:val="0"/>
          <w:numId w:val="81"/>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52E0636F">
      <w:pPr>
        <w:rPr>
          <w:rFonts w:eastAsia="等线"/>
        </w:rPr>
      </w:pPr>
    </w:p>
    <w:p w14:paraId="64D065E1">
      <w:pPr>
        <w:pStyle w:val="4"/>
        <w:spacing w:after="120"/>
        <w:rPr>
          <w:rFonts w:eastAsia="等线"/>
        </w:rPr>
      </w:pPr>
      <w:r>
        <w:rPr>
          <w:rFonts w:hint="eastAsia" w:eastAsia="等线"/>
        </w:rPr>
        <w:t>First round discussion</w:t>
      </w:r>
    </w:p>
    <w:p w14:paraId="252A85CA">
      <w:pPr>
        <w:rPr>
          <w:rFonts w:eastAsia="等线"/>
        </w:rPr>
      </w:pPr>
      <w:r>
        <w:rPr>
          <w:rFonts w:hint="eastAsia" w:eastAsia="等线"/>
          <w:highlight w:val="yellow"/>
        </w:rPr>
        <w:t>FL proposal:</w:t>
      </w:r>
      <w:r>
        <w:rPr>
          <w:rFonts w:hint="eastAsia" w:eastAsia="等线"/>
        </w:rPr>
        <w:t xml:space="preserve"> </w:t>
      </w:r>
    </w:p>
    <w:p w14:paraId="194ADAEE">
      <w:pPr>
        <w:spacing w:after="0"/>
        <w:rPr>
          <w:rFonts w:eastAsia="等线"/>
        </w:rPr>
      </w:pPr>
      <w:r>
        <w:rPr>
          <w:rFonts w:hint="eastAsia" w:eastAsia="等线"/>
        </w:rPr>
        <w:t xml:space="preserve">For </w:t>
      </w:r>
      <w:r>
        <w:rPr>
          <w:rFonts w:eastAsia="等线"/>
        </w:rPr>
        <w:t>6GR</w:t>
      </w:r>
      <w:r>
        <w:rPr>
          <w:rFonts w:hint="eastAsia" w:eastAsia="等线"/>
        </w:rPr>
        <w:t xml:space="preserve">, RAN1 supports the following duplexing schemes </w:t>
      </w:r>
    </w:p>
    <w:p w14:paraId="5A5DBDCF">
      <w:pPr>
        <w:pStyle w:val="63"/>
        <w:numPr>
          <w:ilvl w:val="1"/>
          <w:numId w:val="8"/>
        </w:numPr>
        <w:adjustRightInd/>
        <w:snapToGrid/>
        <w:spacing w:after="0" w:line="252" w:lineRule="auto"/>
        <w:contextualSpacing/>
        <w:rPr>
          <w:sz w:val="21"/>
          <w:szCs w:val="21"/>
        </w:rPr>
      </w:pPr>
      <w:r>
        <w:rPr>
          <w:rFonts w:hint="eastAsia"/>
          <w:sz w:val="21"/>
          <w:szCs w:val="21"/>
        </w:rPr>
        <w:t>FD-FDD</w:t>
      </w:r>
    </w:p>
    <w:p w14:paraId="59479826">
      <w:pPr>
        <w:pStyle w:val="63"/>
        <w:numPr>
          <w:ilvl w:val="1"/>
          <w:numId w:val="8"/>
        </w:numPr>
        <w:adjustRightInd/>
        <w:snapToGrid/>
        <w:spacing w:after="0" w:line="252" w:lineRule="auto"/>
        <w:contextualSpacing/>
        <w:rPr>
          <w:sz w:val="21"/>
          <w:szCs w:val="21"/>
        </w:rPr>
      </w:pPr>
      <w:r>
        <w:rPr>
          <w:sz w:val="21"/>
          <w:szCs w:val="21"/>
        </w:rPr>
        <w:t>Semi-static TDD</w:t>
      </w:r>
    </w:p>
    <w:p w14:paraId="2AA4BD80">
      <w:pPr>
        <w:pStyle w:val="63"/>
        <w:numPr>
          <w:ilvl w:val="1"/>
          <w:numId w:val="8"/>
        </w:numPr>
        <w:adjustRightInd/>
        <w:snapToGrid/>
        <w:spacing w:after="0" w:line="252" w:lineRule="auto"/>
        <w:contextualSpacing/>
        <w:rPr>
          <w:sz w:val="21"/>
          <w:szCs w:val="21"/>
        </w:rPr>
      </w:pPr>
      <w:r>
        <w:rPr>
          <w:sz w:val="21"/>
          <w:szCs w:val="21"/>
        </w:rPr>
        <w:t>gNB semi-static SBFD</w:t>
      </w:r>
    </w:p>
    <w:p w14:paraId="0D06AD39">
      <w:pPr>
        <w:pStyle w:val="63"/>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4300F64">
      <w:pPr>
        <w:pStyle w:val="63"/>
        <w:numPr>
          <w:ilvl w:val="1"/>
          <w:numId w:val="8"/>
        </w:numPr>
        <w:adjustRightInd/>
        <w:snapToGrid/>
        <w:spacing w:after="0" w:line="252" w:lineRule="auto"/>
        <w:contextualSpacing/>
        <w:rPr>
          <w:sz w:val="21"/>
          <w:szCs w:val="21"/>
        </w:rPr>
      </w:pPr>
      <w:r>
        <w:rPr>
          <w:sz w:val="21"/>
          <w:szCs w:val="21"/>
        </w:rPr>
        <w:t>Dynamic TDD</w:t>
      </w:r>
    </w:p>
    <w:p w14:paraId="306353F5">
      <w:pPr>
        <w:rPr>
          <w:rFonts w:eastAsia="等线"/>
        </w:rPr>
      </w:pPr>
    </w:p>
    <w:p w14:paraId="083A2BFE">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6B83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AB66479">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2394E74">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0BD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8FE5E05">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1699DF0">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 are ok with the proposal. Further discussions is needed wrt the UE behavior for SBFD.</w:t>
            </w:r>
          </w:p>
        </w:tc>
      </w:tr>
      <w:tr w14:paraId="760B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2ECECFC">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64C3EA3">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Fine to support.</w:t>
            </w:r>
          </w:p>
        </w:tc>
      </w:tr>
      <w:tr w14:paraId="243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D7027A3">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12AD7A26">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14:paraId="499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3448367">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3671DFA9">
            <w:pPr>
              <w:widowControl w:val="0"/>
              <w:suppressAutoHyphens/>
              <w:spacing w:line="256" w:lineRule="auto"/>
              <w:jc w:val="both"/>
              <w:rPr>
                <w:rFonts w:ascii="Calibri" w:hAnsi="Calibri" w:cs="Arial"/>
                <w:sz w:val="20"/>
                <w:szCs w:val="20"/>
                <w:lang w:val="en-GB" w:eastAsia="en-US"/>
              </w:rPr>
            </w:pPr>
            <w:r>
              <w:rPr>
                <w:rFonts w:hint="eastAsia" w:ascii="Times New Roman" w:hAnsi="Times New Roman" w:eastAsia="MS Mincho" w:cs="Times New Roman"/>
                <w:szCs w:val="22"/>
                <w:lang w:val="en-GB" w:eastAsia="ja-JP"/>
              </w:rPr>
              <w:t xml:space="preserve">Generally OK. On dynamic TDD, details are considered in </w:t>
            </w:r>
            <w:r>
              <w:rPr>
                <w:rFonts w:ascii="Times New Roman" w:hAnsi="Times New Roman" w:eastAsia="MS Mincho" w:cs="Times New Roman"/>
                <w:szCs w:val="22"/>
                <w:lang w:val="en-GB" w:eastAsia="ja-JP"/>
              </w:rPr>
              <w:t>4.3.3</w:t>
            </w:r>
            <w:r>
              <w:rPr>
                <w:rFonts w:hint="eastAsia" w:ascii="Times New Roman" w:hAnsi="Times New Roman" w:eastAsia="MS Mincho" w:cs="Times New Roman"/>
                <w:szCs w:val="22"/>
                <w:lang w:val="en-GB" w:eastAsia="ja-JP"/>
              </w:rPr>
              <w:t xml:space="preserve"> </w:t>
            </w:r>
            <w:r>
              <w:rPr>
                <w:rFonts w:ascii="Times New Roman" w:hAnsi="Times New Roman" w:eastAsia="MS Mincho" w:cs="Times New Roman"/>
                <w:szCs w:val="22"/>
                <w:lang w:val="en-GB" w:eastAsia="ja-JP"/>
              </w:rPr>
              <w:t>Proposal</w:t>
            </w:r>
            <w:r>
              <w:rPr>
                <w:rFonts w:hint="eastAsia" w:ascii="Times New Roman" w:hAnsi="Times New Roman" w:eastAsia="MS Mincho" w:cs="Times New Roman"/>
                <w:szCs w:val="22"/>
                <w:lang w:val="en-GB" w:eastAsia="ja-JP"/>
              </w:rPr>
              <w:t xml:space="preserve"> </w:t>
            </w:r>
            <w:r>
              <w:rPr>
                <w:rFonts w:ascii="Times New Roman" w:hAnsi="Times New Roman" w:eastAsia="MS Mincho" w:cs="Times New Roman"/>
                <w:szCs w:val="22"/>
                <w:lang w:val="en-GB" w:eastAsia="ja-JP"/>
              </w:rPr>
              <w:t>4-3</w:t>
            </w:r>
            <w:r>
              <w:rPr>
                <w:rFonts w:hint="eastAsia" w:ascii="Times New Roman" w:hAnsi="Times New Roman" w:eastAsia="MS Mincho" w:cs="Times New Roman"/>
                <w:szCs w:val="22"/>
                <w:lang w:val="en-GB" w:eastAsia="ja-JP"/>
              </w:rPr>
              <w:t xml:space="preserve">, better to discuss </w:t>
            </w:r>
            <w:r>
              <w:rPr>
                <w:rFonts w:ascii="Times New Roman" w:hAnsi="Times New Roman" w:eastAsia="MS Mincho" w:cs="Times New Roman"/>
                <w:szCs w:val="22"/>
                <w:lang w:val="en-GB" w:eastAsia="ja-JP"/>
              </w:rPr>
              <w:t>together</w:t>
            </w:r>
            <w:r>
              <w:rPr>
                <w:rFonts w:hint="eastAsia" w:ascii="Times New Roman" w:hAnsi="Times New Roman" w:eastAsia="MS Mincho" w:cs="Times New Roman"/>
                <w:szCs w:val="22"/>
                <w:lang w:val="en-GB" w:eastAsia="ja-JP"/>
              </w:rPr>
              <w:t>?</w:t>
            </w:r>
          </w:p>
        </w:tc>
      </w:tr>
      <w:tr w14:paraId="5394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06FEAC6">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L</w:t>
            </w:r>
            <w:r>
              <w:rPr>
                <w:rFonts w:ascii="Times New Roman" w:hAnsi="Times New Roman" w:eastAsia="MS Mincho" w:cs="Times New Roman"/>
                <w:szCs w:val="22"/>
                <w:lang w:val="en-GB" w:eastAsia="ja-JP"/>
              </w:rPr>
              <w:t>GE</w:t>
            </w:r>
          </w:p>
        </w:tc>
        <w:tc>
          <w:tcPr>
            <w:tcW w:w="3825" w:type="pct"/>
            <w:tcBorders>
              <w:top w:val="single" w:color="auto" w:sz="4" w:space="0"/>
              <w:left w:val="single" w:color="auto" w:sz="4" w:space="0"/>
              <w:bottom w:val="single" w:color="auto" w:sz="4" w:space="0"/>
              <w:right w:val="single" w:color="auto" w:sz="4" w:space="0"/>
            </w:tcBorders>
          </w:tcPr>
          <w:p w14:paraId="608E7110">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W</w:t>
            </w:r>
            <w:r>
              <w:rPr>
                <w:rFonts w:ascii="Times New Roman" w:hAnsi="Times New Roman" w:eastAsia="MS Mincho"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14:paraId="7DA7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FED26A6">
            <w:pPr>
              <w:widowControl w:val="0"/>
              <w:suppressAutoHyphens/>
              <w:spacing w:line="256" w:lineRule="auto"/>
              <w:jc w:val="both"/>
              <w:rPr>
                <w:rFonts w:ascii="Calibri" w:hAnsi="Calibri" w:eastAsia="MS Mincho" w:cs="Arial"/>
                <w:szCs w:val="22"/>
                <w:lang w:val="en-GB" w:eastAsia="ja-JP"/>
              </w:rPr>
            </w:pPr>
            <w:r>
              <w:rPr>
                <w:rFonts w:hint="eastAsia" w:ascii="Times New Roman" w:hAnsi="Times New Roman" w:eastAsia="宋体" w:cs="Times New Roman"/>
                <w:kern w:val="2"/>
                <w:szCs w:val="22"/>
                <w:lang w:val="en-GB"/>
              </w:rPr>
              <w:t>Z</w:t>
            </w:r>
            <w:r>
              <w:rPr>
                <w:rFonts w:ascii="Times New Roman" w:hAnsi="Times New Roman" w:eastAsia="宋体" w:cs="Times New Roman"/>
                <w:kern w:val="2"/>
                <w:szCs w:val="22"/>
                <w:lang w:val="en-GB"/>
              </w:rPr>
              <w:t>TE</w:t>
            </w:r>
          </w:p>
        </w:tc>
        <w:tc>
          <w:tcPr>
            <w:tcW w:w="3825" w:type="pct"/>
            <w:tcBorders>
              <w:top w:val="single" w:color="auto" w:sz="4" w:space="0"/>
              <w:left w:val="single" w:color="auto" w:sz="4" w:space="0"/>
              <w:bottom w:val="single" w:color="auto" w:sz="4" w:space="0"/>
              <w:right w:val="single" w:color="auto" w:sz="4" w:space="0"/>
            </w:tcBorders>
          </w:tcPr>
          <w:p w14:paraId="00B3A67B">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Our views above are captured incorrectly, which have been corrected. </w:t>
            </w:r>
          </w:p>
          <w:p w14:paraId="07067748">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hint="eastAsia" w:ascii="Times New Roman" w:hAnsi="Times New Roman" w:eastAsia="宋体" w:cs="Times New Roman"/>
                <w:kern w:val="2"/>
                <w:szCs w:val="22"/>
                <w:lang w:val="en-GB" w:eastAsia="en-US"/>
              </w:rPr>
              <w:t xml:space="preserve"> </w:t>
            </w:r>
            <w:r>
              <w:rPr>
                <w:rFonts w:ascii="Times New Roman" w:hAnsi="Times New Roman" w:eastAsia="宋体" w:cs="Times New Roman"/>
                <w:kern w:val="2"/>
                <w:szCs w:val="22"/>
                <w:lang w:val="en-GB" w:eastAsia="en-US"/>
              </w:rPr>
              <w:t xml:space="preserve">We suggest add the following under the sub-bullet of gNB semi-static SBFD. </w:t>
            </w:r>
          </w:p>
          <w:p w14:paraId="17F06D8C">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宋体" w:cs="Times New Roman"/>
                <w:kern w:val="2"/>
                <w:szCs w:val="22"/>
                <w:lang w:val="en-GB" w:eastAsia="en-US"/>
              </w:rPr>
              <w:t>The SBFD performance and the interference is evaluated in session 10.5.5.</w:t>
            </w:r>
          </w:p>
        </w:tc>
      </w:tr>
      <w:tr w14:paraId="51A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EF32878">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088A0B97">
            <w:pPr>
              <w:widowControl w:val="0"/>
              <w:suppressAutoHyphens/>
              <w:spacing w:line="256" w:lineRule="auto"/>
              <w:jc w:val="both"/>
              <w:rPr>
                <w:rFonts w:ascii="Times New Roman" w:hAnsi="Times New Roman" w:cs="Times New Roman" w:eastAsiaTheme="minorEastAsia"/>
                <w:sz w:val="20"/>
                <w:szCs w:val="20"/>
                <w:lang w:val="en-GB"/>
              </w:rPr>
            </w:pPr>
            <w:r>
              <w:rPr>
                <w:rFonts w:ascii="Times New Roman" w:hAnsi="Times New Roman" w:cs="Times New Roman"/>
                <w:sz w:val="20"/>
                <w:szCs w:val="20"/>
                <w:lang w:val="en-GB" w:eastAsia="en-US"/>
              </w:rPr>
              <w:t>S</w:t>
            </w:r>
            <w:r>
              <w:rPr>
                <w:rFonts w:hint="eastAsia" w:ascii="Times New Roman" w:hAnsi="Times New Roman" w:cs="Times New Roman"/>
                <w:sz w:val="20"/>
                <w:szCs w:val="20"/>
                <w:lang w:val="en-GB" w:eastAsia="en-US"/>
              </w:rPr>
              <w:t xml:space="preserve">upport. </w:t>
            </w:r>
          </w:p>
          <w:p w14:paraId="1164587E">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14:paraId="13C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9472352">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MS Mincho" w:cs="Times New Roman"/>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0922B684">
            <w:pPr>
              <w:widowControl w:val="0"/>
              <w:suppressAutoHyphens/>
              <w:spacing w:line="256" w:lineRule="auto"/>
              <w:jc w:val="both"/>
              <w:rPr>
                <w:rFonts w:ascii="Calibri" w:hAnsi="Calibri" w:cs="Arial"/>
                <w:sz w:val="20"/>
                <w:szCs w:val="20"/>
                <w:lang w:val="en-GB" w:eastAsia="en-US"/>
              </w:rPr>
            </w:pPr>
            <w:r>
              <w:rPr>
                <w:rFonts w:hint="eastAsia" w:ascii="Times New Roman" w:hAnsi="Times New Roman" w:eastAsia="MS Mincho" w:cs="Times New Roman"/>
                <w:szCs w:val="22"/>
                <w:lang w:val="en-GB" w:eastAsia="ja-JP"/>
              </w:rPr>
              <w:t>Support</w:t>
            </w:r>
          </w:p>
        </w:tc>
      </w:tr>
      <w:tr w14:paraId="4B13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D5DDC0A">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宋体" w:cs="Times New Roman"/>
                <w:kern w:val="2"/>
                <w:szCs w:val="22"/>
                <w:lang w:val="en-GB"/>
              </w:rPr>
              <w:t>v</w:t>
            </w:r>
            <w:r>
              <w:rPr>
                <w:rFonts w:ascii="Times New Roman" w:hAnsi="Times New Roman" w:eastAsia="宋体" w:cs="Times New Roman"/>
                <w:kern w:val="2"/>
                <w:szCs w:val="22"/>
                <w:lang w:val="en-GB"/>
              </w:rPr>
              <w:t>ivo</w:t>
            </w:r>
          </w:p>
        </w:tc>
        <w:tc>
          <w:tcPr>
            <w:tcW w:w="3825" w:type="pct"/>
          </w:tcPr>
          <w:p w14:paraId="04CF2987">
            <w:pPr>
              <w:widowControl w:val="0"/>
              <w:suppressAutoHyphens/>
              <w:spacing w:line="256" w:lineRule="auto"/>
              <w:jc w:val="both"/>
              <w:rPr>
                <w:rFonts w:ascii="Calibri" w:hAnsi="Calibri" w:eastAsia="宋体" w:cs="Arial"/>
                <w:kern w:val="2"/>
                <w:szCs w:val="22"/>
                <w:lang w:val="en-GB"/>
              </w:rPr>
            </w:pPr>
            <w:r>
              <w:rPr>
                <w:rFonts w:ascii="Times New Roman" w:hAnsi="Times New Roman" w:eastAsia="宋体" w:cs="Times New Roman"/>
                <w:kern w:val="2"/>
                <w:szCs w:val="22"/>
                <w:lang w:val="en-GB"/>
              </w:rPr>
              <w:t>We think it should not preclude other duplex schemes at this stage. There are 11 companies support dynamic SBFD at gNB side. The proposal is preferred to be modified as following:</w:t>
            </w:r>
          </w:p>
          <w:p w14:paraId="1A78D4DF">
            <w:pPr>
              <w:spacing w:after="0"/>
              <w:rPr>
                <w:rFonts w:ascii="Calibri" w:hAnsi="Calibri" w:eastAsia="等线" w:cs="Arial"/>
              </w:rPr>
            </w:pPr>
            <w:r>
              <w:rPr>
                <w:rFonts w:hint="eastAsia" w:ascii="Calibri" w:hAnsi="Calibri" w:eastAsia="等线" w:cs="Arial"/>
              </w:rPr>
              <w:t xml:space="preserve">For </w:t>
            </w:r>
            <w:r>
              <w:rPr>
                <w:rFonts w:ascii="Calibri" w:hAnsi="Calibri" w:eastAsia="等线" w:cs="Arial"/>
              </w:rPr>
              <w:t>6GR</w:t>
            </w:r>
            <w:r>
              <w:rPr>
                <w:rFonts w:hint="eastAsia" w:ascii="Calibri" w:hAnsi="Calibri" w:eastAsia="等线" w:cs="Arial"/>
              </w:rPr>
              <w:t xml:space="preserve">, RAN1 supports the following duplexing schemes </w:t>
            </w:r>
          </w:p>
          <w:p w14:paraId="288B24AA">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sz w:val="21"/>
                <w:szCs w:val="21"/>
              </w:rPr>
              <w:t>FD-FDD</w:t>
            </w:r>
          </w:p>
          <w:p w14:paraId="7D0A4354">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14:paraId="0DC5E8DA">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14:paraId="7C82A611">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hint="eastAsia" w:ascii="Calibri" w:hAnsi="Calibri" w:cs="Arial"/>
                <w:sz w:val="21"/>
                <w:szCs w:val="21"/>
              </w:rPr>
              <w:t xml:space="preserve"> on UE side</w:t>
            </w:r>
          </w:p>
          <w:p w14:paraId="3B29E731">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519716F2">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eastAsiaTheme="minorEastAsia"/>
                <w:sz w:val="21"/>
                <w:szCs w:val="21"/>
              </w:rPr>
              <w:t>FFS</w:t>
            </w:r>
            <w:r>
              <w:rPr>
                <w:rFonts w:ascii="Calibri" w:hAnsi="Calibri" w:cs="Arial" w:eastAsiaTheme="minorEastAsia"/>
                <w:sz w:val="21"/>
                <w:szCs w:val="21"/>
              </w:rPr>
              <w:t xml:space="preserve"> dynamic SBFD at gNB</w:t>
            </w:r>
          </w:p>
          <w:p w14:paraId="2C581B15">
            <w:pPr>
              <w:widowControl w:val="0"/>
              <w:adjustRightInd/>
              <w:snapToGrid/>
              <w:spacing w:after="0" w:line="252" w:lineRule="auto"/>
              <w:contextualSpacing/>
              <w:rPr>
                <w:rFonts w:ascii="Calibri" w:hAnsi="Calibri" w:eastAsia="宋体" w:cs="Arial"/>
                <w:kern w:val="2"/>
                <w:szCs w:val="22"/>
                <w:lang w:val="en-GB"/>
              </w:rPr>
            </w:pPr>
          </w:p>
        </w:tc>
      </w:tr>
      <w:tr w14:paraId="20EB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7494B7D">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MTK</w:t>
            </w:r>
          </w:p>
        </w:tc>
        <w:tc>
          <w:tcPr>
            <w:tcW w:w="3825" w:type="pct"/>
          </w:tcPr>
          <w:p w14:paraId="11E1DD18">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Same view as DOCOMO. Prefer to have separate discussion for dynamic TDD.</w:t>
            </w:r>
          </w:p>
        </w:tc>
      </w:tr>
    </w:tbl>
    <w:p w14:paraId="715E1C0E">
      <w:pPr>
        <w:rPr>
          <w:rFonts w:eastAsia="等线"/>
        </w:rPr>
      </w:pPr>
    </w:p>
    <w:p w14:paraId="42673BC6">
      <w:pPr>
        <w:pStyle w:val="4"/>
        <w:spacing w:after="120"/>
        <w:rPr>
          <w:rFonts w:eastAsia="等线"/>
        </w:rPr>
      </w:pPr>
      <w:r>
        <w:rPr>
          <w:rFonts w:hint="eastAsia" w:eastAsia="等线"/>
        </w:rPr>
        <w:t>Second round discussion</w:t>
      </w:r>
    </w:p>
    <w:p w14:paraId="75E0E465">
      <w:pPr>
        <w:spacing w:before="120"/>
        <w:rPr>
          <w:rFonts w:eastAsiaTheme="minorEastAsia"/>
          <w:lang w:val="en-GB"/>
        </w:rPr>
      </w:pPr>
    </w:p>
    <w:p w14:paraId="4D94F4F4">
      <w:pPr>
        <w:pStyle w:val="2"/>
        <w:spacing w:before="120" w:after="120"/>
        <w:rPr>
          <w:rFonts w:eastAsiaTheme="minorEastAsia"/>
          <w:lang w:val="en-GB"/>
        </w:rPr>
      </w:pPr>
      <w:r>
        <w:rPr>
          <w:rFonts w:hint="eastAsia" w:eastAsiaTheme="minorEastAsia"/>
          <w:lang w:val="en-GB"/>
        </w:rPr>
        <w:t xml:space="preserve">Spectrum </w:t>
      </w:r>
      <w:r>
        <w:rPr>
          <w:rFonts w:eastAsiaTheme="minorEastAsia"/>
          <w:lang w:val="en-GB"/>
        </w:rPr>
        <w:t>utilization</w:t>
      </w:r>
      <w:r>
        <w:rPr>
          <w:rFonts w:hint="eastAsia" w:eastAsiaTheme="minorEastAsia"/>
          <w:lang w:val="en-GB"/>
        </w:rPr>
        <w:t xml:space="preserve"> and aggregation</w:t>
      </w:r>
    </w:p>
    <w:p w14:paraId="0D6CE9FC">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57F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shd w:val="clear" w:color="auto" w:fill="DBE5F1" w:themeFill="accent1" w:themeFillTint="33"/>
          </w:tcPr>
          <w:p w14:paraId="26590DDD">
            <w:pPr>
              <w:widowControl w:val="0"/>
              <w:autoSpaceDE w:val="0"/>
              <w:autoSpaceDN w:val="0"/>
              <w:jc w:val="both"/>
              <w:rPr>
                <w:szCs w:val="22"/>
              </w:rPr>
            </w:pPr>
            <w:r>
              <w:rPr>
                <w:rFonts w:eastAsiaTheme="minorEastAsia"/>
                <w:b/>
                <w:bCs/>
                <w:szCs w:val="22"/>
                <w:lang w:eastAsia="ko-KR"/>
              </w:rPr>
              <w:t>Company</w:t>
            </w:r>
          </w:p>
        </w:tc>
        <w:tc>
          <w:tcPr>
            <w:tcW w:w="3829" w:type="pct"/>
            <w:shd w:val="clear" w:color="auto" w:fill="DBE5F1" w:themeFill="accent1" w:themeFillTint="33"/>
          </w:tcPr>
          <w:p w14:paraId="41759C4B">
            <w:pPr>
              <w:widowControl w:val="0"/>
              <w:autoSpaceDE w:val="0"/>
              <w:autoSpaceDN w:val="0"/>
              <w:jc w:val="center"/>
              <w:rPr>
                <w:szCs w:val="22"/>
              </w:rPr>
            </w:pPr>
            <w:r>
              <w:rPr>
                <w:rFonts w:eastAsiaTheme="minorEastAsia"/>
                <w:b/>
                <w:bCs/>
                <w:szCs w:val="22"/>
                <w:lang w:eastAsia="ko-KR"/>
              </w:rPr>
              <w:t xml:space="preserve">Views/proposals </w:t>
            </w:r>
          </w:p>
        </w:tc>
      </w:tr>
      <w:tr w14:paraId="6D0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56A4165">
            <w:pPr>
              <w:widowControl w:val="0"/>
              <w:autoSpaceDE w:val="0"/>
              <w:autoSpaceDN w:val="0"/>
              <w:spacing w:afterLines="50"/>
              <w:jc w:val="both"/>
              <w:rPr>
                <w:iCs/>
                <w:sz w:val="20"/>
                <w:szCs w:val="20"/>
              </w:rPr>
            </w:pPr>
            <w:r>
              <w:rPr>
                <w:rFonts w:eastAsia="宋体"/>
                <w:sz w:val="20"/>
                <w:szCs w:val="20"/>
                <w:lang w:val="en-GB"/>
              </w:rPr>
              <w:t>CATT, CICTCI</w:t>
            </w:r>
          </w:p>
        </w:tc>
        <w:tc>
          <w:tcPr>
            <w:tcW w:w="3829" w:type="pct"/>
          </w:tcPr>
          <w:p w14:paraId="673FAD85">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10F0B7C9">
            <w:pPr>
              <w:pStyle w:val="63"/>
              <w:widowControl w:val="0"/>
              <w:numPr>
                <w:ilvl w:val="0"/>
                <w:numId w:val="82"/>
              </w:numPr>
              <w:autoSpaceDE w:val="0"/>
              <w:autoSpaceDN w:val="0"/>
              <w:spacing w:afterLines="50"/>
              <w:jc w:val="both"/>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7DC76625">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 xml:space="preserve">CA has been a beneficial feature in previous generations </w:t>
            </w:r>
          </w:p>
          <w:p w14:paraId="65A68842">
            <w:pPr>
              <w:pStyle w:val="63"/>
              <w:widowControl w:val="0"/>
              <w:numPr>
                <w:ilvl w:val="1"/>
                <w:numId w:val="83"/>
              </w:numPr>
              <w:autoSpaceDE w:val="0"/>
              <w:autoSpaceDN w:val="0"/>
              <w:spacing w:afterLines="50"/>
              <w:jc w:val="both"/>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105FE9AA">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Operating scenarios of CA and DC have some overlap</w:t>
            </w:r>
          </w:p>
          <w:p w14:paraId="4A93DEAC">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Some functionalities are supported only on Pcell</w:t>
            </w:r>
          </w:p>
          <w:p w14:paraId="25D24401">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Slow and complex activation of additional carrier</w:t>
            </w:r>
          </w:p>
          <w:p w14:paraId="0E8793D6">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023F386F">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Utilizing fragmented spectrum is not considered well</w:t>
            </w:r>
          </w:p>
          <w:p w14:paraId="4E64BCEF">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Features (such as HARQ) defined per carrier leads to sub-optimal performance</w:t>
            </w:r>
          </w:p>
          <w:p w14:paraId="09B10907">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7B400BF">
            <w:pPr>
              <w:pStyle w:val="63"/>
              <w:widowControl w:val="0"/>
              <w:numPr>
                <w:ilvl w:val="1"/>
                <w:numId w:val="83"/>
              </w:numPr>
              <w:autoSpaceDE w:val="0"/>
              <w:autoSpaceDN w:val="0"/>
              <w:spacing w:afterLines="50"/>
              <w:jc w:val="both"/>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7F8D89DB">
            <w:pPr>
              <w:pStyle w:val="63"/>
              <w:widowControl w:val="0"/>
              <w:numPr>
                <w:ilvl w:val="1"/>
                <w:numId w:val="83"/>
              </w:numPr>
              <w:autoSpaceDE w:val="0"/>
              <w:autoSpaceDN w:val="0"/>
              <w:spacing w:afterLines="50"/>
              <w:jc w:val="both"/>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73EE9B07">
            <w:pPr>
              <w:pStyle w:val="63"/>
              <w:widowControl w:val="0"/>
              <w:numPr>
                <w:ilvl w:val="1"/>
                <w:numId w:val="83"/>
              </w:numPr>
              <w:autoSpaceDE w:val="0"/>
              <w:autoSpaceDN w:val="0"/>
              <w:spacing w:afterLines="50"/>
              <w:jc w:val="both"/>
              <w:rPr>
                <w:rFonts w:eastAsiaTheme="minorEastAsia"/>
                <w:bCs/>
                <w:strike/>
                <w:color w:val="FF0000"/>
                <w:sz w:val="20"/>
                <w:szCs w:val="20"/>
              </w:rPr>
            </w:pPr>
            <w:r>
              <w:rPr>
                <w:bCs/>
                <w:sz w:val="20"/>
                <w:szCs w:val="20"/>
              </w:rPr>
              <w:t>Note: For 6GR, further study whether/how to address the above lessons</w:t>
            </w:r>
          </w:p>
          <w:p w14:paraId="23BE6124">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59A176D2">
            <w:pPr>
              <w:pStyle w:val="63"/>
              <w:widowControl w:val="0"/>
              <w:numPr>
                <w:ilvl w:val="0"/>
                <w:numId w:val="84"/>
              </w:numPr>
              <w:autoSpaceDE w:val="0"/>
              <w:autoSpaceDN w:val="0"/>
              <w:spacing w:afterLines="50"/>
              <w:jc w:val="both"/>
              <w:rPr>
                <w:rFonts w:eastAsiaTheme="minorEastAsia"/>
                <w:bCs/>
                <w:sz w:val="20"/>
                <w:szCs w:val="20"/>
              </w:rPr>
            </w:pPr>
            <w:r>
              <w:rPr>
                <w:rFonts w:eastAsiaTheme="minorEastAsia"/>
                <w:bCs/>
                <w:sz w:val="20"/>
                <w:szCs w:val="20"/>
              </w:rPr>
              <w:t>Unified CA framework to support the functionality of the normal CA, SUL, and SDL.</w:t>
            </w:r>
          </w:p>
          <w:p w14:paraId="225840D7">
            <w:pPr>
              <w:pStyle w:val="63"/>
              <w:widowControl w:val="0"/>
              <w:numPr>
                <w:ilvl w:val="0"/>
                <w:numId w:val="84"/>
              </w:numPr>
              <w:autoSpaceDE w:val="0"/>
              <w:autoSpaceDN w:val="0"/>
              <w:spacing w:afterLines="50"/>
              <w:jc w:val="both"/>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2EBC36D2">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058FF168">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19：A multi-carrier framework should be designed to support spectrum utilization over one or more carrier/band in 6GR while meeting the following requirements: </w:t>
            </w:r>
          </w:p>
          <w:p w14:paraId="7E2CD175">
            <w:pPr>
              <w:pStyle w:val="63"/>
              <w:widowControl w:val="0"/>
              <w:numPr>
                <w:ilvl w:val="0"/>
                <w:numId w:val="85"/>
              </w:numPr>
              <w:autoSpaceDE w:val="0"/>
              <w:autoSpaceDN w:val="0"/>
              <w:spacing w:afterLines="50"/>
              <w:jc w:val="both"/>
              <w:rPr>
                <w:rFonts w:eastAsiaTheme="minorEastAsia"/>
                <w:bCs/>
                <w:sz w:val="20"/>
                <w:szCs w:val="20"/>
              </w:rPr>
            </w:pPr>
            <w:r>
              <w:rPr>
                <w:rFonts w:eastAsiaTheme="minorEastAsia"/>
                <w:bCs/>
                <w:sz w:val="20"/>
                <w:szCs w:val="20"/>
              </w:rPr>
              <w:t xml:space="preserve">Efficient fragmented and irregular spectrum utilization </w:t>
            </w:r>
          </w:p>
          <w:p w14:paraId="186C7BEE">
            <w:pPr>
              <w:pStyle w:val="63"/>
              <w:widowControl w:val="0"/>
              <w:numPr>
                <w:ilvl w:val="0"/>
                <w:numId w:val="85"/>
              </w:numPr>
              <w:autoSpaceDE w:val="0"/>
              <w:autoSpaceDN w:val="0"/>
              <w:spacing w:afterLines="50"/>
              <w:jc w:val="both"/>
              <w:rPr>
                <w:rFonts w:eastAsiaTheme="minorEastAsia"/>
                <w:bCs/>
                <w:sz w:val="20"/>
                <w:szCs w:val="20"/>
              </w:rPr>
            </w:pPr>
            <w:r>
              <w:rPr>
                <w:rFonts w:eastAsiaTheme="minorEastAsia"/>
                <w:bCs/>
                <w:sz w:val="20"/>
                <w:szCs w:val="20"/>
              </w:rPr>
              <w:t>Low common signalling overhead</w:t>
            </w:r>
          </w:p>
          <w:p w14:paraId="14DB07D8">
            <w:pPr>
              <w:pStyle w:val="63"/>
              <w:widowControl w:val="0"/>
              <w:numPr>
                <w:ilvl w:val="0"/>
                <w:numId w:val="85"/>
              </w:numPr>
              <w:autoSpaceDE w:val="0"/>
              <w:autoSpaceDN w:val="0"/>
              <w:spacing w:afterLines="50"/>
              <w:jc w:val="both"/>
              <w:rPr>
                <w:rFonts w:eastAsiaTheme="minorEastAsia"/>
                <w:bCs/>
                <w:sz w:val="20"/>
                <w:szCs w:val="20"/>
              </w:rPr>
            </w:pPr>
            <w:r>
              <w:rPr>
                <w:rFonts w:eastAsiaTheme="minorEastAsia"/>
                <w:bCs/>
                <w:sz w:val="20"/>
                <w:szCs w:val="20"/>
              </w:rPr>
              <w:t>Load balance for the RACH procedure</w:t>
            </w:r>
          </w:p>
          <w:p w14:paraId="31C8ADA8">
            <w:pPr>
              <w:pStyle w:val="63"/>
              <w:widowControl w:val="0"/>
              <w:numPr>
                <w:ilvl w:val="0"/>
                <w:numId w:val="85"/>
              </w:numPr>
              <w:autoSpaceDE w:val="0"/>
              <w:autoSpaceDN w:val="0"/>
              <w:spacing w:afterLines="50"/>
              <w:jc w:val="both"/>
              <w:rPr>
                <w:rFonts w:eastAsiaTheme="minorEastAsia"/>
                <w:bCs/>
                <w:sz w:val="20"/>
                <w:szCs w:val="20"/>
              </w:rPr>
            </w:pPr>
            <w:r>
              <w:rPr>
                <w:rFonts w:eastAsiaTheme="minorEastAsia"/>
                <w:bCs/>
                <w:sz w:val="20"/>
                <w:szCs w:val="20"/>
              </w:rPr>
              <w:t>Reduced control channel overhead.</w:t>
            </w:r>
          </w:p>
          <w:p w14:paraId="7ABAC4BE">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6A1AAE7F">
            <w:pPr>
              <w:pStyle w:val="63"/>
              <w:widowControl w:val="0"/>
              <w:numPr>
                <w:ilvl w:val="0"/>
                <w:numId w:val="86"/>
              </w:numPr>
              <w:autoSpaceDE w:val="0"/>
              <w:autoSpaceDN w:val="0"/>
              <w:spacing w:afterLines="50"/>
              <w:jc w:val="both"/>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1CA5398C">
            <w:pPr>
              <w:pStyle w:val="63"/>
              <w:widowControl w:val="0"/>
              <w:numPr>
                <w:ilvl w:val="0"/>
                <w:numId w:val="86"/>
              </w:numPr>
              <w:autoSpaceDE w:val="0"/>
              <w:autoSpaceDN w:val="0"/>
              <w:spacing w:afterLines="50"/>
              <w:jc w:val="both"/>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99D698F">
            <w:pPr>
              <w:widowControl w:val="0"/>
              <w:autoSpaceDE w:val="0"/>
              <w:autoSpaceDN w:val="0"/>
              <w:spacing w:afterLines="50"/>
              <w:jc w:val="both"/>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Intra-band spectrum aggregation can be used as starting point.</w:t>
            </w:r>
          </w:p>
          <w:p w14:paraId="20BC5E53">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Consider one TB spanning across multiple scattered spectrum segments.</w:t>
            </w:r>
          </w:p>
          <w:p w14:paraId="12F934B0">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Consider BWP-based operation to support different UE bandwidth capabilities.</w:t>
            </w:r>
          </w:p>
          <w:p w14:paraId="785B98DA">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Consider SCMC as one cell in the CA framework.</w:t>
            </w:r>
          </w:p>
        </w:tc>
      </w:tr>
      <w:tr w14:paraId="2584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A17C7B7">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14:paraId="65C75074">
            <w:pPr>
              <w:widowControl w:val="0"/>
              <w:suppressAutoHyphens/>
              <w:autoSpaceDE/>
              <w:autoSpaceDN/>
              <w:spacing w:afterLines="50"/>
              <w:jc w:val="both"/>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2A665C9E">
            <w:pPr>
              <w:widowControl w:val="0"/>
              <w:numPr>
                <w:ilvl w:val="0"/>
                <w:numId w:val="88"/>
              </w:numPr>
              <w:suppressAutoHyphens/>
              <w:autoSpaceDE/>
              <w:autoSpaceDN/>
              <w:spacing w:afterLines="50"/>
              <w:jc w:val="both"/>
              <w:rPr>
                <w:i/>
                <w:iCs/>
                <w:sz w:val="20"/>
                <w:szCs w:val="20"/>
              </w:rPr>
            </w:pPr>
            <w:r>
              <w:rPr>
                <w:i/>
                <w:iCs/>
                <w:sz w:val="20"/>
                <w:szCs w:val="20"/>
              </w:rPr>
              <w:t>CA has been a beneficial feature in previous generations</w:t>
            </w:r>
          </w:p>
          <w:p w14:paraId="33FBD125">
            <w:pPr>
              <w:widowControl w:val="0"/>
              <w:numPr>
                <w:ilvl w:val="0"/>
                <w:numId w:val="88"/>
              </w:numPr>
              <w:suppressAutoHyphens/>
              <w:autoSpaceDE/>
              <w:autoSpaceDN/>
              <w:spacing w:afterLines="50"/>
              <w:jc w:val="both"/>
              <w:rPr>
                <w:i/>
                <w:iCs/>
                <w:sz w:val="20"/>
                <w:szCs w:val="20"/>
              </w:rPr>
            </w:pPr>
            <w:r>
              <w:rPr>
                <w:i/>
                <w:iCs/>
                <w:sz w:val="20"/>
                <w:szCs w:val="20"/>
              </w:rPr>
              <w:t>Some functionalities are supported only on PCell</w:t>
            </w:r>
          </w:p>
          <w:p w14:paraId="5E9357AC">
            <w:pPr>
              <w:widowControl w:val="0"/>
              <w:numPr>
                <w:ilvl w:val="0"/>
                <w:numId w:val="88"/>
              </w:numPr>
              <w:suppressAutoHyphens/>
              <w:autoSpaceDE/>
              <w:autoSpaceDN/>
              <w:spacing w:afterLines="50"/>
              <w:jc w:val="both"/>
              <w:rPr>
                <w:rFonts w:eastAsia="等线"/>
                <w:i/>
                <w:iCs/>
                <w:sz w:val="20"/>
                <w:szCs w:val="20"/>
              </w:rPr>
            </w:pPr>
            <w:r>
              <w:rPr>
                <w:i/>
                <w:iCs/>
                <w:sz w:val="20"/>
                <w:szCs w:val="20"/>
              </w:rPr>
              <w:t>Inefficiency from coupling DL and UL carriers for a cell</w:t>
            </w:r>
          </w:p>
          <w:p w14:paraId="423CABCA">
            <w:pPr>
              <w:widowControl w:val="0"/>
              <w:numPr>
                <w:ilvl w:val="0"/>
                <w:numId w:val="88"/>
              </w:numPr>
              <w:suppressAutoHyphens/>
              <w:autoSpaceDE/>
              <w:autoSpaceDN/>
              <w:spacing w:afterLines="50"/>
              <w:jc w:val="both"/>
              <w:rPr>
                <w:rFonts w:eastAsia="等线"/>
                <w:i/>
                <w:iCs/>
                <w:sz w:val="20"/>
                <w:szCs w:val="20"/>
              </w:rPr>
            </w:pPr>
            <w:r>
              <w:rPr>
                <w:i/>
                <w:iCs/>
                <w:sz w:val="20"/>
                <w:szCs w:val="20"/>
              </w:rPr>
              <w:t>Late introduction of UL TX switching leads to restricted applicability/performance</w:t>
            </w:r>
          </w:p>
          <w:p w14:paraId="0D558961">
            <w:pPr>
              <w:widowControl w:val="0"/>
              <w:autoSpaceDE w:val="0"/>
              <w:autoSpaceDN w:val="0"/>
              <w:spacing w:afterLines="50"/>
              <w:jc w:val="both"/>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14:paraId="5D4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750EFA7">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6C31FF9A">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527AF34">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6E794C42">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lang w:eastAsia="en-US"/>
              </w:rPr>
              <w:t>Slow and complex activation of additional carrier</w:t>
            </w:r>
          </w:p>
          <w:p w14:paraId="3E6F6F2C">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 xml:space="preserve">Inefficiency from coupling DL and UL carriers for a cell. </w:t>
            </w:r>
          </w:p>
          <w:p w14:paraId="5408B3BD">
            <w:pPr>
              <w:widowControl w:val="0"/>
              <w:numPr>
                <w:ilvl w:val="0"/>
                <w:numId w:val="88"/>
              </w:numPr>
              <w:suppressAutoHyphens/>
              <w:overflowPunct w:val="0"/>
              <w:autoSpaceDE w:val="0"/>
              <w:autoSpaceDN w:val="0"/>
              <w:spacing w:afterLines="50"/>
              <w:jc w:val="both"/>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6CE441CF">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Features (such as HARQ) defined per carrier leads to sub-optimal performance</w:t>
            </w:r>
          </w:p>
          <w:p w14:paraId="0BBD8E79">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Overdesigned multi-carrier scheduling scenarios</w:t>
            </w:r>
          </w:p>
          <w:p w14:paraId="020F7D92">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UE processing complexity/capability of PHY channels due to per CC constraint</w:t>
            </w:r>
          </w:p>
          <w:p w14:paraId="2750F3B3">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67A1F391">
            <w:pPr>
              <w:widowControl w:val="0"/>
              <w:numPr>
                <w:ilvl w:val="0"/>
                <w:numId w:val="88"/>
              </w:numPr>
              <w:overflowPunct w:val="0"/>
              <w:autoSpaceDE w:val="0"/>
              <w:autoSpaceDN w:val="0"/>
              <w:spacing w:afterLines="50"/>
              <w:jc w:val="both"/>
              <w:textAlignment w:val="baseline"/>
              <w:rPr>
                <w:rFonts w:eastAsia="宋体"/>
                <w:bCs/>
                <w:sz w:val="20"/>
                <w:szCs w:val="20"/>
              </w:rPr>
            </w:pPr>
            <w:r>
              <w:rPr>
                <w:rFonts w:eastAsia="宋体"/>
                <w:bCs/>
                <w:sz w:val="20"/>
                <w:szCs w:val="20"/>
              </w:rPr>
              <w:t>Late introduction of UL TX switching leads to restricted applicability/performance</w:t>
            </w:r>
          </w:p>
          <w:p w14:paraId="4B09F4D7">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06F419E8">
            <w:pPr>
              <w:pStyle w:val="63"/>
              <w:widowControl w:val="0"/>
              <w:numPr>
                <w:ilvl w:val="0"/>
                <w:numId w:val="82"/>
              </w:numPr>
              <w:tabs>
                <w:tab w:val="left" w:pos="-1180"/>
                <w:tab w:val="left" w:pos="-420"/>
              </w:tabs>
              <w:autoSpaceDE w:val="0"/>
              <w:autoSpaceDN w:val="0"/>
              <w:spacing w:afterLines="50"/>
              <w:jc w:val="both"/>
              <w:rPr>
                <w:rFonts w:eastAsia="宋体"/>
                <w:bCs/>
                <w:sz w:val="20"/>
                <w:szCs w:val="20"/>
              </w:rPr>
            </w:pPr>
            <w:r>
              <w:rPr>
                <w:rFonts w:eastAsia="宋体"/>
                <w:bCs/>
                <w:sz w:val="20"/>
                <w:szCs w:val="20"/>
              </w:rPr>
              <w:t>Flexible offloading from IDLE/INACTIVE mode and flexible DL&amp;UL paring</w:t>
            </w:r>
          </w:p>
          <w:p w14:paraId="02B40BFF">
            <w:pPr>
              <w:pStyle w:val="63"/>
              <w:widowControl w:val="0"/>
              <w:numPr>
                <w:ilvl w:val="0"/>
                <w:numId w:val="82"/>
              </w:numPr>
              <w:tabs>
                <w:tab w:val="left" w:pos="-1180"/>
                <w:tab w:val="left" w:pos="-420"/>
              </w:tabs>
              <w:autoSpaceDE w:val="0"/>
              <w:autoSpaceDN w:val="0"/>
              <w:spacing w:afterLines="50"/>
              <w:jc w:val="both"/>
              <w:rPr>
                <w:rFonts w:eastAsia="宋体"/>
                <w:bCs/>
                <w:sz w:val="20"/>
                <w:szCs w:val="20"/>
              </w:rPr>
            </w:pPr>
            <w:r>
              <w:rPr>
                <w:rFonts w:eastAsia="宋体"/>
                <w:bCs/>
                <w:sz w:val="20"/>
                <w:szCs w:val="20"/>
              </w:rPr>
              <w:t>Cell configuration signaling and SSB overhead reduction</w:t>
            </w:r>
          </w:p>
          <w:p w14:paraId="11CDCB79">
            <w:pPr>
              <w:pStyle w:val="63"/>
              <w:widowControl w:val="0"/>
              <w:numPr>
                <w:ilvl w:val="0"/>
                <w:numId w:val="82"/>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Scheduling overhead reduction. </w:t>
            </w:r>
          </w:p>
          <w:p w14:paraId="2D8EFC56">
            <w:pPr>
              <w:pStyle w:val="63"/>
              <w:widowControl w:val="0"/>
              <w:numPr>
                <w:ilvl w:val="0"/>
                <w:numId w:val="82"/>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Network energy saving. </w:t>
            </w:r>
          </w:p>
          <w:p w14:paraId="61733466">
            <w:pPr>
              <w:widowControl w:val="0"/>
              <w:numPr>
                <w:ilvl w:val="255"/>
                <w:numId w:val="0"/>
              </w:numPr>
              <w:autoSpaceDE w:val="0"/>
              <w:autoSpaceDN w:val="0"/>
              <w:spacing w:afterLines="50"/>
              <w:jc w:val="both"/>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1BAE1FFF">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A hyper cell consists of a serial of “anchor/non-anchor carriers/cells”</w:t>
            </w:r>
          </w:p>
          <w:p w14:paraId="020E458B">
            <w:pPr>
              <w:widowControl w:val="0"/>
              <w:numPr>
                <w:ilvl w:val="1"/>
                <w:numId w:val="89"/>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88E990B">
            <w:pPr>
              <w:widowControl w:val="0"/>
              <w:numPr>
                <w:ilvl w:val="1"/>
                <w:numId w:val="89"/>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11923A01">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1C7FE46">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607288F6">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24FD34CA">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0DEE0AF">
            <w:pPr>
              <w:widowControl w:val="0"/>
              <w:numPr>
                <w:ilvl w:val="0"/>
                <w:numId w:val="89"/>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215E4F00">
            <w:pPr>
              <w:widowControl w:val="0"/>
              <w:numPr>
                <w:ilvl w:val="0"/>
                <w:numId w:val="89"/>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Flexible intra-Hyper cell carriers switching is supported for connected mode.</w:t>
            </w:r>
          </w:p>
          <w:p w14:paraId="7706DC91">
            <w:pPr>
              <w:widowControl w:val="0"/>
              <w:numPr>
                <w:ilvl w:val="0"/>
                <w:numId w:val="89"/>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Support UEs with single carrier or multiple carriers capability to access Hyper cell.</w:t>
            </w:r>
          </w:p>
        </w:tc>
      </w:tr>
      <w:tr w14:paraId="531B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3AE5237">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200DE7C4">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"_Toc220701022" </w:instrText>
            </w:r>
            <w:r>
              <w:fldChar w:fldCharType="separate"/>
            </w:r>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r>
              <w:rPr>
                <w:rFonts w:eastAsia="Calibri"/>
                <w:bCs/>
                <w:sz w:val="20"/>
                <w:szCs w:val="20"/>
              </w:rPr>
              <w:fldChar w:fldCharType="end"/>
            </w:r>
          </w:p>
          <w:p w14:paraId="508106D2">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"_Toc220701023" </w:instrText>
            </w:r>
            <w:r>
              <w:fldChar w:fldCharType="separate"/>
            </w:r>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r>
              <w:rPr>
                <w:rFonts w:eastAsia="Calibri"/>
                <w:bCs/>
                <w:sz w:val="20"/>
                <w:szCs w:val="20"/>
              </w:rPr>
              <w:fldChar w:fldCharType="end"/>
            </w:r>
          </w:p>
          <w:p w14:paraId="00EF7E1C">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"_Toc220701024" </w:instrText>
            </w:r>
            <w:r>
              <w:fldChar w:fldCharType="separate"/>
            </w:r>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r>
              <w:rPr>
                <w:rFonts w:eastAsia="Calibri"/>
                <w:bCs/>
                <w:sz w:val="20"/>
                <w:szCs w:val="20"/>
              </w:rPr>
              <w:fldChar w:fldCharType="end"/>
            </w:r>
          </w:p>
          <w:p w14:paraId="7EC5A726">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"_Toc220701025" </w:instrText>
            </w:r>
            <w:r>
              <w:fldChar w:fldCharType="separate"/>
            </w:r>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r>
              <w:rPr>
                <w:rFonts w:eastAsia="Calibri"/>
                <w:bCs/>
                <w:sz w:val="20"/>
                <w:szCs w:val="20"/>
              </w:rPr>
              <w:fldChar w:fldCharType="end"/>
            </w:r>
          </w:p>
          <w:p w14:paraId="7FAA58BC">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"_Toc220701026" </w:instrText>
            </w:r>
            <w:r>
              <w:fldChar w:fldCharType="separate"/>
            </w:r>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r>
              <w:rPr>
                <w:rFonts w:eastAsia="Calibri"/>
                <w:bCs/>
                <w:sz w:val="20"/>
                <w:szCs w:val="20"/>
              </w:rPr>
              <w:fldChar w:fldCharType="end"/>
            </w:r>
          </w:p>
          <w:p w14:paraId="451B1A4F">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"_Toc220701027" </w:instrText>
            </w:r>
            <w:r>
              <w:fldChar w:fldCharType="separate"/>
            </w:r>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r>
              <w:rPr>
                <w:rFonts w:eastAsia="Calibri"/>
                <w:bCs/>
                <w:sz w:val="20"/>
                <w:szCs w:val="20"/>
              </w:rPr>
              <w:fldChar w:fldCharType="end"/>
            </w:r>
          </w:p>
          <w:p w14:paraId="3BCD25D6">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"_Toc220701028" </w:instrText>
            </w:r>
            <w:r>
              <w:fldChar w:fldCharType="separate"/>
            </w:r>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w:rPr>
                  <w:rFonts w:ascii="Cambria Math" w:hAnsi="Cambria Math" w:eastAsia="Calibri"/>
                  <w:sz w:val="20"/>
                  <w:szCs w:val="20"/>
                </w:rPr>
                <m:t>k=0K−1Nk≤N</m:t>
              </m:r>
              <m:r>
                <m:rPr>
                  <m:nor/>
                  <m:sty m:val="p"/>
                </m:rPr>
                <w:rPr>
                  <w:rFonts w:eastAsia="Calibri"/>
                  <w:bCs/>
                  <w:sz w:val="20"/>
                  <w:szCs w:val="20"/>
                </w:rPr>
                <m:t>max</m:t>
              </m:r>
            </m:oMath>
            <w:r>
              <w:rPr>
                <w:rFonts w:eastAsia="Calibri"/>
                <w:bCs/>
                <w:sz w:val="20"/>
                <w:szCs w:val="20"/>
              </w:rPr>
              <w:t xml:space="preserve"> where </w:t>
            </w:r>
            <m:oMath>
              <m:r>
                <m:rPr/>
                <w:rPr>
                  <w:rFonts w:ascii="Cambria Math" w:hAnsi="Cambria Math" w:eastAsia="Calibri"/>
                  <w:sz w:val="20"/>
                  <w:szCs w:val="20"/>
                </w:rPr>
                <m:t>N</m:t>
              </m:r>
              <m:r>
                <m:rPr>
                  <m:nor/>
                  <m:sty m:val="p"/>
                </m:rPr>
                <w:rPr>
                  <w:rFonts w:eastAsia="Calibri"/>
                  <w:bCs/>
                  <w:sz w:val="20"/>
                  <w:szCs w:val="20"/>
                </w:rPr>
                <m:t>max</m:t>
              </m:r>
            </m:oMath>
            <w:r>
              <w:rPr>
                <w:rFonts w:eastAsia="Calibri"/>
                <w:bCs/>
                <w:sz w:val="20"/>
                <w:szCs w:val="20"/>
              </w:rPr>
              <w:t xml:space="preserve"> is the maximum possible carrier bandwidth in terms of resource blocks.</w:t>
            </w:r>
            <w:r>
              <w:rPr>
                <w:rFonts w:eastAsia="Calibri"/>
                <w:bCs/>
                <w:sz w:val="20"/>
                <w:szCs w:val="20"/>
              </w:rPr>
              <w:fldChar w:fldCharType="end"/>
            </w:r>
          </w:p>
          <w:p w14:paraId="4831541D">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"_Toc220701029" </w:instrText>
            </w:r>
            <w:r>
              <w:fldChar w:fldCharType="separate"/>
            </w:r>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r>
              <w:rPr>
                <w:rFonts w:eastAsia="Calibri"/>
                <w:bCs/>
                <w:sz w:val="20"/>
                <w:szCs w:val="20"/>
              </w:rPr>
              <w:fldChar w:fldCharType="end"/>
            </w:r>
          </w:p>
          <w:p w14:paraId="2774C06B">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"_Toc220701030" </w:instrText>
            </w:r>
            <w:r>
              <w:fldChar w:fldCharType="separate"/>
            </w:r>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r>
              <w:rPr>
                <w:rFonts w:eastAsia="Calibri"/>
                <w:bCs/>
                <w:sz w:val="20"/>
                <w:szCs w:val="20"/>
              </w:rPr>
              <w:fldChar w:fldCharType="end"/>
            </w:r>
          </w:p>
          <w:p w14:paraId="45068138">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"_Toc220701031" </w:instrText>
            </w:r>
            <w:r>
              <w:fldChar w:fldCharType="separate"/>
            </w:r>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r>
              <w:rPr>
                <w:rFonts w:eastAsia="Calibri"/>
                <w:bCs/>
                <w:sz w:val="20"/>
                <w:szCs w:val="20"/>
              </w:rPr>
              <w:fldChar w:fldCharType="end"/>
            </w:r>
          </w:p>
          <w:p w14:paraId="25980B9A">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"_Toc220701032" </w:instrText>
            </w:r>
            <w:r>
              <w:fldChar w:fldCharType="separate"/>
            </w:r>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r>
              <w:rPr>
                <w:rFonts w:eastAsia="Calibri"/>
                <w:bCs/>
                <w:sz w:val="20"/>
                <w:szCs w:val="20"/>
              </w:rPr>
              <w:fldChar w:fldCharType="end"/>
            </w:r>
          </w:p>
          <w:p w14:paraId="5501C6A5">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"_Toc220701033" </w:instrText>
            </w:r>
            <w:r>
              <w:fldChar w:fldCharType="separate"/>
            </w:r>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r>
              <w:rPr>
                <w:rFonts w:eastAsia="Calibri"/>
                <w:bCs/>
                <w:sz w:val="20"/>
                <w:szCs w:val="20"/>
              </w:rPr>
              <w:fldChar w:fldCharType="end"/>
            </w:r>
          </w:p>
          <w:p w14:paraId="5194C379">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"_Toc220701034" </w:instrText>
            </w:r>
            <w:r>
              <w:fldChar w:fldCharType="separate"/>
            </w:r>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r>
              <w:rPr>
                <w:rFonts w:eastAsia="Calibri"/>
                <w:bCs/>
                <w:sz w:val="20"/>
                <w:szCs w:val="20"/>
              </w:rPr>
              <w:fldChar w:fldCharType="end"/>
            </w:r>
          </w:p>
        </w:tc>
      </w:tr>
      <w:tr w14:paraId="6C55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FDDA778">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04B7391F">
            <w:pPr>
              <w:widowControl w:val="0"/>
              <w:autoSpaceDE w:val="0"/>
              <w:autoSpaceDN w:val="0"/>
              <w:spacing w:afterLines="50"/>
              <w:jc w:val="both"/>
              <w:rPr>
                <w:bCs/>
                <w:sz w:val="20"/>
                <w:szCs w:val="20"/>
                <w:lang w:eastAsia="ko-KR"/>
              </w:rPr>
            </w:pPr>
            <w:r>
              <w:rPr>
                <w:bCs/>
                <w:sz w:val="20"/>
                <w:szCs w:val="20"/>
                <w:lang w:eastAsia="ko-KR"/>
              </w:rPr>
              <w:t>Proposal 2: For 6GR spectrum utilization and operations, the followings should be considered</w:t>
            </w:r>
          </w:p>
          <w:p w14:paraId="04171FCD">
            <w:pPr>
              <w:widowControl w:val="0"/>
              <w:numPr>
                <w:ilvl w:val="0"/>
                <w:numId w:val="36"/>
              </w:numPr>
              <w:autoSpaceDE w:val="0"/>
              <w:autoSpaceDN w:val="0"/>
              <w:spacing w:afterLines="50"/>
              <w:ind w:left="20" w:leftChars="9"/>
              <w:jc w:val="both"/>
              <w:rPr>
                <w:bCs/>
                <w:sz w:val="20"/>
                <w:szCs w:val="20"/>
                <w:lang w:eastAsia="ko-KR"/>
              </w:rPr>
            </w:pPr>
            <w:r>
              <w:rPr>
                <w:bCs/>
                <w:sz w:val="20"/>
                <w:szCs w:val="20"/>
                <w:lang w:eastAsia="ko-KR"/>
              </w:rPr>
              <w:t>Support CA as the baseline operation for spectrum aggregation in 6G</w:t>
            </w:r>
          </w:p>
          <w:p w14:paraId="062B9E2B">
            <w:pPr>
              <w:widowControl w:val="0"/>
              <w:numPr>
                <w:ilvl w:val="0"/>
                <w:numId w:val="36"/>
              </w:numPr>
              <w:autoSpaceDE w:val="0"/>
              <w:autoSpaceDN w:val="0"/>
              <w:spacing w:afterLines="50"/>
              <w:ind w:left="20" w:leftChars="9"/>
              <w:jc w:val="both"/>
              <w:rPr>
                <w:bCs/>
                <w:sz w:val="20"/>
                <w:szCs w:val="20"/>
                <w:lang w:eastAsia="ko-KR"/>
              </w:rPr>
            </w:pPr>
            <w:r>
              <w:rPr>
                <w:bCs/>
                <w:sz w:val="20"/>
                <w:szCs w:val="20"/>
                <w:lang w:eastAsia="ko-KR"/>
              </w:rPr>
              <w:t>Consider DC for NTN-related use cases to enable robust multi-link operation across TN/NTN domains and orbital layers</w:t>
            </w:r>
          </w:p>
          <w:p w14:paraId="525F8EEB">
            <w:pPr>
              <w:widowControl w:val="0"/>
              <w:numPr>
                <w:ilvl w:val="0"/>
                <w:numId w:val="36"/>
              </w:numPr>
              <w:autoSpaceDE w:val="0"/>
              <w:autoSpaceDN w:val="0"/>
              <w:spacing w:afterLines="50"/>
              <w:ind w:left="20" w:leftChars="9"/>
              <w:jc w:val="both"/>
              <w:rPr>
                <w:bCs/>
                <w:sz w:val="20"/>
                <w:szCs w:val="20"/>
                <w:lang w:eastAsia="ko-KR"/>
              </w:rPr>
            </w:pPr>
            <w:r>
              <w:rPr>
                <w:bCs/>
                <w:sz w:val="20"/>
                <w:szCs w:val="20"/>
                <w:lang w:eastAsia="ko-KR"/>
              </w:rPr>
              <w:t>Support the concept of a single cell multi-carriers (SCMC) for efficient support of fragmented carriers</w:t>
            </w:r>
          </w:p>
          <w:p w14:paraId="36FAA929">
            <w:pPr>
              <w:widowControl w:val="0"/>
              <w:numPr>
                <w:ilvl w:val="1"/>
                <w:numId w:val="90"/>
              </w:numPr>
              <w:autoSpaceDE w:val="0"/>
              <w:autoSpaceDN w:val="0"/>
              <w:spacing w:afterLines="50"/>
              <w:ind w:left="744" w:leftChars="338"/>
              <w:jc w:val="both"/>
              <w:rPr>
                <w:bCs/>
                <w:sz w:val="20"/>
                <w:szCs w:val="20"/>
                <w:lang w:eastAsia="ko-KR"/>
              </w:rPr>
            </w:pPr>
            <w:r>
              <w:rPr>
                <w:bCs/>
                <w:sz w:val="20"/>
                <w:szCs w:val="20"/>
                <w:lang w:eastAsia="ko-KR"/>
              </w:rPr>
              <w:t>Study mechanisms for initial access, system/control information transmission, resource allocation, etc.</w:t>
            </w:r>
          </w:p>
          <w:p w14:paraId="493850ED">
            <w:pPr>
              <w:widowControl w:val="0"/>
              <w:numPr>
                <w:ilvl w:val="0"/>
                <w:numId w:val="36"/>
              </w:numPr>
              <w:autoSpaceDE w:val="0"/>
              <w:autoSpaceDN w:val="0"/>
              <w:spacing w:afterLines="50"/>
              <w:ind w:left="20" w:leftChars="9"/>
              <w:jc w:val="both"/>
              <w:rPr>
                <w:bCs/>
                <w:sz w:val="20"/>
                <w:szCs w:val="20"/>
                <w:lang w:eastAsia="ko-KR"/>
              </w:rPr>
            </w:pPr>
            <w:r>
              <w:rPr>
                <w:bCs/>
                <w:sz w:val="20"/>
                <w:szCs w:val="20"/>
                <w:lang w:eastAsia="ko-KR"/>
              </w:rPr>
              <w:t>Support UL–DL decoupling within the CA framework to enable flexible pairing of uplink and downlink carriers</w:t>
            </w:r>
          </w:p>
          <w:p w14:paraId="356E87A0">
            <w:pPr>
              <w:widowControl w:val="0"/>
              <w:numPr>
                <w:ilvl w:val="1"/>
                <w:numId w:val="90"/>
              </w:numPr>
              <w:autoSpaceDE w:val="0"/>
              <w:autoSpaceDN w:val="0"/>
              <w:spacing w:afterLines="50"/>
              <w:ind w:left="744" w:leftChars="338"/>
              <w:jc w:val="both"/>
              <w:rPr>
                <w:b/>
                <w:bCs/>
                <w:sz w:val="20"/>
                <w:szCs w:val="20"/>
                <w:lang w:eastAsia="ko-KR"/>
              </w:rPr>
            </w:pPr>
            <w:r>
              <w:rPr>
                <w:bCs/>
                <w:sz w:val="20"/>
                <w:szCs w:val="20"/>
                <w:lang w:eastAsia="ko-KR"/>
              </w:rPr>
              <w:t>Study mechanisms to support flexible UL/DL band pairing, including dynamic activation and switching of UL/DL carriers</w:t>
            </w:r>
          </w:p>
        </w:tc>
      </w:tr>
      <w:tr w14:paraId="5F0D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CA019D5">
            <w:pPr>
              <w:widowControl w:val="0"/>
              <w:autoSpaceDE w:val="0"/>
              <w:autoSpaceDN w:val="0"/>
              <w:spacing w:afterLines="50"/>
              <w:jc w:val="both"/>
              <w:rPr>
                <w:rFonts w:eastAsiaTheme="minorEastAsia"/>
                <w:iCs/>
                <w:sz w:val="20"/>
                <w:szCs w:val="20"/>
              </w:rPr>
            </w:pPr>
            <w:r>
              <w:rPr>
                <w:rFonts w:eastAsia="宋体"/>
                <w:sz w:val="20"/>
                <w:szCs w:val="20"/>
                <w:lang w:val="en-GB"/>
              </w:rPr>
              <w:t>Fraunhofer IIS, Fraunhofer HHI</w:t>
            </w:r>
          </w:p>
        </w:tc>
        <w:tc>
          <w:tcPr>
            <w:tcW w:w="3829" w:type="pct"/>
          </w:tcPr>
          <w:p w14:paraId="4A407E29">
            <w:pPr>
              <w:pStyle w:val="125"/>
              <w:widowControl w:val="0"/>
              <w:autoSpaceDE w:val="0"/>
              <w:autoSpaceDN w:val="0"/>
              <w:adjustRightInd w:val="0"/>
              <w:snapToGrid w:val="0"/>
              <w:spacing w:afterLines="50"/>
              <w:rPr>
                <w:sz w:val="20"/>
              </w:rPr>
            </w:pPr>
            <w:r>
              <w:rPr>
                <w:sz w:val="20"/>
              </w:rPr>
              <w:t>Observation 1: Always using fully‑fledged carriers in all bands is unnecessary and inefficient in terms of complexity, capacity, and energy.</w:t>
            </w:r>
          </w:p>
          <w:p w14:paraId="750BC190">
            <w:pPr>
              <w:pStyle w:val="125"/>
              <w:widowControl w:val="0"/>
              <w:autoSpaceDE w:val="0"/>
              <w:autoSpaceDN w:val="0"/>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14:paraId="165E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24C7320">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32BEE4EC">
            <w:pPr>
              <w:widowControl w:val="0"/>
              <w:autoSpaceDE w:val="0"/>
              <w:autoSpaceDN w:val="0"/>
              <w:spacing w:afterLines="50"/>
              <w:jc w:val="both"/>
              <w:rPr>
                <w:sz w:val="20"/>
                <w:szCs w:val="20"/>
              </w:rPr>
            </w:pPr>
            <w:r>
              <w:rPr>
                <w:sz w:val="20"/>
                <w:szCs w:val="20"/>
              </w:rPr>
              <w:t>Proposal 3: In 6GR one serving cell may support more than one carrier.</w:t>
            </w:r>
          </w:p>
          <w:p w14:paraId="6060F77E">
            <w:pPr>
              <w:widowControl w:val="0"/>
              <w:autoSpaceDE w:val="0"/>
              <w:autoSpaceDN w:val="0"/>
              <w:spacing w:afterLines="50"/>
              <w:jc w:val="both"/>
              <w:rPr>
                <w:sz w:val="20"/>
                <w:szCs w:val="20"/>
              </w:rPr>
            </w:pPr>
            <w:r>
              <w:rPr>
                <w:sz w:val="20"/>
                <w:szCs w:val="20"/>
              </w:rPr>
              <w:t>Proposal 4: In 6GR support intra-cell CA operation in a serving cell with a small number of carriers.</w:t>
            </w:r>
          </w:p>
          <w:p w14:paraId="03037ABD">
            <w:pPr>
              <w:widowControl w:val="0"/>
              <w:autoSpaceDE w:val="0"/>
              <w:autoSpaceDN w:val="0"/>
              <w:spacing w:afterLines="50"/>
              <w:jc w:val="both"/>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pPr>
              <w:widowControl w:val="0"/>
              <w:autoSpaceDE w:val="0"/>
              <w:autoSpaceDN w:val="0"/>
              <w:spacing w:afterLines="50"/>
              <w:jc w:val="both"/>
              <w:rPr>
                <w:sz w:val="20"/>
                <w:szCs w:val="20"/>
              </w:rPr>
            </w:pPr>
            <w:r>
              <w:rPr>
                <w:sz w:val="20"/>
                <w:szCs w:val="20"/>
              </w:rPr>
              <w:t>Proposal 6: 6GR supports inter-cell CA with more than one serving cell.</w:t>
            </w:r>
          </w:p>
          <w:p w14:paraId="03625723">
            <w:pPr>
              <w:widowControl w:val="0"/>
              <w:autoSpaceDE w:val="0"/>
              <w:autoSpaceDN w:val="0"/>
              <w:spacing w:afterLines="50"/>
              <w:jc w:val="both"/>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pPr>
              <w:pStyle w:val="125"/>
              <w:widowControl w:val="0"/>
              <w:autoSpaceDE w:val="0"/>
              <w:autoSpaceDN w:val="0"/>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14:paraId="096B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6B548FD">
            <w:pPr>
              <w:widowControl w:val="0"/>
              <w:autoSpaceDE w:val="0"/>
              <w:autoSpaceDN w:val="0"/>
              <w:spacing w:afterLines="50"/>
              <w:jc w:val="both"/>
              <w:rPr>
                <w:rFonts w:eastAsia="宋体"/>
                <w:sz w:val="20"/>
                <w:szCs w:val="20"/>
                <w:lang w:val="en-GB"/>
              </w:rPr>
            </w:pPr>
            <w:r>
              <w:rPr>
                <w:rFonts w:eastAsia="宋体"/>
                <w:sz w:val="20"/>
                <w:szCs w:val="20"/>
                <w:lang w:val="en-GB"/>
              </w:rPr>
              <w:t xml:space="preserve">Google </w:t>
            </w:r>
          </w:p>
        </w:tc>
        <w:tc>
          <w:tcPr>
            <w:tcW w:w="3829" w:type="pct"/>
          </w:tcPr>
          <w:p w14:paraId="1D05B71B">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1:</w:t>
            </w:r>
            <w:r>
              <w:rPr>
                <w:rFonts w:eastAsiaTheme="minorEastAsia"/>
                <w:i/>
                <w:iCs/>
                <w:color w:val="000000" w:themeColor="text1"/>
                <w:sz w:val="20"/>
                <w:lang w:eastAsia="zh-CN"/>
                <w14:textFill>
                  <w14:solidFill>
                    <w14:schemeClr w14:val="tx1"/>
                  </w14:solidFill>
                </w14:textFill>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2:</w:t>
            </w:r>
            <w:r>
              <w:rPr>
                <w:rFonts w:eastAsiaTheme="minorEastAsia"/>
                <w:i/>
                <w:iCs/>
                <w:color w:val="000000" w:themeColor="text1"/>
                <w:sz w:val="20"/>
                <w:lang w:eastAsia="zh-CN"/>
                <w14:textFill>
                  <w14:solidFill>
                    <w14:schemeClr w14:val="tx1"/>
                  </w14:solidFill>
                </w14:textFill>
              </w:rPr>
              <w:t xml:space="preserve"> Support dynamic adaptation of BWP parameters (e.g., size and location/center) to ensure optimal BWP configuration for latency-sensitive and diverse traffic types.</w:t>
            </w:r>
          </w:p>
          <w:p w14:paraId="775291DC">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3: </w:t>
            </w:r>
            <w:r>
              <w:rPr>
                <w:rFonts w:eastAsiaTheme="minorEastAsia"/>
                <w:i/>
                <w:iCs/>
                <w:color w:val="000000" w:themeColor="text1"/>
                <w:sz w:val="20"/>
                <w:lang w:eastAsia="zh-CN"/>
                <w14:textFill>
                  <w14:solidFill>
                    <w14:schemeClr w14:val="tx1"/>
                  </w14:solidFill>
                </w14:textFill>
              </w:rPr>
              <w:t>Allow decoupled DL/UL BWP center frequencies to support flexible duplexing schemes and time-varying traffic requirements.</w:t>
            </w:r>
          </w:p>
          <w:p w14:paraId="35B2A739">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4:</w:t>
            </w:r>
            <w:r>
              <w:rPr>
                <w:rFonts w:eastAsiaTheme="minorEastAsia"/>
                <w:i/>
                <w:iCs/>
                <w:color w:val="000000" w:themeColor="text1"/>
                <w:sz w:val="20"/>
                <w:lang w:eastAsia="zh-CN"/>
                <w14:textFill>
                  <w14:solidFill>
                    <w14:schemeClr w14:val="tx1"/>
                  </w14:solidFill>
                </w14:textFill>
              </w:rPr>
              <w:t xml:space="preserve"> Study mechanisms to support non-contiguous frequency resource allocation within a single BWP or via simultaneous multi-BWP operation to maximize spectral efficiency in fragmented bands</w:t>
            </w:r>
          </w:p>
          <w:p w14:paraId="63BDF4F7">
            <w:pPr>
              <w:pStyle w:val="125"/>
              <w:widowControl w:val="0"/>
              <w:autoSpaceDE w:val="0"/>
              <w:autoSpaceDN w:val="0"/>
              <w:adjustRightInd w:val="0"/>
              <w:snapToGrid w:val="0"/>
              <w:spacing w:afterLines="50"/>
              <w:rPr>
                <w:rFonts w:eastAsiaTheme="minorEastAsia"/>
                <w:b/>
                <w:bCs/>
                <w:i/>
                <w:iCs/>
                <w:color w:val="000000" w:themeColor="text1"/>
                <w:sz w:val="20"/>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5: </w:t>
            </w:r>
            <w:r>
              <w:rPr>
                <w:rFonts w:eastAsiaTheme="minorEastAsia"/>
                <w:i/>
                <w:iCs/>
                <w:color w:val="000000" w:themeColor="text1"/>
                <w:sz w:val="20"/>
                <w:lang w:eastAsia="zh-CN"/>
                <w14:textFill>
                  <w14:solidFill>
                    <w14:schemeClr w14:val="tx1"/>
                  </w14:solidFill>
                </w14:textFill>
              </w:rPr>
              <w:t>Reorient the primary scope of 6G FR2 studies toward FWA-optimized requirements, focusing on high-capacity localized coverage rather than ubiquitous wide-area mobility.</w:t>
            </w:r>
          </w:p>
        </w:tc>
      </w:tr>
      <w:tr w14:paraId="492C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9D1709C">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12D9D0D0">
            <w:pPr>
              <w:widowControl w:val="0"/>
              <w:autoSpaceDE w:val="0"/>
              <w:autoSpaceDN w:val="0"/>
              <w:spacing w:afterLines="50"/>
              <w:jc w:val="both"/>
              <w:rPr>
                <w:rFonts w:eastAsiaTheme="minorEastAsia"/>
                <w:bCs/>
                <w:i/>
                <w:sz w:val="20"/>
                <w:szCs w:val="20"/>
              </w:rPr>
            </w:pPr>
            <w:r>
              <w:rPr>
                <w:bCs/>
                <w:i/>
                <w:sz w:val="20"/>
                <w:szCs w:val="20"/>
              </w:rPr>
              <w:t>Proposal 6: The variable carrier bandwidth, CA, BWP used in NR should be the starting point of operations of bandwidth in 6GR.</w:t>
            </w:r>
          </w:p>
        </w:tc>
      </w:tr>
      <w:tr w14:paraId="44D1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5678890">
            <w:pPr>
              <w:widowControl w:val="0"/>
              <w:autoSpaceDE w:val="0"/>
              <w:autoSpaceDN w:val="0"/>
              <w:spacing w:afterLines="50"/>
              <w:jc w:val="both"/>
              <w:rPr>
                <w:rFonts w:eastAsia="宋体"/>
                <w:sz w:val="20"/>
                <w:szCs w:val="20"/>
                <w:lang w:val="en-GB"/>
              </w:rPr>
            </w:pPr>
            <w:r>
              <w:rPr>
                <w:rFonts w:eastAsia="宋体"/>
                <w:sz w:val="20"/>
                <w:szCs w:val="20"/>
                <w:lang w:val="en-GB"/>
              </w:rPr>
              <w:t>Huawei, HiSilicon</w:t>
            </w:r>
          </w:p>
        </w:tc>
        <w:tc>
          <w:tcPr>
            <w:tcW w:w="3829" w:type="pct"/>
          </w:tcPr>
          <w:p w14:paraId="3BDD175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BD54E08">
            <w:pPr>
              <w:pStyle w:val="63"/>
              <w:widowControl w:val="0"/>
              <w:numPr>
                <w:ilvl w:val="0"/>
                <w:numId w:val="91"/>
              </w:numPr>
              <w:autoSpaceDE/>
              <w:autoSpaceDN/>
              <w:spacing w:afterLines="50"/>
              <w:jc w:val="both"/>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311F5230">
            <w:pPr>
              <w:pStyle w:val="63"/>
              <w:widowControl w:val="0"/>
              <w:numPr>
                <w:ilvl w:val="0"/>
                <w:numId w:val="91"/>
              </w:numPr>
              <w:autoSpaceDE/>
              <w:autoSpaceDN/>
              <w:spacing w:afterLines="50"/>
              <w:jc w:val="both"/>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pPr>
              <w:pStyle w:val="63"/>
              <w:widowControl w:val="0"/>
              <w:numPr>
                <w:ilvl w:val="0"/>
                <w:numId w:val="91"/>
              </w:numPr>
              <w:autoSpaceDE/>
              <w:autoSpaceDN/>
              <w:spacing w:afterLines="50"/>
              <w:jc w:val="both"/>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4817AE00">
            <w:pPr>
              <w:pStyle w:val="63"/>
              <w:widowControl w:val="0"/>
              <w:numPr>
                <w:ilvl w:val="0"/>
                <w:numId w:val="91"/>
              </w:numPr>
              <w:autoSpaceDE/>
              <w:autoSpaceDN/>
              <w:spacing w:afterLines="50"/>
              <w:jc w:val="both"/>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pPr>
              <w:pStyle w:val="63"/>
              <w:widowControl w:val="0"/>
              <w:numPr>
                <w:ilvl w:val="0"/>
                <w:numId w:val="91"/>
              </w:numPr>
              <w:autoSpaceDE/>
              <w:autoSpaceDN/>
              <w:spacing w:afterLines="50"/>
              <w:jc w:val="both"/>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pPr>
              <w:pStyle w:val="63"/>
              <w:widowControl w:val="0"/>
              <w:numPr>
                <w:ilvl w:val="0"/>
                <w:numId w:val="91"/>
              </w:numPr>
              <w:autoSpaceDE/>
              <w:autoSpaceDN/>
              <w:spacing w:afterLines="50"/>
              <w:jc w:val="both"/>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0078E182">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386FFAC4">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3AF3F012">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2E803B16">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08678B18">
            <w:pPr>
              <w:pStyle w:val="63"/>
              <w:widowControl w:val="0"/>
              <w:numPr>
                <w:ilvl w:val="0"/>
                <w:numId w:val="92"/>
              </w:numPr>
              <w:overflowPunct w:val="0"/>
              <w:autoSpaceDE w:val="0"/>
              <w:autoSpaceDN w:val="0"/>
              <w:spacing w:afterLines="50"/>
              <w:jc w:val="both"/>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74FD1DE">
            <w:pPr>
              <w:pStyle w:val="63"/>
              <w:widowControl w:val="0"/>
              <w:numPr>
                <w:ilvl w:val="0"/>
                <w:numId w:val="92"/>
              </w:numPr>
              <w:overflowPunct w:val="0"/>
              <w:autoSpaceDE w:val="0"/>
              <w:autoSpaceDN w:val="0"/>
              <w:spacing w:afterLines="50"/>
              <w:jc w:val="both"/>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1C32E354">
            <w:pPr>
              <w:pStyle w:val="63"/>
              <w:widowControl w:val="0"/>
              <w:numPr>
                <w:ilvl w:val="0"/>
                <w:numId w:val="92"/>
              </w:numPr>
              <w:overflowPunct w:val="0"/>
              <w:autoSpaceDE w:val="0"/>
              <w:autoSpaceDN w:val="0"/>
              <w:spacing w:afterLines="50"/>
              <w:jc w:val="both"/>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6747D166">
            <w:pPr>
              <w:pStyle w:val="63"/>
              <w:widowControl w:val="0"/>
              <w:numPr>
                <w:ilvl w:val="0"/>
                <w:numId w:val="92"/>
              </w:numPr>
              <w:overflowPunct w:val="0"/>
              <w:autoSpaceDE w:val="0"/>
              <w:autoSpaceDN w:val="0"/>
              <w:spacing w:afterLines="50"/>
              <w:jc w:val="both"/>
              <w:textAlignment w:val="baseline"/>
              <w:rPr>
                <w:b/>
                <w:i/>
                <w:sz w:val="20"/>
                <w:szCs w:val="20"/>
              </w:rPr>
            </w:pPr>
            <w:r>
              <w:rPr>
                <w:rFonts w:eastAsiaTheme="minorEastAsia"/>
                <w:b/>
                <w:i/>
                <w:sz w:val="20"/>
                <w:szCs w:val="20"/>
              </w:rPr>
              <w:t>One HARQ entity across all carriers</w:t>
            </w:r>
          </w:p>
          <w:p w14:paraId="4939259F">
            <w:pPr>
              <w:pStyle w:val="63"/>
              <w:widowControl w:val="0"/>
              <w:numPr>
                <w:ilvl w:val="0"/>
                <w:numId w:val="92"/>
              </w:numPr>
              <w:overflowPunct w:val="0"/>
              <w:autoSpaceDE w:val="0"/>
              <w:autoSpaceDN w:val="0"/>
              <w:spacing w:afterLines="50"/>
              <w:jc w:val="both"/>
              <w:textAlignment w:val="baseline"/>
              <w:rPr>
                <w:b/>
                <w:i/>
                <w:sz w:val="20"/>
                <w:szCs w:val="20"/>
              </w:rPr>
            </w:pPr>
            <w:r>
              <w:rPr>
                <w:b/>
                <w:i/>
                <w:sz w:val="20"/>
                <w:szCs w:val="20"/>
              </w:rPr>
              <w:t>One RRM for all carriers</w:t>
            </w:r>
          </w:p>
          <w:p w14:paraId="3065305C">
            <w:pPr>
              <w:pStyle w:val="63"/>
              <w:widowControl w:val="0"/>
              <w:numPr>
                <w:ilvl w:val="0"/>
                <w:numId w:val="92"/>
              </w:numPr>
              <w:overflowPunct w:val="0"/>
              <w:autoSpaceDE w:val="0"/>
              <w:autoSpaceDN w:val="0"/>
              <w:spacing w:afterLines="50"/>
              <w:jc w:val="both"/>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4FD0CF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6AE74DDF">
            <w:pPr>
              <w:pStyle w:val="63"/>
              <w:widowControl w:val="0"/>
              <w:numPr>
                <w:ilvl w:val="0"/>
                <w:numId w:val="93"/>
              </w:numPr>
              <w:overflowPunct w:val="0"/>
              <w:autoSpaceDE w:val="0"/>
              <w:autoSpaceDN w:val="0"/>
              <w:spacing w:afterLines="50"/>
              <w:jc w:val="both"/>
              <w:textAlignment w:val="baseline"/>
              <w:rPr>
                <w:b/>
                <w:i/>
                <w:iCs/>
                <w:sz w:val="20"/>
                <w:szCs w:val="20"/>
              </w:rPr>
            </w:pPr>
            <w:r>
              <w:rPr>
                <w:b/>
                <w:i/>
                <w:iCs/>
                <w:sz w:val="20"/>
                <w:szCs w:val="20"/>
              </w:rPr>
              <w:t>the number of aggregated PRBs is not larger than the maximum number of PRBs defined for one carrier</w:t>
            </w:r>
          </w:p>
          <w:p w14:paraId="46A364AA">
            <w:pPr>
              <w:pStyle w:val="63"/>
              <w:widowControl w:val="0"/>
              <w:numPr>
                <w:ilvl w:val="0"/>
                <w:numId w:val="93"/>
              </w:numPr>
              <w:overflowPunct w:val="0"/>
              <w:autoSpaceDE w:val="0"/>
              <w:autoSpaceDN w:val="0"/>
              <w:spacing w:afterLines="50"/>
              <w:jc w:val="both"/>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0559A2F5">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5ACD3245">
            <w:pPr>
              <w:pStyle w:val="63"/>
              <w:widowControl w:val="0"/>
              <w:numPr>
                <w:ilvl w:val="0"/>
                <w:numId w:val="93"/>
              </w:numPr>
              <w:overflowPunct w:val="0"/>
              <w:autoSpaceDE w:val="0"/>
              <w:autoSpaceDN w:val="0"/>
              <w:spacing w:afterLines="50"/>
              <w:jc w:val="both"/>
              <w:textAlignment w:val="baseline"/>
              <w:rPr>
                <w:b/>
                <w:i/>
                <w:iCs/>
                <w:sz w:val="20"/>
                <w:szCs w:val="20"/>
              </w:rPr>
            </w:pPr>
            <w:r>
              <w:rPr>
                <w:b/>
                <w:bCs/>
                <w:i/>
                <w:iCs/>
                <w:sz w:val="20"/>
                <w:szCs w:val="20"/>
              </w:rPr>
              <w:t>Case 1: intra-band contiguous spectrum aggregation</w:t>
            </w:r>
          </w:p>
          <w:p w14:paraId="0D0E73C9">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1-1: number of aggregated PRBs exceeds the maximum number of PRBs defined for one carrier</w:t>
            </w:r>
          </w:p>
          <w:p w14:paraId="7E7C9D03">
            <w:pPr>
              <w:pStyle w:val="63"/>
              <w:widowControl w:val="0"/>
              <w:numPr>
                <w:ilvl w:val="2"/>
                <w:numId w:val="93"/>
              </w:numPr>
              <w:overflowPunct w:val="0"/>
              <w:autoSpaceDE w:val="0"/>
              <w:autoSpaceDN w:val="0"/>
              <w:spacing w:afterLines="50"/>
              <w:jc w:val="both"/>
              <w:textAlignment w:val="baseline"/>
              <w:rPr>
                <w:b/>
                <w:i/>
                <w:iCs/>
                <w:sz w:val="20"/>
                <w:szCs w:val="20"/>
              </w:rPr>
            </w:pPr>
            <w:r>
              <w:rPr>
                <w:b/>
                <w:i/>
                <w:iCs/>
                <w:sz w:val="20"/>
                <w:szCs w:val="20"/>
              </w:rPr>
              <w:t>Use intra-band contiguous CA</w:t>
            </w:r>
          </w:p>
          <w:p w14:paraId="0DA088BC">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1-2: number of aggregated PRBs is within the maximum number of PRBs defined for one carrier</w:t>
            </w:r>
          </w:p>
          <w:p w14:paraId="62AA4586">
            <w:pPr>
              <w:pStyle w:val="63"/>
              <w:widowControl w:val="0"/>
              <w:numPr>
                <w:ilvl w:val="2"/>
                <w:numId w:val="93"/>
              </w:numPr>
              <w:overflowPunct w:val="0"/>
              <w:autoSpaceDE w:val="0"/>
              <w:autoSpaceDN w:val="0"/>
              <w:spacing w:afterLines="50"/>
              <w:jc w:val="both"/>
              <w:textAlignment w:val="baseline"/>
              <w:rPr>
                <w:b/>
                <w:i/>
                <w:iCs/>
                <w:sz w:val="20"/>
                <w:szCs w:val="20"/>
              </w:rPr>
            </w:pPr>
            <w:r>
              <w:rPr>
                <w:rFonts w:eastAsiaTheme="minorEastAsia"/>
                <w:b/>
                <w:i/>
                <w:iCs/>
                <w:sz w:val="20"/>
                <w:szCs w:val="20"/>
              </w:rPr>
              <w:t>Use a single carrier or intra-band contiguous CA depending on NW deployment</w:t>
            </w:r>
          </w:p>
          <w:p w14:paraId="393A0C7B">
            <w:pPr>
              <w:pStyle w:val="63"/>
              <w:widowControl w:val="0"/>
              <w:numPr>
                <w:ilvl w:val="0"/>
                <w:numId w:val="93"/>
              </w:numPr>
              <w:overflowPunct w:val="0"/>
              <w:autoSpaceDE w:val="0"/>
              <w:autoSpaceDN w:val="0"/>
              <w:spacing w:afterLines="50"/>
              <w:jc w:val="both"/>
              <w:textAlignment w:val="baseline"/>
              <w:rPr>
                <w:b/>
                <w:i/>
                <w:iCs/>
                <w:sz w:val="20"/>
                <w:szCs w:val="20"/>
              </w:rPr>
            </w:pPr>
            <w:r>
              <w:rPr>
                <w:b/>
                <w:bCs/>
                <w:i/>
                <w:iCs/>
                <w:sz w:val="20"/>
                <w:szCs w:val="20"/>
              </w:rPr>
              <w:t>Case 2: intra-band non-contiguous spectrum aggregation</w:t>
            </w:r>
          </w:p>
          <w:p w14:paraId="02FDAC9E">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2-1: number of aggregated PRBs exceeds the maximum number of PRBs defined for one carrier</w:t>
            </w:r>
          </w:p>
          <w:p w14:paraId="58D3EC62">
            <w:pPr>
              <w:pStyle w:val="63"/>
              <w:widowControl w:val="0"/>
              <w:numPr>
                <w:ilvl w:val="2"/>
                <w:numId w:val="93"/>
              </w:numPr>
              <w:overflowPunct w:val="0"/>
              <w:autoSpaceDE w:val="0"/>
              <w:autoSpaceDN w:val="0"/>
              <w:spacing w:afterLines="50"/>
              <w:jc w:val="both"/>
              <w:textAlignment w:val="baseline"/>
              <w:rPr>
                <w:b/>
                <w:i/>
                <w:iCs/>
                <w:sz w:val="20"/>
                <w:szCs w:val="20"/>
              </w:rPr>
            </w:pPr>
            <w:r>
              <w:rPr>
                <w:b/>
                <w:i/>
                <w:iCs/>
                <w:sz w:val="20"/>
                <w:szCs w:val="20"/>
              </w:rPr>
              <w:t>Use intra-band non-contiguous CA</w:t>
            </w:r>
          </w:p>
          <w:p w14:paraId="55205447">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2-2: number of aggregated PRBs is within the maximum number of PRBs defined for one carrier</w:t>
            </w:r>
          </w:p>
          <w:p w14:paraId="544E0F1E">
            <w:pPr>
              <w:pStyle w:val="63"/>
              <w:widowControl w:val="0"/>
              <w:numPr>
                <w:ilvl w:val="2"/>
                <w:numId w:val="93"/>
              </w:numPr>
              <w:overflowPunct w:val="0"/>
              <w:autoSpaceDE w:val="0"/>
              <w:autoSpaceDN w:val="0"/>
              <w:spacing w:afterLines="50"/>
              <w:jc w:val="both"/>
              <w:textAlignment w:val="baseline"/>
              <w:rPr>
                <w:b/>
                <w:i/>
                <w:iCs/>
                <w:sz w:val="20"/>
                <w:szCs w:val="20"/>
              </w:rPr>
            </w:pPr>
            <w:r>
              <w:rPr>
                <w:b/>
                <w:i/>
                <w:iCs/>
                <w:sz w:val="20"/>
                <w:szCs w:val="20"/>
              </w:rPr>
              <w:t>Use virtual cell</w:t>
            </w:r>
          </w:p>
          <w:p w14:paraId="51A6DE3E">
            <w:pPr>
              <w:pStyle w:val="63"/>
              <w:widowControl w:val="0"/>
              <w:numPr>
                <w:ilvl w:val="0"/>
                <w:numId w:val="93"/>
              </w:numPr>
              <w:overflowPunct w:val="0"/>
              <w:autoSpaceDE w:val="0"/>
              <w:autoSpaceDN w:val="0"/>
              <w:spacing w:afterLines="50"/>
              <w:jc w:val="both"/>
              <w:textAlignment w:val="baseline"/>
              <w:rPr>
                <w:b/>
                <w:i/>
                <w:iCs/>
                <w:sz w:val="20"/>
                <w:szCs w:val="20"/>
              </w:rPr>
            </w:pPr>
            <w:r>
              <w:rPr>
                <w:b/>
                <w:bCs/>
                <w:i/>
                <w:iCs/>
                <w:sz w:val="20"/>
                <w:szCs w:val="20"/>
              </w:rPr>
              <w:t>Case 3: inter-band spectrum aggregation within a frequency sub-range</w:t>
            </w:r>
          </w:p>
          <w:p w14:paraId="09A8E364">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3-1: number of aggregated PRBs exceeds the maximum number of PRBs defined for one carrier</w:t>
            </w:r>
          </w:p>
          <w:p w14:paraId="2F283843">
            <w:pPr>
              <w:pStyle w:val="63"/>
              <w:widowControl w:val="0"/>
              <w:numPr>
                <w:ilvl w:val="2"/>
                <w:numId w:val="93"/>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35034060">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Case 3-2: number of aggregated PRBs is within the maximum number of PRBs defined for one carrier</w:t>
            </w:r>
          </w:p>
          <w:p w14:paraId="58C97B24">
            <w:pPr>
              <w:pStyle w:val="63"/>
              <w:widowControl w:val="0"/>
              <w:numPr>
                <w:ilvl w:val="2"/>
                <w:numId w:val="93"/>
              </w:numPr>
              <w:overflowPunct w:val="0"/>
              <w:autoSpaceDE w:val="0"/>
              <w:autoSpaceDN w:val="0"/>
              <w:spacing w:afterLines="50"/>
              <w:jc w:val="both"/>
              <w:textAlignment w:val="baseline"/>
              <w:rPr>
                <w:b/>
                <w:i/>
                <w:iCs/>
                <w:sz w:val="20"/>
                <w:szCs w:val="20"/>
              </w:rPr>
            </w:pPr>
            <w:r>
              <w:rPr>
                <w:b/>
                <w:i/>
                <w:iCs/>
                <w:sz w:val="20"/>
                <w:szCs w:val="20"/>
              </w:rPr>
              <w:t>Use virtual cell</w:t>
            </w:r>
          </w:p>
          <w:p w14:paraId="4485ECDE">
            <w:pPr>
              <w:pStyle w:val="63"/>
              <w:widowControl w:val="0"/>
              <w:numPr>
                <w:ilvl w:val="0"/>
                <w:numId w:val="93"/>
              </w:numPr>
              <w:overflowPunct w:val="0"/>
              <w:autoSpaceDE w:val="0"/>
              <w:autoSpaceDN w:val="0"/>
              <w:spacing w:afterLines="50"/>
              <w:jc w:val="both"/>
              <w:textAlignment w:val="baseline"/>
              <w:rPr>
                <w:b/>
                <w:i/>
                <w:iCs/>
                <w:sz w:val="20"/>
                <w:szCs w:val="20"/>
              </w:rPr>
            </w:pPr>
            <w:r>
              <w:rPr>
                <w:b/>
                <w:bCs/>
                <w:i/>
                <w:iCs/>
                <w:sz w:val="20"/>
                <w:szCs w:val="20"/>
              </w:rPr>
              <w:t>Case 4: inter-band spectrum aggregation across frequency sub-ranges</w:t>
            </w:r>
          </w:p>
          <w:p w14:paraId="60DCE3DA">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151E0EEB">
            <w:pPr>
              <w:pStyle w:val="63"/>
              <w:widowControl w:val="0"/>
              <w:numPr>
                <w:ilvl w:val="1"/>
                <w:numId w:val="93"/>
              </w:numPr>
              <w:overflowPunct w:val="0"/>
              <w:autoSpaceDE w:val="0"/>
              <w:autoSpaceDN w:val="0"/>
              <w:spacing w:afterLines="50"/>
              <w:jc w:val="both"/>
              <w:textAlignment w:val="baseline"/>
              <w:rPr>
                <w:b/>
                <w:i/>
                <w:iCs/>
                <w:sz w:val="20"/>
                <w:szCs w:val="20"/>
              </w:rPr>
            </w:pPr>
            <w:r>
              <w:rPr>
                <w:b/>
                <w:i/>
                <w:iCs/>
                <w:sz w:val="20"/>
                <w:szCs w:val="20"/>
              </w:rPr>
              <w:t>Note: aggregation can include both virtual cell and carrier</w:t>
            </w:r>
          </w:p>
          <w:p w14:paraId="3D2F165A">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52795163">
            <w:pPr>
              <w:pStyle w:val="63"/>
              <w:widowControl w:val="0"/>
              <w:numPr>
                <w:ilvl w:val="0"/>
                <w:numId w:val="94"/>
              </w:numPr>
              <w:autoSpaceDE w:val="0"/>
              <w:autoSpaceDN w:val="0"/>
              <w:spacing w:afterLines="50"/>
              <w:jc w:val="both"/>
              <w:rPr>
                <w:b/>
                <w:i/>
                <w:iCs/>
                <w:sz w:val="20"/>
                <w:szCs w:val="20"/>
              </w:rPr>
            </w:pPr>
            <w:r>
              <w:rPr>
                <w:b/>
                <w:i/>
                <w:iCs/>
                <w:sz w:val="20"/>
                <w:szCs w:val="20"/>
              </w:rPr>
              <w:t>One UL CC is paired to at least one DL CC, the DL and UL CC can be in the same or different bands</w:t>
            </w:r>
          </w:p>
          <w:p w14:paraId="133422E0">
            <w:pPr>
              <w:pStyle w:val="63"/>
              <w:widowControl w:val="0"/>
              <w:numPr>
                <w:ilvl w:val="1"/>
                <w:numId w:val="94"/>
              </w:numPr>
              <w:autoSpaceDE w:val="0"/>
              <w:autoSpaceDN w:val="0"/>
              <w:spacing w:afterLines="50"/>
              <w:jc w:val="both"/>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pPr>
              <w:pStyle w:val="63"/>
              <w:widowControl w:val="0"/>
              <w:numPr>
                <w:ilvl w:val="0"/>
                <w:numId w:val="94"/>
              </w:numPr>
              <w:autoSpaceDE w:val="0"/>
              <w:autoSpaceDN w:val="0"/>
              <w:spacing w:afterLines="50"/>
              <w:jc w:val="both"/>
              <w:rPr>
                <w:b/>
                <w:i/>
                <w:iCs/>
                <w:sz w:val="20"/>
                <w:szCs w:val="20"/>
              </w:rPr>
            </w:pPr>
            <w:r>
              <w:rPr>
                <w:b/>
                <w:i/>
                <w:iCs/>
                <w:sz w:val="20"/>
                <w:szCs w:val="20"/>
              </w:rPr>
              <w:t>One DL CC is paired to at least one UL CC, the DL and UL CC can be in the same or different bands</w:t>
            </w:r>
          </w:p>
          <w:p w14:paraId="4AFCC1C2">
            <w:pPr>
              <w:pStyle w:val="63"/>
              <w:widowControl w:val="0"/>
              <w:numPr>
                <w:ilvl w:val="1"/>
                <w:numId w:val="94"/>
              </w:numPr>
              <w:autoSpaceDE w:val="0"/>
              <w:autoSpaceDN w:val="0"/>
              <w:spacing w:afterLines="50"/>
              <w:jc w:val="both"/>
              <w:rPr>
                <w:b/>
                <w:i/>
                <w:iCs/>
                <w:sz w:val="20"/>
                <w:szCs w:val="20"/>
              </w:rPr>
            </w:pPr>
            <w:r>
              <w:rPr>
                <w:b/>
                <w:i/>
                <w:iCs/>
                <w:sz w:val="20"/>
                <w:szCs w:val="20"/>
              </w:rPr>
              <w:t>The pairing is used to determine where to transmit PUCCH for PDSCH HARQ-ACK feedback, and for CSI feedback</w:t>
            </w:r>
          </w:p>
          <w:p w14:paraId="5DA21C0C">
            <w:pPr>
              <w:pStyle w:val="63"/>
              <w:widowControl w:val="0"/>
              <w:numPr>
                <w:ilvl w:val="0"/>
                <w:numId w:val="94"/>
              </w:numPr>
              <w:autoSpaceDE w:val="0"/>
              <w:autoSpaceDN w:val="0"/>
              <w:spacing w:afterLines="50"/>
              <w:jc w:val="both"/>
              <w:rPr>
                <w:b/>
                <w:i/>
                <w:iCs/>
                <w:sz w:val="20"/>
                <w:szCs w:val="20"/>
              </w:rPr>
            </w:pPr>
            <w:r>
              <w:rPr>
                <w:b/>
                <w:i/>
                <w:iCs/>
                <w:sz w:val="20"/>
                <w:szCs w:val="20"/>
              </w:rPr>
              <w:t>More than one UL CC can be paired to one DL CC, where the UL CCs can be in FDD/TDD bands</w:t>
            </w:r>
          </w:p>
          <w:p w14:paraId="2F1AD9C4">
            <w:pPr>
              <w:pStyle w:val="63"/>
              <w:widowControl w:val="0"/>
              <w:numPr>
                <w:ilvl w:val="0"/>
                <w:numId w:val="94"/>
              </w:numPr>
              <w:autoSpaceDE w:val="0"/>
              <w:autoSpaceDN w:val="0"/>
              <w:spacing w:afterLines="50"/>
              <w:jc w:val="both"/>
              <w:rPr>
                <w:b/>
                <w:i/>
                <w:iCs/>
                <w:sz w:val="20"/>
                <w:szCs w:val="20"/>
              </w:rPr>
            </w:pPr>
            <w:r>
              <w:rPr>
                <w:b/>
                <w:i/>
                <w:iCs/>
                <w:sz w:val="20"/>
                <w:szCs w:val="20"/>
              </w:rPr>
              <w:t>More than one DL CC can be paired to one UL CC, where the DL CCs can be in FDD/TDD/SDL bands</w:t>
            </w:r>
          </w:p>
          <w:p w14:paraId="34211323">
            <w:pPr>
              <w:pStyle w:val="63"/>
              <w:widowControl w:val="0"/>
              <w:numPr>
                <w:ilvl w:val="0"/>
                <w:numId w:val="94"/>
              </w:numPr>
              <w:autoSpaceDE w:val="0"/>
              <w:autoSpaceDN w:val="0"/>
              <w:spacing w:afterLines="50"/>
              <w:jc w:val="both"/>
              <w:rPr>
                <w:b/>
                <w:i/>
                <w:iCs/>
                <w:sz w:val="20"/>
                <w:szCs w:val="20"/>
              </w:rPr>
            </w:pPr>
            <w:r>
              <w:rPr>
                <w:b/>
                <w:i/>
                <w:iCs/>
                <w:sz w:val="20"/>
                <w:szCs w:val="20"/>
              </w:rPr>
              <w:t>The sites of DL CC(s) and paired UL CC(s) can be same or different.</w:t>
            </w:r>
          </w:p>
          <w:p w14:paraId="73E804DF">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270FD314">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3FEEBCE7">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14:paraId="2892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1E8E71C">
            <w:pPr>
              <w:widowControl w:val="0"/>
              <w:autoSpaceDE w:val="0"/>
              <w:autoSpaceDN w:val="0"/>
              <w:spacing w:afterLines="50"/>
              <w:jc w:val="both"/>
              <w:rPr>
                <w:rFonts w:eastAsia="宋体"/>
                <w:sz w:val="20"/>
                <w:szCs w:val="20"/>
                <w:lang w:val="en-GB"/>
              </w:rPr>
            </w:pPr>
            <w:r>
              <w:rPr>
                <w:rFonts w:eastAsia="宋体"/>
                <w:sz w:val="20"/>
                <w:szCs w:val="20"/>
                <w:lang w:val="en-GB"/>
              </w:rPr>
              <w:t>Interdigital</w:t>
            </w:r>
          </w:p>
        </w:tc>
        <w:tc>
          <w:tcPr>
            <w:tcW w:w="3829" w:type="pct"/>
          </w:tcPr>
          <w:p w14:paraId="5BC66D39">
            <w:pPr>
              <w:widowControl w:val="0"/>
              <w:autoSpaceDE w:val="0"/>
              <w:autoSpaceDN w:val="0"/>
              <w:spacing w:afterLines="50"/>
              <w:jc w:val="both"/>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665901F7">
            <w:pPr>
              <w:pStyle w:val="63"/>
              <w:widowControl w:val="0"/>
              <w:numPr>
                <w:ilvl w:val="0"/>
                <w:numId w:val="95"/>
              </w:numPr>
              <w:tabs>
                <w:tab w:val="left" w:pos="0"/>
              </w:tabs>
              <w:autoSpaceDE w:val="0"/>
              <w:autoSpaceDN w:val="0"/>
              <w:spacing w:afterLines="50"/>
              <w:jc w:val="both"/>
              <w:rPr>
                <w:i/>
                <w:iCs/>
                <w:sz w:val="20"/>
                <w:szCs w:val="20"/>
              </w:rPr>
            </w:pPr>
            <w:r>
              <w:rPr>
                <w:i/>
                <w:iCs/>
                <w:sz w:val="20"/>
                <w:szCs w:val="20"/>
              </w:rPr>
              <w:t>Flexible access to multiple carriers without requiring expanding baseband capabilities</w:t>
            </w:r>
          </w:p>
          <w:p w14:paraId="3EF7194A">
            <w:pPr>
              <w:pStyle w:val="63"/>
              <w:widowControl w:val="0"/>
              <w:numPr>
                <w:ilvl w:val="0"/>
                <w:numId w:val="95"/>
              </w:numPr>
              <w:tabs>
                <w:tab w:val="left" w:pos="0"/>
              </w:tabs>
              <w:autoSpaceDE w:val="0"/>
              <w:autoSpaceDN w:val="0"/>
              <w:spacing w:afterLines="50"/>
              <w:jc w:val="both"/>
              <w:rPr>
                <w:i/>
                <w:iCs/>
                <w:sz w:val="20"/>
                <w:szCs w:val="20"/>
              </w:rPr>
            </w:pPr>
            <w:r>
              <w:rPr>
                <w:i/>
                <w:iCs/>
                <w:sz w:val="20"/>
                <w:szCs w:val="20"/>
              </w:rPr>
              <w:t>Dynamic selection of uplink carriers based on coverage and efficiency needs</w:t>
            </w:r>
          </w:p>
        </w:tc>
      </w:tr>
      <w:tr w14:paraId="7AE8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84B3A3D">
            <w:pPr>
              <w:widowControl w:val="0"/>
              <w:autoSpaceDE w:val="0"/>
              <w:autoSpaceDN w:val="0"/>
              <w:spacing w:afterLines="50"/>
              <w:jc w:val="both"/>
              <w:rPr>
                <w:rFonts w:eastAsia="宋体"/>
                <w:sz w:val="20"/>
                <w:szCs w:val="20"/>
                <w:lang w:val="en-GB"/>
              </w:rPr>
            </w:pPr>
            <w:r>
              <w:rPr>
                <w:rFonts w:eastAsia="宋体"/>
                <w:sz w:val="20"/>
                <w:szCs w:val="20"/>
                <w:lang w:val="en-GB"/>
              </w:rPr>
              <w:t>ITL</w:t>
            </w:r>
          </w:p>
        </w:tc>
        <w:tc>
          <w:tcPr>
            <w:tcW w:w="3829" w:type="pct"/>
          </w:tcPr>
          <w:p w14:paraId="3742D47F">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1:</w:t>
            </w:r>
          </w:p>
          <w:p w14:paraId="79061F35">
            <w:pPr>
              <w:widowControl w:val="0"/>
              <w:autoSpaceDE w:val="0"/>
              <w:autoSpaceDN w:val="0"/>
              <w:spacing w:afterLines="50"/>
              <w:jc w:val="both"/>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14:paraId="279F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4246475">
            <w:pPr>
              <w:widowControl w:val="0"/>
              <w:autoSpaceDE w:val="0"/>
              <w:autoSpaceDN w:val="0"/>
              <w:spacing w:afterLines="50"/>
              <w:jc w:val="both"/>
              <w:rPr>
                <w:rFonts w:eastAsia="宋体"/>
                <w:sz w:val="20"/>
                <w:szCs w:val="20"/>
                <w:lang w:val="en-GB"/>
              </w:rPr>
            </w:pPr>
            <w:r>
              <w:rPr>
                <w:rFonts w:eastAsia="宋体"/>
                <w:sz w:val="20"/>
                <w:szCs w:val="20"/>
                <w:lang w:val="en-GB"/>
              </w:rPr>
              <w:t>KDDI</w:t>
            </w:r>
          </w:p>
        </w:tc>
        <w:tc>
          <w:tcPr>
            <w:tcW w:w="3829" w:type="pct"/>
          </w:tcPr>
          <w:p w14:paraId="0BCAF2BA">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03CE7362">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fldChar w:fldCharType="separate"/>
            </w:r>
            <w:r>
              <w:rPr>
                <w:b/>
                <w:bCs/>
                <w:sz w:val="20"/>
                <w:szCs w:val="20"/>
              </w:rPr>
              <w:t>Proposal 1</w:t>
            </w:r>
            <w:r>
              <w:rPr>
                <w:b/>
                <w:bCs/>
                <w:sz w:val="20"/>
                <w:szCs w:val="20"/>
                <w:lang w:val="zh-CN"/>
              </w:rPr>
              <w:t>: 6GR supports DL/UL decoupling to ensure UL coverage and guarantee communication quality.</w:t>
            </w:r>
            <w:r>
              <w:rPr>
                <w:b/>
                <w:bCs/>
                <w:sz w:val="20"/>
                <w:szCs w:val="20"/>
              </w:rPr>
              <w:fldChar w:fldCharType="end"/>
            </w:r>
          </w:p>
          <w:p w14:paraId="332EDB49">
            <w:pPr>
              <w:widowControl w:val="0"/>
              <w:autoSpaceDE w:val="0"/>
              <w:autoSpaceDN w:val="0"/>
              <w:spacing w:afterLines="50"/>
              <w:jc w:val="both"/>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14:paraId="18E6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B37863">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791E4268">
            <w:pPr>
              <w:pStyle w:val="19"/>
              <w:widowControl w:val="0"/>
              <w:autoSpaceDE w:val="0"/>
              <w:autoSpaceDN w:val="0"/>
              <w:spacing w:afterLines="50"/>
              <w:jc w:val="both"/>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14:paraId="08BD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9C99C34">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7230DABA">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5</w:t>
            </w:r>
            <w:r>
              <w:rPr>
                <w:rFonts w:eastAsia="等线"/>
                <w:b/>
                <w:bCs/>
                <w:color w:val="000000" w:themeColor="text1"/>
                <w:sz w:val="20"/>
                <w:szCs w:val="20"/>
                <w14:textFill>
                  <w14:solidFill>
                    <w14:schemeClr w14:val="tx1"/>
                  </w14:solidFill>
                </w14:textFill>
              </w:rPr>
              <w:t>:</w:t>
            </w:r>
            <w:r>
              <w:rPr>
                <w:rFonts w:eastAsia="Calibri"/>
                <w:color w:val="000000" w:themeColor="text1"/>
                <w:sz w:val="20"/>
                <w:szCs w:val="20"/>
                <w:lang w:eastAsia="en-US"/>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The 6GR Carrier Aggregation (CA) framework should be designed from inception to address the following critical aspects:</w:t>
            </w:r>
          </w:p>
          <w:p w14:paraId="574401E3">
            <w:pPr>
              <w:widowControl/>
              <w:numPr>
                <w:ilvl w:val="0"/>
                <w:numId w:val="96"/>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Loose Network-Side Coordination:​ The design should minimize mandatory cross-carrier dependencies and coordination overhead at the network side.</w:t>
            </w:r>
          </w:p>
          <w:p w14:paraId="67094617">
            <w:pPr>
              <w:widowControl/>
              <w:numPr>
                <w:ilvl w:val="0"/>
                <w:numId w:val="96"/>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DL/UL Carrier Decoupling:​ Flexible decoupling of downlink and uplink carriers should be natively supported to optimize coverage and system performance independently.</w:t>
            </w:r>
          </w:p>
          <w:p w14:paraId="69D2DE62">
            <w:pPr>
              <w:widowControl/>
              <w:numPr>
                <w:ilvl w:val="0"/>
                <w:numId w:val="96"/>
              </w:numPr>
              <w:autoSpaceDE w:val="0"/>
              <w:autoSpaceDN w:val="0"/>
              <w:spacing w:afterLines="50"/>
              <w:jc w:val="both"/>
              <w:rPr>
                <w:rFonts w:eastAsia="Calibri"/>
                <w:b/>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Unified Uplink Transmission (Tx) Switching:​ A native and simplified support mechanism for UL Tx switching is needed, ideally through a unified switching scheme applicable to all channels (e.g., data and control).</w:t>
            </w:r>
          </w:p>
          <w:p w14:paraId="367A3130">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6</w:t>
            </w:r>
            <w:r>
              <w:rPr>
                <w:rFonts w:eastAsia="等线"/>
                <w:b/>
                <w:bCs/>
                <w:color w:val="000000" w:themeColor="text1"/>
                <w:sz w:val="20"/>
                <w:szCs w:val="20"/>
                <w14:textFill>
                  <w14:solidFill>
                    <w14:schemeClr w14:val="tx1"/>
                  </w14:solidFill>
                </w14:textFill>
              </w:rPr>
              <w:t xml:space="preserve">: 6GR should evaluate and compare the spectrum utilization, energy savings, UE complexity etc., to support fragmented non-contiguous carriers using enhanced CA framework and single cell multi carrier framework. </w:t>
            </w:r>
          </w:p>
        </w:tc>
      </w:tr>
      <w:tr w14:paraId="591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3B0CAC4">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755E6E2">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1</w:t>
            </w:r>
            <w:r>
              <w:rPr>
                <w:b/>
                <w:bCs/>
                <w:sz w:val="20"/>
                <w:szCs w:val="20"/>
                <w:lang w:eastAsia="ko-KR"/>
              </w:rPr>
              <w:tab/>
            </w:r>
            <w:r>
              <w:rPr>
                <w:b/>
                <w:bCs/>
                <w:sz w:val="20"/>
                <w:szCs w:val="20"/>
                <w:lang w:eastAsia="ko-KR"/>
              </w:rPr>
              <w:t>Consider supporting UE-side multi-cell aggregation in 6GR, similar to the CA framework used in 5G NR.</w:t>
            </w:r>
          </w:p>
          <w:p w14:paraId="458746B1">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2</w:t>
            </w:r>
            <w:r>
              <w:rPr>
                <w:b/>
                <w:bCs/>
                <w:sz w:val="20"/>
                <w:szCs w:val="20"/>
                <w:lang w:eastAsia="ko-KR"/>
              </w:rPr>
              <w:tab/>
            </w:r>
            <w:r>
              <w:rPr>
                <w:b/>
                <w:bCs/>
                <w:sz w:val="20"/>
                <w:szCs w:val="20"/>
                <w:lang w:eastAsia="ko-KR"/>
              </w:rPr>
              <w:t>Consider supporting multiple‑carrier single‑cell operation for 6GR, which enables multiple carriers to be operated under a single logical cell.</w:t>
            </w:r>
          </w:p>
          <w:p w14:paraId="71AFBEED">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3</w:t>
            </w:r>
            <w:r>
              <w:rPr>
                <w:b/>
                <w:bCs/>
                <w:sz w:val="20"/>
                <w:szCs w:val="20"/>
                <w:lang w:eastAsia="ko-KR"/>
              </w:rPr>
              <w:tab/>
            </w:r>
            <w:r>
              <w:rPr>
                <w:b/>
                <w:bCs/>
                <w:sz w:val="20"/>
                <w:szCs w:val="20"/>
                <w:lang w:eastAsia="ko-KR"/>
              </w:rPr>
              <w:t xml:space="preserve">For 6GR, study support for enhanced flexibility and dynamic adaptation of DL–UL frequency resource (e.g., carrier, BWP, etc.) coupling than in 5G NR. </w:t>
            </w:r>
          </w:p>
          <w:p w14:paraId="7E3C8700">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4</w:t>
            </w:r>
            <w:r>
              <w:rPr>
                <w:b/>
                <w:bCs/>
                <w:sz w:val="20"/>
                <w:szCs w:val="20"/>
                <w:lang w:eastAsia="ko-KR"/>
              </w:rPr>
              <w:tab/>
            </w:r>
            <w:r>
              <w:rPr>
                <w:b/>
                <w:bCs/>
                <w:sz w:val="20"/>
                <w:szCs w:val="20"/>
                <w:lang w:eastAsia="ko-KR"/>
              </w:rPr>
              <w:t xml:space="preserve">For 6GR, study efficient frequency resource adaptation mechanisms, such as </w:t>
            </w:r>
          </w:p>
          <w:p w14:paraId="73140368">
            <w:pPr>
              <w:pStyle w:val="63"/>
              <w:widowControl w:val="0"/>
              <w:numPr>
                <w:ilvl w:val="0"/>
                <w:numId w:val="97"/>
              </w:numPr>
              <w:overflowPunct w:val="0"/>
              <w:autoSpaceDE w:val="0"/>
              <w:autoSpaceDN w:val="0"/>
              <w:spacing w:afterLines="50"/>
              <w:jc w:val="both"/>
              <w:textAlignment w:val="baseline"/>
              <w:rPr>
                <w:b/>
                <w:bCs/>
                <w:sz w:val="20"/>
                <w:szCs w:val="20"/>
                <w:lang w:eastAsia="ko-KR"/>
              </w:rPr>
            </w:pPr>
            <w:r>
              <w:rPr>
                <w:b/>
                <w:bCs/>
                <w:sz w:val="20"/>
                <w:szCs w:val="20"/>
                <w:lang w:eastAsia="ko-KR"/>
              </w:rPr>
              <w:t>Fast SCell activation</w:t>
            </w:r>
          </w:p>
          <w:p w14:paraId="61D3A916">
            <w:pPr>
              <w:pStyle w:val="63"/>
              <w:widowControl w:val="0"/>
              <w:numPr>
                <w:ilvl w:val="0"/>
                <w:numId w:val="97"/>
              </w:numPr>
              <w:overflowPunct w:val="0"/>
              <w:autoSpaceDE w:val="0"/>
              <w:autoSpaceDN w:val="0"/>
              <w:spacing w:afterLines="50"/>
              <w:jc w:val="both"/>
              <w:textAlignment w:val="baseline"/>
              <w:rPr>
                <w:b/>
                <w:bCs/>
                <w:sz w:val="20"/>
                <w:szCs w:val="20"/>
                <w:lang w:eastAsia="ko-KR"/>
              </w:rPr>
            </w:pPr>
            <w:r>
              <w:rPr>
                <w:b/>
                <w:bCs/>
                <w:sz w:val="20"/>
                <w:szCs w:val="20"/>
                <w:lang w:eastAsia="ko-KR"/>
              </w:rPr>
              <w:t>Dynamic UL carrier switching without limitation of TX chain sharing</w:t>
            </w:r>
          </w:p>
          <w:p w14:paraId="100A9806">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5</w:t>
            </w:r>
            <w:r>
              <w:rPr>
                <w:b/>
                <w:bCs/>
                <w:sz w:val="20"/>
                <w:szCs w:val="20"/>
                <w:lang w:eastAsia="ko-KR"/>
              </w:rPr>
              <w:tab/>
            </w:r>
            <w:r>
              <w:rPr>
                <w:b/>
                <w:bCs/>
                <w:sz w:val="20"/>
                <w:szCs w:val="20"/>
                <w:lang w:eastAsia="ko-KR"/>
              </w:rPr>
              <w:t>Study the potential need and applicability of dual connectivity for TN–NTN and NTN–NTN inter</w:t>
            </w:r>
            <w:r>
              <w:rPr>
                <w:b/>
                <w:bCs/>
                <w:sz w:val="20"/>
                <w:szCs w:val="20"/>
                <w:lang w:eastAsia="ko-KR"/>
              </w:rPr>
              <w:noBreakHyphen/>
            </w:r>
            <w:r>
              <w:rPr>
                <w:b/>
                <w:bCs/>
                <w:sz w:val="20"/>
                <w:szCs w:val="20"/>
                <w:lang w:eastAsia="ko-KR"/>
              </w:rPr>
              <w:t>working scenarios.</w:t>
            </w:r>
          </w:p>
          <w:p w14:paraId="305F74D4">
            <w:pPr>
              <w:widowControl w:val="0"/>
              <w:autoSpaceDE w:val="0"/>
              <w:autoSpaceDN w:val="0"/>
              <w:spacing w:afterLines="50"/>
              <w:ind w:left="1200" w:hanging="1201" w:hangingChars="600"/>
              <w:jc w:val="both"/>
              <w:rPr>
                <w:rFonts w:eastAsiaTheme="minorEastAsia"/>
                <w:b/>
                <w:bCs/>
                <w:sz w:val="20"/>
                <w:szCs w:val="20"/>
              </w:rPr>
            </w:pPr>
            <w:r>
              <w:rPr>
                <w:b/>
                <w:bCs/>
                <w:sz w:val="20"/>
                <w:szCs w:val="20"/>
                <w:lang w:eastAsia="ko-KR"/>
              </w:rPr>
              <w:t>Proposal 6</w:t>
            </w:r>
            <w:r>
              <w:rPr>
                <w:b/>
                <w:bCs/>
                <w:sz w:val="20"/>
                <w:szCs w:val="20"/>
                <w:lang w:eastAsia="ko-KR"/>
              </w:rPr>
              <w:tab/>
            </w:r>
            <w:r>
              <w:rPr>
                <w:b/>
                <w:bCs/>
                <w:sz w:val="20"/>
                <w:szCs w:val="20"/>
                <w:lang w:eastAsia="ko-KR"/>
              </w:rPr>
              <w:t>Study unified approach for various scenarios of frequency resource configuration and adaptation, such as multi-carrier operation, frequency resource (e.g. BWP/carrier) adaptation, DL-UL frequency resource coupling, etc.</w:t>
            </w:r>
          </w:p>
        </w:tc>
      </w:tr>
      <w:tr w14:paraId="07AD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0760BE3">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14E57316">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pPr>
              <w:pStyle w:val="63"/>
              <w:widowControl w:val="0"/>
              <w:numPr>
                <w:ilvl w:val="0"/>
                <w:numId w:val="98"/>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7FCD3E2F">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0D405348">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3DDCBAD">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pPr>
              <w:widowControl w:val="0"/>
              <w:autoSpaceDE w:val="0"/>
              <w:autoSpaceDN w:val="0"/>
              <w:spacing w:afterLines="50"/>
              <w:jc w:val="both"/>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BA8B938">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58D74D26">
            <w:pPr>
              <w:pStyle w:val="63"/>
              <w:widowControl w:val="0"/>
              <w:numPr>
                <w:ilvl w:val="0"/>
                <w:numId w:val="98"/>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2BB2DBF5">
            <w:pPr>
              <w:pStyle w:val="63"/>
              <w:widowControl w:val="0"/>
              <w:numPr>
                <w:ilvl w:val="0"/>
                <w:numId w:val="98"/>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14:paraId="277A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3B1D357">
            <w:pPr>
              <w:widowControl w:val="0"/>
              <w:autoSpaceDE w:val="0"/>
              <w:autoSpaceDN w:val="0"/>
              <w:spacing w:afterLines="50"/>
              <w:jc w:val="both"/>
              <w:rPr>
                <w:rFonts w:eastAsia="宋体"/>
                <w:sz w:val="20"/>
                <w:szCs w:val="20"/>
                <w:lang w:val="en-GB"/>
              </w:rPr>
            </w:pPr>
            <w:r>
              <w:rPr>
                <w:rFonts w:eastAsia="宋体"/>
                <w:sz w:val="20"/>
                <w:szCs w:val="20"/>
                <w:lang w:val="en-GB"/>
              </w:rPr>
              <w:t>Nokia</w:t>
            </w:r>
          </w:p>
        </w:tc>
        <w:tc>
          <w:tcPr>
            <w:tcW w:w="3829" w:type="pct"/>
          </w:tcPr>
          <w:p w14:paraId="7DE91481">
            <w:pPr>
              <w:widowControl w:val="0"/>
              <w:autoSpaceDE w:val="0"/>
              <w:autoSpaceDN w:val="0"/>
              <w:spacing w:afterLines="50"/>
              <w:jc w:val="both"/>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71C48535">
            <w:pPr>
              <w:widowControl w:val="0"/>
              <w:autoSpaceDE w:val="0"/>
              <w:autoSpaceDN w:val="0"/>
              <w:spacing w:afterLines="50"/>
              <w:jc w:val="both"/>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1B373545">
            <w:pPr>
              <w:pStyle w:val="63"/>
              <w:widowControl w:val="0"/>
              <w:numPr>
                <w:ilvl w:val="0"/>
                <w:numId w:val="99"/>
              </w:numPr>
              <w:autoSpaceDE w:val="0"/>
              <w:autoSpaceDN w:val="0"/>
              <w:spacing w:afterLines="50"/>
              <w:jc w:val="both"/>
              <w:rPr>
                <w:i/>
                <w:sz w:val="20"/>
                <w:szCs w:val="20"/>
              </w:rPr>
            </w:pPr>
            <w:r>
              <w:rPr>
                <w:i/>
                <w:sz w:val="20"/>
                <w:szCs w:val="20"/>
              </w:rPr>
              <w:t>Support for PHY control signaling without low-latency coordination among serving cells is the cornerstone for the 6G CA design.</w:t>
            </w:r>
          </w:p>
          <w:p w14:paraId="6C61CA7B">
            <w:pPr>
              <w:pStyle w:val="63"/>
              <w:widowControl w:val="0"/>
              <w:numPr>
                <w:ilvl w:val="0"/>
                <w:numId w:val="99"/>
              </w:numPr>
              <w:autoSpaceDE w:val="0"/>
              <w:autoSpaceDN w:val="0"/>
              <w:spacing w:afterLines="50"/>
              <w:jc w:val="both"/>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0E2D2EDB">
            <w:pPr>
              <w:pStyle w:val="63"/>
              <w:widowControl w:val="0"/>
              <w:numPr>
                <w:ilvl w:val="0"/>
                <w:numId w:val="99"/>
              </w:numPr>
              <w:autoSpaceDE w:val="0"/>
              <w:autoSpaceDN w:val="0"/>
              <w:spacing w:afterLines="50"/>
              <w:jc w:val="both"/>
              <w:rPr>
                <w:i/>
                <w:sz w:val="20"/>
                <w:szCs w:val="20"/>
              </w:rPr>
            </w:pPr>
            <w:r>
              <w:rPr>
                <w:i/>
                <w:iCs/>
                <w:sz w:val="20"/>
                <w:szCs w:val="20"/>
              </w:rPr>
              <w:t>Additionally, network should be able to limit by configuration UCI transmission to a (set of) UL serving cell(s).</w:t>
            </w:r>
          </w:p>
          <w:p w14:paraId="766B3616">
            <w:pPr>
              <w:widowControl w:val="0"/>
              <w:autoSpaceDE w:val="0"/>
              <w:autoSpaceDN w:val="0"/>
              <w:spacing w:afterLines="50"/>
              <w:jc w:val="both"/>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0A06E27B">
            <w:pPr>
              <w:widowControl w:val="0"/>
              <w:autoSpaceDE w:val="0"/>
              <w:autoSpaceDN w:val="0"/>
              <w:spacing w:afterLines="50"/>
              <w:jc w:val="both"/>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52B3F28">
            <w:pPr>
              <w:widowControl w:val="0"/>
              <w:autoSpaceDE w:val="0"/>
              <w:autoSpaceDN w:val="0"/>
              <w:spacing w:afterLines="50"/>
              <w:jc w:val="both"/>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pPr>
              <w:widowControl w:val="0"/>
              <w:autoSpaceDE w:val="0"/>
              <w:autoSpaceDN w:val="0"/>
              <w:spacing w:afterLines="50"/>
              <w:jc w:val="both"/>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7AC899B0">
            <w:pPr>
              <w:widowControl w:val="0"/>
              <w:autoSpaceDE w:val="0"/>
              <w:autoSpaceDN w:val="0"/>
              <w:spacing w:afterLines="50"/>
              <w:jc w:val="both"/>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pPr>
              <w:widowControl w:val="0"/>
              <w:autoSpaceDE w:val="0"/>
              <w:autoSpaceDN w:val="0"/>
              <w:spacing w:afterLines="50"/>
              <w:jc w:val="both"/>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1805898C">
            <w:pPr>
              <w:widowControl w:val="0"/>
              <w:autoSpaceDE w:val="0"/>
              <w:autoSpaceDN w:val="0"/>
              <w:spacing w:afterLines="50"/>
              <w:jc w:val="both"/>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14:paraId="25A0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0CB8E23">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61E2CD23">
            <w:pPr>
              <w:widowControl w:val="0"/>
              <w:autoSpaceDE w:val="0"/>
              <w:autoSpaceDN w:val="0"/>
              <w:spacing w:afterLines="50"/>
              <w:jc w:val="both"/>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54E499B8">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Study allowing DL/UL decoupling for a cell</w:t>
            </w:r>
          </w:p>
          <w:p w14:paraId="60EA1829">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17E3297A">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00BAF8DA">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Study efficient/effective/practical features of carrier ON/OFF.</w:t>
            </w:r>
          </w:p>
          <w:p w14:paraId="1FE97A45">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e.g., carrier without SSB in more applicable deployment.</w:t>
            </w:r>
          </w:p>
          <w:p w14:paraId="5B046FF3">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e.g., carrier with on-demand SSB, which can also be applicable to PCell</w:t>
            </w:r>
          </w:p>
          <w:p w14:paraId="54479C2C">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 xml:space="preserve">e.g., fast carrier activation in a practical manner and joint consideration of NES. </w:t>
            </w:r>
          </w:p>
          <w:p w14:paraId="458FB4FC">
            <w:pPr>
              <w:widowControl w:val="0"/>
              <w:autoSpaceDE w:val="0"/>
              <w:autoSpaceDN w:val="0"/>
              <w:spacing w:afterLines="50"/>
              <w:jc w:val="both"/>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C1891DC">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14:paraId="68BC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DB9BDE7">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33563BFF">
            <w:pPr>
              <w:widowControl w:val="0"/>
              <w:autoSpaceDE w:val="0"/>
              <w:autoSpaceDN w:val="0"/>
              <w:spacing w:afterLines="50"/>
              <w:jc w:val="both"/>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0E487D15">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0DF34122">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67929">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2133027F">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3CF38B7E">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663B33F1">
            <w:pPr>
              <w:pStyle w:val="63"/>
              <w:widowControl w:val="0"/>
              <w:numPr>
                <w:ilvl w:val="0"/>
                <w:numId w:val="100"/>
              </w:numPr>
              <w:autoSpaceDE w:val="0"/>
              <w:autoSpaceDN w:val="0"/>
              <w:spacing w:afterLines="50"/>
              <w:jc w:val="both"/>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08449639">
            <w:pPr>
              <w:widowControl w:val="0"/>
              <w:autoSpaceDE w:val="0"/>
              <w:autoSpaceDN w:val="0"/>
              <w:spacing w:afterLines="50"/>
              <w:jc w:val="both"/>
              <w:rPr>
                <w:rFonts w:eastAsia="宋体"/>
                <w:b/>
                <w:bCs/>
                <w:i/>
                <w:iCs/>
                <w:sz w:val="20"/>
                <w:szCs w:val="20"/>
              </w:rPr>
            </w:pPr>
            <w:r>
              <w:rPr>
                <w:rFonts w:eastAsia="宋体"/>
                <w:b/>
                <w:bCs/>
                <w:i/>
                <w:iCs/>
                <w:sz w:val="20"/>
                <w:szCs w:val="20"/>
              </w:rPr>
              <w:t>Proposal 37: For 6G spectrum utilization improvements, the following aspects can be studied:</w:t>
            </w:r>
          </w:p>
          <w:p w14:paraId="4A43AAE0">
            <w:pPr>
              <w:pStyle w:val="63"/>
              <w:widowControl w:val="0"/>
              <w:numPr>
                <w:ilvl w:val="0"/>
                <w:numId w:val="101"/>
              </w:numPr>
              <w:autoSpaceDE w:val="0"/>
              <w:autoSpaceDN w:val="0"/>
              <w:spacing w:afterLines="50"/>
              <w:jc w:val="both"/>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20FF269F">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TB across multiple carriers for more efficient utilization of fragmented resources.</w:t>
            </w:r>
          </w:p>
          <w:p w14:paraId="77797408">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HARQ entity sharing and cross-CC HARQ to explore diversity and latency gain.</w:t>
            </w:r>
          </w:p>
          <w:p w14:paraId="096541AF">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More flexible load balancing for the whole RACH procedure including both UL and DL.</w:t>
            </w:r>
          </w:p>
          <w:p w14:paraId="0C9583E9">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5EF230FF">
            <w:pPr>
              <w:widowControl w:val="0"/>
              <w:numPr>
                <w:ilvl w:val="0"/>
                <w:numId w:val="46"/>
              </w:numPr>
              <w:autoSpaceDE w:val="0"/>
              <w:autoSpaceDN w:val="0"/>
              <w:spacing w:afterLines="50"/>
              <w:jc w:val="both"/>
              <w:rPr>
                <w:rFonts w:eastAsiaTheme="minorEastAsia"/>
                <w:b/>
                <w:i/>
                <w:sz w:val="20"/>
                <w:szCs w:val="20"/>
              </w:rPr>
            </w:pPr>
            <w:r>
              <w:rPr>
                <w:rFonts w:eastAsiaTheme="minorEastAsia"/>
                <w:b/>
                <w:i/>
                <w:sz w:val="20"/>
                <w:szCs w:val="20"/>
              </w:rPr>
              <w:t>Flexible UL/DL pairing for UL/DL coverage balancing.</w:t>
            </w:r>
          </w:p>
          <w:p w14:paraId="0C4E9F0D">
            <w:pPr>
              <w:widowControl w:val="0"/>
              <w:autoSpaceDE w:val="0"/>
              <w:autoSpaceDN w:val="0"/>
              <w:spacing w:afterLines="50"/>
              <w:jc w:val="both"/>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F38653A">
            <w:pPr>
              <w:pStyle w:val="63"/>
              <w:widowControl w:val="0"/>
              <w:numPr>
                <w:ilvl w:val="0"/>
                <w:numId w:val="102"/>
              </w:numPr>
              <w:autoSpaceDE w:val="0"/>
              <w:autoSpaceDN w:val="0"/>
              <w:spacing w:afterLines="50"/>
              <w:jc w:val="both"/>
              <w:rPr>
                <w:rFonts w:eastAsiaTheme="minorEastAsia"/>
                <w:b/>
                <w:bCs/>
                <w:i/>
                <w:iCs/>
                <w:sz w:val="20"/>
                <w:szCs w:val="20"/>
              </w:rPr>
            </w:pPr>
            <w:r>
              <w:rPr>
                <w:rFonts w:eastAsiaTheme="minorEastAsia"/>
                <w:b/>
                <w:bCs/>
                <w:i/>
                <w:iCs/>
                <w:sz w:val="20"/>
                <w:szCs w:val="20"/>
              </w:rPr>
              <w:t>Cell (re)selection procedure would be impacted if following CA framework.</w:t>
            </w:r>
          </w:p>
          <w:p w14:paraId="7190420D">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Per-cell HARQ entity concept would be broken if following CA framework.</w:t>
            </w:r>
          </w:p>
          <w:p w14:paraId="4642E0B6">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BWP within one cell concept would be broken if following CA framework.</w:t>
            </w:r>
          </w:p>
          <w:p w14:paraId="0EB386DA">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18491FC8">
            <w:pPr>
              <w:widowControl w:val="0"/>
              <w:autoSpaceDE w:val="0"/>
              <w:autoSpaceDN w:val="0"/>
              <w:spacing w:afterLines="50"/>
              <w:jc w:val="both"/>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59B75176">
            <w:pPr>
              <w:pStyle w:val="19"/>
              <w:widowControl w:val="0"/>
              <w:autoSpaceDE w:val="0"/>
              <w:autoSpaceDN w:val="0"/>
              <w:spacing w:afterLines="50"/>
              <w:jc w:val="both"/>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14:paraId="2DF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F62CC00">
            <w:pPr>
              <w:widowControl w:val="0"/>
              <w:autoSpaceDE w:val="0"/>
              <w:autoSpaceDN w:val="0"/>
              <w:spacing w:afterLines="50"/>
              <w:jc w:val="both"/>
              <w:rPr>
                <w:rFonts w:eastAsia="宋体"/>
                <w:sz w:val="20"/>
                <w:szCs w:val="20"/>
                <w:lang w:val="en-GB"/>
              </w:rPr>
            </w:pPr>
            <w:r>
              <w:rPr>
                <w:rFonts w:eastAsia="宋体"/>
                <w:sz w:val="20"/>
                <w:szCs w:val="20"/>
                <w:lang w:val="en-GB"/>
              </w:rPr>
              <w:t>Pengcheng Laboratory</w:t>
            </w:r>
          </w:p>
        </w:tc>
        <w:tc>
          <w:tcPr>
            <w:tcW w:w="3829" w:type="pct"/>
          </w:tcPr>
          <w:p w14:paraId="18A055F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pPr>
              <w:pStyle w:val="34"/>
              <w:widowControl w:val="0"/>
              <w:autoSpaceDE w:val="0"/>
              <w:autoSpaceDN w:val="0"/>
              <w:spacing w:before="0" w:beforeAutospacing="0" w:after="120" w:afterLines="50" w:afterAutospacing="0"/>
              <w:jc w:val="both"/>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Cross-component-carrier (CC) initial access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System information sharing across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Cross-CC HARQ operation among multiple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Higher-layer retransmission mechanisms spanning multiple CCs without HARQ</w:t>
            </w:r>
          </w:p>
        </w:tc>
      </w:tr>
      <w:tr w14:paraId="0155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D402BAE">
            <w:pPr>
              <w:widowControl w:val="0"/>
              <w:autoSpaceDE w:val="0"/>
              <w:autoSpaceDN w:val="0"/>
              <w:spacing w:afterLines="50"/>
              <w:jc w:val="both"/>
              <w:rPr>
                <w:rFonts w:eastAsia="宋体"/>
                <w:sz w:val="20"/>
                <w:szCs w:val="20"/>
                <w:lang w:val="en-GB"/>
              </w:rPr>
            </w:pPr>
            <w:r>
              <w:rPr>
                <w:rFonts w:eastAsia="宋体"/>
                <w:sz w:val="20"/>
                <w:szCs w:val="20"/>
                <w:lang w:val="en-GB"/>
              </w:rPr>
              <w:t>Qualcomm</w:t>
            </w:r>
          </w:p>
        </w:tc>
        <w:tc>
          <w:tcPr>
            <w:tcW w:w="3829" w:type="pct"/>
          </w:tcPr>
          <w:p w14:paraId="7E52764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3F57124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52F91F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519BF70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67604C1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7454D17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14:paraId="5A51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D27E4C0">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3FC1D21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r>
            <w:r>
              <w:rPr>
                <w:rFonts w:eastAsiaTheme="minorEastAsia"/>
                <w:b/>
                <w:bCs/>
                <w:i/>
                <w:iCs/>
                <w:kern w:val="2"/>
                <w:sz w:val="20"/>
                <w:szCs w:val="20"/>
              </w:rPr>
              <w:t>To improve load balancing and NES, it is beneficial to not limit cells/carriers where a UE can perform a procedure, e.g. for initial access or PUCCH transmission.</w:t>
            </w:r>
          </w:p>
          <w:p w14:paraId="09A6975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r>
            <w:r>
              <w:rPr>
                <w:rFonts w:eastAsiaTheme="minorEastAsia"/>
                <w:b/>
                <w:bCs/>
                <w:i/>
                <w:iCs/>
                <w:kern w:val="2"/>
                <w:sz w:val="20"/>
                <w:szCs w:val="20"/>
              </w:rPr>
              <w:t xml:space="preserve">In NR, independent/later additions, e.g., SUL/SDL/LB-CA and UL-Tx switching, have resulted in clutters. </w:t>
            </w:r>
          </w:p>
          <w:p w14:paraId="570911F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r>
            <w:r>
              <w:rPr>
                <w:rFonts w:eastAsiaTheme="minorEastAsia"/>
                <w:b/>
                <w:bCs/>
                <w:i/>
                <w:iCs/>
                <w:kern w:val="2"/>
                <w:sz w:val="20"/>
                <w:szCs w:val="20"/>
              </w:rPr>
              <w:t>In NR, legacy DL-UL pairing for FDD/TDD cells may not optimize KPIs for both DL and UL.</w:t>
            </w:r>
          </w:p>
          <w:p w14:paraId="1203FCE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r>
            <w:r>
              <w:rPr>
                <w:rFonts w:eastAsiaTheme="minorEastAsia"/>
                <w:b/>
                <w:bCs/>
                <w:i/>
                <w:iCs/>
                <w:kern w:val="2"/>
                <w:sz w:val="20"/>
                <w:szCs w:val="20"/>
              </w:rPr>
              <w:t>Energy-efficient CA and low-latency cell activation continue to be key considerations.</w:t>
            </w:r>
          </w:p>
          <w:p w14:paraId="3E097279">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r>
            <w:r>
              <w:rPr>
                <w:rFonts w:eastAsiaTheme="minorEastAsia"/>
                <w:b/>
                <w:bCs/>
                <w:i/>
                <w:iCs/>
                <w:kern w:val="2"/>
                <w:sz w:val="20"/>
                <w:szCs w:val="20"/>
              </w:rPr>
              <w:t>Fragmented carriers were not efficiently utilized and latency is unnecessarily increased under NR CA framework.</w:t>
            </w:r>
          </w:p>
          <w:p w14:paraId="0B7955E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r>
            <w:r>
              <w:rPr>
                <w:rFonts w:eastAsiaTheme="minorEastAsia"/>
                <w:b/>
                <w:bCs/>
                <w:i/>
                <w:iCs/>
                <w:kern w:val="2"/>
                <w:sz w:val="20"/>
                <w:szCs w:val="20"/>
              </w:rPr>
              <w:t>N-carrier Single Cell (NCSC), i.e., a serving cell configured with N-carrier (N &gt; 1), can be a candidate for 6GR CA operation.</w:t>
            </w:r>
          </w:p>
          <w:p w14:paraId="5E7F725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r>
            <w:r>
              <w:rPr>
                <w:rFonts w:eastAsiaTheme="minorEastAsia"/>
                <w:b/>
                <w:bCs/>
                <w:i/>
                <w:iCs/>
                <w:kern w:val="2"/>
                <w:sz w:val="20"/>
                <w:szCs w:val="20"/>
              </w:rPr>
              <w:t>6GR should consider the lessons learned from NR CA operation and study flexible and efficient CA framework for easy and fast carrier/cell on/off and for increased network energy saving, coverage and for improved spectrum utilization.</w:t>
            </w:r>
          </w:p>
        </w:tc>
      </w:tr>
      <w:tr w14:paraId="5EFD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C541D93">
            <w:pPr>
              <w:widowControl w:val="0"/>
              <w:autoSpaceDE w:val="0"/>
              <w:autoSpaceDN w:val="0"/>
              <w:spacing w:afterLines="50"/>
              <w:jc w:val="both"/>
              <w:rPr>
                <w:rFonts w:eastAsia="宋体"/>
                <w:sz w:val="20"/>
                <w:szCs w:val="20"/>
                <w:lang w:val="en-GB"/>
              </w:rPr>
            </w:pPr>
            <w:r>
              <w:rPr>
                <w:rFonts w:eastAsia="宋体"/>
                <w:sz w:val="20"/>
                <w:szCs w:val="20"/>
                <w:lang w:val="en-GB"/>
              </w:rPr>
              <w:t>Spreadtrum</w:t>
            </w:r>
          </w:p>
        </w:tc>
        <w:tc>
          <w:tcPr>
            <w:tcW w:w="3829" w:type="pct"/>
          </w:tcPr>
          <w:p w14:paraId="18A1086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74CB9883">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CA has been a beneficial feature in previous generations</w:t>
            </w:r>
          </w:p>
          <w:p w14:paraId="41A6DA48">
            <w:pPr>
              <w:pStyle w:val="63"/>
              <w:widowControl w:val="0"/>
              <w:numPr>
                <w:ilvl w:val="0"/>
                <w:numId w:val="103"/>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Not all functionalities are available from initial release</w:t>
            </w:r>
          </w:p>
          <w:p w14:paraId="3910C19E">
            <w:pPr>
              <w:pStyle w:val="63"/>
              <w:widowControl w:val="0"/>
              <w:numPr>
                <w:ilvl w:val="0"/>
                <w:numId w:val="103"/>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Operating scenarios of CA and DC have some overlap</w:t>
            </w:r>
          </w:p>
          <w:p w14:paraId="52E08C7C">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Some functionalities are supported only on Pcell</w:t>
            </w:r>
          </w:p>
          <w:p w14:paraId="0B7A52D5">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Slow and complex activation of additional carrier</w:t>
            </w:r>
          </w:p>
          <w:p w14:paraId="6EC86A6D">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Inefficiency from coupling DL and UL carriers for a cell</w:t>
            </w:r>
          </w:p>
          <w:p w14:paraId="19A7C884">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Utilizing fragmented spectrum is not considered well</w:t>
            </w:r>
          </w:p>
          <w:p w14:paraId="54C43F9A">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Features (such as HARQ) defined per carrier leads to sub-optimal performance</w:t>
            </w:r>
          </w:p>
          <w:p w14:paraId="07C8D403">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Signalling/configuration overhead and UE processing complexity of PHY channels due to per CC constraint</w:t>
            </w:r>
          </w:p>
          <w:p w14:paraId="3E7A1B21">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limited applicable scenario of SSB adaptation for Scell</w:t>
            </w:r>
          </w:p>
          <w:p w14:paraId="6D6FA8FC">
            <w:pPr>
              <w:pStyle w:val="63"/>
              <w:widowControl w:val="0"/>
              <w:numPr>
                <w:ilvl w:val="0"/>
                <w:numId w:val="103"/>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Late introduction of UL TX switching leads to restricted applicability/performance</w:t>
            </w:r>
          </w:p>
          <w:p w14:paraId="6FB2D03E">
            <w:pPr>
              <w:pStyle w:val="63"/>
              <w:widowControl w:val="0"/>
              <w:numPr>
                <w:ilvl w:val="0"/>
                <w:numId w:val="103"/>
              </w:numPr>
              <w:autoSpaceDE w:val="0"/>
              <w:autoSpaceDN w:val="0"/>
              <w:spacing w:afterLines="50"/>
              <w:jc w:val="both"/>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39EBCEBD">
            <w:pPr>
              <w:pStyle w:val="63"/>
              <w:widowControl w:val="0"/>
              <w:numPr>
                <w:ilvl w:val="0"/>
                <w:numId w:val="103"/>
              </w:numPr>
              <w:autoSpaceDE w:val="0"/>
              <w:autoSpaceDN w:val="0"/>
              <w:spacing w:afterLines="50"/>
              <w:jc w:val="both"/>
              <w:rPr>
                <w:rFonts w:eastAsiaTheme="minorEastAsia"/>
                <w:b/>
                <w:bCs/>
                <w:i/>
                <w:iCs/>
                <w:color w:val="FF0000"/>
                <w:kern w:val="2"/>
                <w:sz w:val="20"/>
                <w:szCs w:val="20"/>
              </w:rPr>
            </w:pPr>
            <w:r>
              <w:rPr>
                <w:rFonts w:eastAsiaTheme="minorEastAsia"/>
                <w:b/>
                <w:bCs/>
                <w:i/>
                <w:iCs/>
                <w:color w:val="FF0000"/>
                <w:kern w:val="2"/>
                <w:sz w:val="20"/>
                <w:szCs w:val="20"/>
              </w:rPr>
              <w:tab/>
            </w:r>
            <w:r>
              <w:rPr>
                <w:rFonts w:eastAsiaTheme="minorEastAsia"/>
                <w:b/>
                <w:bCs/>
                <w:i/>
                <w:iCs/>
                <w:color w:val="FF0000"/>
                <w:kern w:val="2"/>
                <w:sz w:val="20"/>
                <w:szCs w:val="20"/>
              </w:rPr>
              <w:t xml:space="preserve">PDCCH overhead and BD complexity reduction in CA is not considered in initial release </w:t>
            </w:r>
          </w:p>
          <w:p w14:paraId="2666F803">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57454C47">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NR MC/CA mechanism</w:t>
            </w:r>
          </w:p>
          <w:p w14:paraId="188C1AAF">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51E86BB6">
            <w:pPr>
              <w:pStyle w:val="63"/>
              <w:widowControl w:val="0"/>
              <w:numPr>
                <w:ilvl w:val="1"/>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5C791189">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DL and UL decoupling </w:t>
            </w:r>
          </w:p>
          <w:p w14:paraId="2BA2AE9B">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Fast carrier activation</w:t>
            </w:r>
          </w:p>
          <w:p w14:paraId="1B113120">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21FF6CCB">
            <w:pPr>
              <w:pStyle w:val="63"/>
              <w:widowControl w:val="0"/>
              <w:numPr>
                <w:ilvl w:val="0"/>
                <w:numId w:val="97"/>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r>
            <w:r>
              <w:rPr>
                <w:rFonts w:eastAsiaTheme="minorEastAsia"/>
                <w:b/>
                <w:bCs/>
                <w:i/>
                <w:iCs/>
                <w:kern w:val="2"/>
                <w:sz w:val="20"/>
                <w:szCs w:val="20"/>
              </w:rPr>
              <w:t>Flexible UL Tx switching and DL Rx switching</w:t>
            </w:r>
          </w:p>
        </w:tc>
      </w:tr>
      <w:tr w14:paraId="52AF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94FFEEB">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6CF373D5">
            <w:pPr>
              <w:pStyle w:val="19"/>
              <w:widowControl w:val="0"/>
              <w:autoSpaceDE w:val="0"/>
              <w:autoSpaceDN w:val="0"/>
              <w:spacing w:afterLines="50"/>
              <w:jc w:val="both"/>
              <w:rPr>
                <w:rFonts w:eastAsiaTheme="minorEastAsia"/>
                <w:b/>
                <w:i/>
              </w:rPr>
            </w:pPr>
            <w:r>
              <w:rPr>
                <w:b/>
                <w:i/>
              </w:rPr>
              <w:t xml:space="preserve">Proposal 6: RAN1 should study the way of aggregating multiple fragmented spectrums/carriers as one serving cell in 6GR. </w:t>
            </w:r>
          </w:p>
        </w:tc>
      </w:tr>
      <w:tr w14:paraId="16FF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92AA01D">
            <w:pPr>
              <w:widowControl w:val="0"/>
              <w:autoSpaceDE w:val="0"/>
              <w:autoSpaceDN w:val="0"/>
              <w:spacing w:afterLines="50"/>
              <w:jc w:val="both"/>
              <w:rPr>
                <w:rFonts w:eastAsia="宋体"/>
                <w:sz w:val="20"/>
                <w:szCs w:val="20"/>
                <w:lang w:val="en-GB"/>
              </w:rPr>
            </w:pPr>
            <w:r>
              <w:rPr>
                <w:rFonts w:eastAsia="宋体"/>
                <w:sz w:val="20"/>
                <w:szCs w:val="20"/>
                <w:lang w:val="en-GB"/>
              </w:rPr>
              <w:t>vivo</w:t>
            </w:r>
          </w:p>
        </w:tc>
        <w:tc>
          <w:tcPr>
            <w:tcW w:w="3829" w:type="pct"/>
          </w:tcPr>
          <w:p w14:paraId="71AB9077">
            <w:pPr>
              <w:pStyle w:val="19"/>
              <w:widowControl w:val="0"/>
              <w:autoSpaceDE w:val="0"/>
              <w:autoSpaceDN w:val="0"/>
              <w:spacing w:afterLines="50"/>
              <w:jc w:val="both"/>
              <w:rPr>
                <w:b/>
                <w:i/>
              </w:rPr>
            </w:pPr>
            <w:r>
              <w:rPr>
                <w:b/>
                <w:i/>
              </w:rPr>
              <w:t>Proposal 18: Study 6GR frame pattern time domain periodicity from 0.5ms to 20ms</w:t>
            </w:r>
          </w:p>
          <w:p w14:paraId="5DD20AC2">
            <w:pPr>
              <w:pStyle w:val="19"/>
              <w:widowControl w:val="0"/>
              <w:numPr>
                <w:ilvl w:val="0"/>
                <w:numId w:val="101"/>
              </w:numPr>
              <w:autoSpaceDE w:val="0"/>
              <w:autoSpaceDN w:val="0"/>
              <w:spacing w:afterLines="50"/>
              <w:jc w:val="both"/>
              <w:rPr>
                <w:b/>
                <w:i/>
              </w:rPr>
            </w:pPr>
            <w:r>
              <w:rPr>
                <w:b/>
                <w:i/>
              </w:rPr>
              <w:t>FFS to down-select to a limited number of DL-UL configurations from those supported in 5G NR</w:t>
            </w:r>
          </w:p>
          <w:p w14:paraId="5DF3931C">
            <w:pPr>
              <w:pStyle w:val="19"/>
              <w:widowControl w:val="0"/>
              <w:numPr>
                <w:ilvl w:val="0"/>
                <w:numId w:val="101"/>
              </w:numPr>
              <w:autoSpaceDE w:val="0"/>
              <w:autoSpaceDN w:val="0"/>
              <w:spacing w:afterLines="50"/>
              <w:jc w:val="both"/>
              <w:rPr>
                <w:b/>
                <w:i/>
              </w:rPr>
            </w:pPr>
            <w:r>
              <w:rPr>
                <w:b/>
                <w:i/>
              </w:rPr>
              <w:t>FFS periodicity larger than 20ms for NTN</w:t>
            </w:r>
          </w:p>
          <w:p w14:paraId="645F82D2">
            <w:pPr>
              <w:pStyle w:val="19"/>
              <w:widowControl w:val="0"/>
              <w:autoSpaceDE w:val="0"/>
              <w:autoSpaceDN w:val="0"/>
              <w:spacing w:afterLines="50"/>
              <w:jc w:val="both"/>
              <w:rPr>
                <w:b/>
                <w:i/>
              </w:rPr>
            </w:pPr>
            <w:r>
              <w:rPr>
                <w:b/>
                <w:i/>
              </w:rPr>
              <w:t>Proposal 19: 6GR shall study single cell multi-carriers (SCMC) to aggregate multiple carriers in different bands as a single cell for idle mode operation, including</w:t>
            </w:r>
          </w:p>
          <w:p w14:paraId="3F2A9079">
            <w:pPr>
              <w:pStyle w:val="19"/>
              <w:widowControl w:val="0"/>
              <w:numPr>
                <w:ilvl w:val="0"/>
                <w:numId w:val="101"/>
              </w:numPr>
              <w:autoSpaceDE w:val="0"/>
              <w:autoSpaceDN w:val="0"/>
              <w:spacing w:afterLines="50"/>
              <w:jc w:val="both"/>
              <w:rPr>
                <w:b/>
                <w:i/>
              </w:rPr>
            </w:pPr>
            <w:r>
              <w:rPr>
                <w:b/>
                <w:i/>
              </w:rPr>
              <w:t>SSB, SIBs, Paging, DL/UL WUS are transmitted/monitored on anchor carrier on a low frequency band</w:t>
            </w:r>
          </w:p>
          <w:p w14:paraId="5EF55828">
            <w:pPr>
              <w:pStyle w:val="19"/>
              <w:widowControl w:val="0"/>
              <w:numPr>
                <w:ilvl w:val="0"/>
                <w:numId w:val="101"/>
              </w:numPr>
              <w:autoSpaceDE w:val="0"/>
              <w:autoSpaceDN w:val="0"/>
              <w:spacing w:afterLines="50"/>
              <w:jc w:val="both"/>
              <w:rPr>
                <w:b/>
                <w:i/>
              </w:rPr>
            </w:pPr>
            <w:r>
              <w:rPr>
                <w:b/>
                <w:i/>
              </w:rPr>
              <w:t>RACH can be performed on anchor carrier on a low frequency band, or offloaded to non-anchor carrier(s) in high frequency band(s)</w:t>
            </w:r>
          </w:p>
          <w:p w14:paraId="0543ED72">
            <w:pPr>
              <w:pStyle w:val="19"/>
              <w:widowControl w:val="0"/>
              <w:numPr>
                <w:ilvl w:val="0"/>
                <w:numId w:val="101"/>
              </w:numPr>
              <w:autoSpaceDE w:val="0"/>
              <w:autoSpaceDN w:val="0"/>
              <w:spacing w:afterLines="50"/>
              <w:jc w:val="both"/>
              <w:rPr>
                <w:b/>
                <w:i/>
              </w:rPr>
            </w:pPr>
            <w:r>
              <w:rPr>
                <w:b/>
                <w:i/>
              </w:rPr>
              <w:t>FFS the benefit and feasibility of paging offloading from anchor carrier to non-anchor carrier</w:t>
            </w:r>
          </w:p>
          <w:p w14:paraId="19F8EC02">
            <w:pPr>
              <w:pStyle w:val="19"/>
              <w:widowControl w:val="0"/>
              <w:autoSpaceDE w:val="0"/>
              <w:autoSpaceDN w:val="0"/>
              <w:spacing w:afterLines="50"/>
              <w:jc w:val="both"/>
              <w:rPr>
                <w:b/>
                <w:i/>
              </w:rPr>
            </w:pPr>
            <w:r>
              <w:rPr>
                <w:b/>
                <w:i/>
              </w:rPr>
              <w:t>Proposal 20: 6GR shall study SCMC to aggregate multiple carriers within a band group as a single cell for connected mode operation (e.g., low band carriers including 700~900MHz), including</w:t>
            </w:r>
          </w:p>
          <w:p w14:paraId="7D82C80A">
            <w:pPr>
              <w:pStyle w:val="19"/>
              <w:widowControl w:val="0"/>
              <w:numPr>
                <w:ilvl w:val="0"/>
                <w:numId w:val="101"/>
              </w:numPr>
              <w:autoSpaceDE w:val="0"/>
              <w:autoSpaceDN w:val="0"/>
              <w:spacing w:afterLines="50"/>
              <w:jc w:val="both"/>
              <w:rPr>
                <w:b/>
                <w:i/>
              </w:rPr>
            </w:pPr>
            <w:r>
              <w:rPr>
                <w:b/>
                <w:i/>
              </w:rPr>
              <w:t>BWP operation, e.g. single or multiple active BWPs for a SCMC cell</w:t>
            </w:r>
          </w:p>
          <w:p w14:paraId="1D411422">
            <w:pPr>
              <w:pStyle w:val="19"/>
              <w:widowControl w:val="0"/>
              <w:numPr>
                <w:ilvl w:val="0"/>
                <w:numId w:val="101"/>
              </w:numPr>
              <w:autoSpaceDE w:val="0"/>
              <w:autoSpaceDN w:val="0"/>
              <w:spacing w:afterLines="50"/>
              <w:jc w:val="both"/>
              <w:rPr>
                <w:b/>
                <w:i/>
              </w:rPr>
            </w:pPr>
            <w:r>
              <w:rPr>
                <w:b/>
                <w:i/>
              </w:rPr>
              <w:t>PDSCH/PUSCH TB mapping, e.g. single or multiple TBs for a SCMC cell</w:t>
            </w:r>
          </w:p>
          <w:p w14:paraId="64AE106D">
            <w:pPr>
              <w:pStyle w:val="19"/>
              <w:widowControl w:val="0"/>
              <w:numPr>
                <w:ilvl w:val="0"/>
                <w:numId w:val="101"/>
              </w:numPr>
              <w:autoSpaceDE w:val="0"/>
              <w:autoSpaceDN w:val="0"/>
              <w:spacing w:afterLines="50"/>
              <w:jc w:val="both"/>
              <w:rPr>
                <w:b/>
                <w:i/>
              </w:rPr>
            </w:pPr>
            <w:r>
              <w:rPr>
                <w:b/>
                <w:i/>
              </w:rPr>
              <w:t>Joint scheduling of PDSCH/PUSCH over multiple carriers within a SCMC cell</w:t>
            </w:r>
          </w:p>
          <w:p w14:paraId="04B908A8">
            <w:pPr>
              <w:pStyle w:val="19"/>
              <w:widowControl w:val="0"/>
              <w:numPr>
                <w:ilvl w:val="0"/>
                <w:numId w:val="101"/>
              </w:numPr>
              <w:autoSpaceDE w:val="0"/>
              <w:autoSpaceDN w:val="0"/>
              <w:spacing w:afterLines="50"/>
              <w:jc w:val="both"/>
              <w:rPr>
                <w:b/>
                <w:i/>
              </w:rPr>
            </w:pPr>
            <w:r>
              <w:rPr>
                <w:b/>
                <w:i/>
              </w:rPr>
              <w:t>UE capability sharing among multiple carrier within a SCMC cell</w:t>
            </w:r>
          </w:p>
          <w:p w14:paraId="134D493C">
            <w:pPr>
              <w:pStyle w:val="19"/>
              <w:widowControl w:val="0"/>
              <w:autoSpaceDE w:val="0"/>
              <w:autoSpaceDN w:val="0"/>
              <w:spacing w:afterLines="50"/>
              <w:jc w:val="both"/>
              <w:rPr>
                <w:b/>
                <w:i/>
              </w:rPr>
            </w:pPr>
            <w:r>
              <w:rPr>
                <w:b/>
                <w:i/>
              </w:rPr>
              <w:t>Proposal 21: 6GR shall study unified framework for both SUL/SDL and CA operation, and fast SCell addition and activation to access secondary carriers in CA operation.</w:t>
            </w:r>
          </w:p>
        </w:tc>
      </w:tr>
      <w:tr w14:paraId="3DB0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D4C6833">
            <w:pPr>
              <w:widowControl w:val="0"/>
              <w:autoSpaceDE w:val="0"/>
              <w:autoSpaceDN w:val="0"/>
              <w:spacing w:afterLines="50"/>
              <w:jc w:val="both"/>
              <w:rPr>
                <w:rFonts w:eastAsia="宋体"/>
                <w:sz w:val="20"/>
                <w:szCs w:val="20"/>
                <w:lang w:val="en-GB"/>
              </w:rPr>
            </w:pPr>
            <w:r>
              <w:rPr>
                <w:rFonts w:eastAsia="宋体"/>
                <w:sz w:val="20"/>
                <w:szCs w:val="20"/>
                <w:lang w:val="en-GB"/>
              </w:rPr>
              <w:t>Xiaomi</w:t>
            </w:r>
          </w:p>
        </w:tc>
        <w:tc>
          <w:tcPr>
            <w:tcW w:w="3829" w:type="pct"/>
          </w:tcPr>
          <w:p w14:paraId="27D6C9F6">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60EA55A">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AEA565F">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B004AE8">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5546A2A9">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11DB1B51">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1DB3B7D0">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746441E">
            <w:pPr>
              <w:widowControl w:val="0"/>
              <w:overflowPunct w:val="0"/>
              <w:autoSpaceDE w:val="0"/>
              <w:autoSpaceDN w:val="0"/>
              <w:spacing w:afterLines="50"/>
              <w:jc w:val="both"/>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14:paraId="0A91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9695F8A">
            <w:pPr>
              <w:widowControl w:val="0"/>
              <w:autoSpaceDE w:val="0"/>
              <w:autoSpaceDN w:val="0"/>
              <w:spacing w:afterLines="50"/>
              <w:jc w:val="both"/>
              <w:rPr>
                <w:rFonts w:eastAsia="宋体"/>
                <w:sz w:val="20"/>
                <w:szCs w:val="20"/>
                <w:lang w:val="en-GB"/>
              </w:rPr>
            </w:pPr>
            <w:r>
              <w:rPr>
                <w:rFonts w:hint="eastAsia" w:eastAsia="宋体"/>
                <w:sz w:val="20"/>
                <w:szCs w:val="20"/>
                <w:lang w:val="en-GB"/>
              </w:rPr>
              <w:t>ZTE</w:t>
            </w:r>
          </w:p>
        </w:tc>
        <w:tc>
          <w:tcPr>
            <w:tcW w:w="3829" w:type="pct"/>
          </w:tcPr>
          <w:p w14:paraId="25451E58">
            <w:pPr>
              <w:widowControl w:val="0"/>
              <w:autoSpaceDE w:val="0"/>
              <w:autoSpaceDN w:val="0"/>
              <w:spacing w:afterLines="50"/>
              <w:jc w:val="both"/>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67A9EA1C">
            <w:pPr>
              <w:widowControl w:val="0"/>
              <w:numPr>
                <w:ilvl w:val="0"/>
                <w:numId w:val="104"/>
              </w:numPr>
              <w:autoSpaceDE w:val="0"/>
              <w:autoSpaceDN w:val="0"/>
              <w:spacing w:afterLines="50"/>
              <w:jc w:val="both"/>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7C8733B2">
            <w:pPr>
              <w:widowControl w:val="0"/>
              <w:numPr>
                <w:ilvl w:val="0"/>
                <w:numId w:val="104"/>
              </w:numPr>
              <w:autoSpaceDE w:val="0"/>
              <w:autoSpaceDN w:val="0"/>
              <w:spacing w:afterLines="50"/>
              <w:jc w:val="both"/>
              <w:rPr>
                <w:i/>
                <w:sz w:val="20"/>
                <w:szCs w:val="20"/>
              </w:rPr>
            </w:pPr>
            <w:r>
              <w:rPr>
                <w:i/>
                <w:sz w:val="20"/>
                <w:szCs w:val="20"/>
              </w:rPr>
              <w:t>Connected</w:t>
            </w:r>
            <w:r>
              <w:rPr>
                <w:rStyle w:val="40"/>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69D739B5">
            <w:pPr>
              <w:widowControl w:val="0"/>
              <w:numPr>
                <w:ilvl w:val="0"/>
                <w:numId w:val="104"/>
              </w:numPr>
              <w:autoSpaceDE w:val="0"/>
              <w:autoSpaceDN w:val="0"/>
              <w:spacing w:afterLines="50"/>
              <w:jc w:val="both"/>
              <w:rPr>
                <w:i/>
                <w:sz w:val="20"/>
                <w:szCs w:val="20"/>
              </w:rPr>
            </w:pPr>
            <w:r>
              <w:rPr>
                <w:i/>
                <w:sz w:val="20"/>
                <w:szCs w:val="20"/>
              </w:rPr>
              <w:t>Capacity</w:t>
            </w:r>
            <w:r>
              <w:rPr>
                <w:rStyle w:val="40"/>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00CDD350">
            <w:pPr>
              <w:widowControl w:val="0"/>
              <w:numPr>
                <w:ilvl w:val="0"/>
                <w:numId w:val="104"/>
              </w:numPr>
              <w:autoSpaceDE w:val="0"/>
              <w:autoSpaceDN w:val="0"/>
              <w:spacing w:afterLines="50"/>
              <w:jc w:val="both"/>
              <w:rPr>
                <w:i/>
                <w:sz w:val="20"/>
                <w:szCs w:val="20"/>
              </w:rPr>
            </w:pPr>
            <w:r>
              <w:rPr>
                <w:i/>
                <w:sz w:val="20"/>
                <w:szCs w:val="20"/>
              </w:rPr>
              <w:t>Collocated</w:t>
            </w:r>
            <w:r>
              <w:rPr>
                <w:rStyle w:val="40"/>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73304F85">
            <w:pPr>
              <w:widowControl w:val="0"/>
              <w:numPr>
                <w:ilvl w:val="0"/>
                <w:numId w:val="104"/>
              </w:numPr>
              <w:autoSpaceDE w:val="0"/>
              <w:autoSpaceDN w:val="0"/>
              <w:spacing w:afterLines="50"/>
              <w:jc w:val="both"/>
              <w:rPr>
                <w:i/>
                <w:sz w:val="20"/>
                <w:szCs w:val="20"/>
              </w:rPr>
            </w:pPr>
            <w:r>
              <w:rPr>
                <w:rStyle w:val="40"/>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748F68C">
            <w:pPr>
              <w:widowControl w:val="0"/>
              <w:autoSpaceDE w:val="0"/>
              <w:autoSpaceDN w:val="0"/>
              <w:spacing w:afterLines="50"/>
              <w:jc w:val="both"/>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52748F4">
            <w:pPr>
              <w:pStyle w:val="63"/>
              <w:widowControl w:val="0"/>
              <w:numPr>
                <w:ilvl w:val="0"/>
                <w:numId w:val="105"/>
              </w:numPr>
              <w:autoSpaceDE w:val="0"/>
              <w:autoSpaceDN w:val="0"/>
              <w:spacing w:afterLines="50"/>
              <w:ind w:left="363" w:hanging="363"/>
              <w:jc w:val="both"/>
              <w:rPr>
                <w:rFonts w:eastAsia="宋体"/>
                <w:i/>
                <w:iCs/>
                <w:sz w:val="20"/>
                <w:szCs w:val="20"/>
              </w:rPr>
            </w:pPr>
            <w:r>
              <w:rPr>
                <w:rFonts w:eastAsia="宋体"/>
                <w:i/>
                <w:iCs/>
                <w:sz w:val="20"/>
                <w:szCs w:val="20"/>
              </w:rPr>
              <w:t>Carrier selection mechanisms in IDLE/INACTIVE states.</w:t>
            </w:r>
          </w:p>
          <w:p w14:paraId="0F26884B">
            <w:pPr>
              <w:pStyle w:val="63"/>
              <w:widowControl w:val="0"/>
              <w:numPr>
                <w:ilvl w:val="0"/>
                <w:numId w:val="105"/>
              </w:numPr>
              <w:autoSpaceDE w:val="0"/>
              <w:autoSpaceDN w:val="0"/>
              <w:spacing w:afterLines="50"/>
              <w:ind w:left="363" w:hanging="363"/>
              <w:jc w:val="both"/>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54475BF1">
            <w:pPr>
              <w:pStyle w:val="63"/>
              <w:widowControl w:val="0"/>
              <w:numPr>
                <w:ilvl w:val="0"/>
                <w:numId w:val="105"/>
              </w:numPr>
              <w:autoSpaceDE w:val="0"/>
              <w:autoSpaceDN w:val="0"/>
              <w:spacing w:afterLines="50"/>
              <w:ind w:left="363" w:hanging="363"/>
              <w:jc w:val="both"/>
              <w:rPr>
                <w:rFonts w:eastAsia="宋体"/>
                <w:i/>
                <w:iCs/>
                <w:sz w:val="20"/>
                <w:szCs w:val="20"/>
              </w:rPr>
            </w:pPr>
            <w:r>
              <w:rPr>
                <w:rFonts w:eastAsia="宋体"/>
                <w:i/>
                <w:iCs/>
                <w:sz w:val="20"/>
                <w:szCs w:val="20"/>
              </w:rPr>
              <w:t>Enhanced CA framework with flexible UL/DL pairing.</w:t>
            </w:r>
          </w:p>
          <w:p w14:paraId="509F1D51">
            <w:pPr>
              <w:pStyle w:val="63"/>
              <w:widowControl w:val="0"/>
              <w:numPr>
                <w:ilvl w:val="0"/>
                <w:numId w:val="105"/>
              </w:numPr>
              <w:autoSpaceDE w:val="0"/>
              <w:autoSpaceDN w:val="0"/>
              <w:spacing w:afterLines="50"/>
              <w:ind w:left="363" w:hanging="363"/>
              <w:jc w:val="both"/>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14:paraId="5CD4B34D">
            <w:pPr>
              <w:widowControl w:val="0"/>
              <w:autoSpaceDE w:val="0"/>
              <w:autoSpaceDN w:val="0"/>
              <w:spacing w:afterLines="50"/>
              <w:jc w:val="both"/>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66EF6C29">
            <w:pPr>
              <w:pStyle w:val="63"/>
              <w:widowControl w:val="0"/>
              <w:numPr>
                <w:ilvl w:val="0"/>
                <w:numId w:val="105"/>
              </w:numPr>
              <w:autoSpaceDE w:val="0"/>
              <w:autoSpaceDN w:val="0"/>
              <w:spacing w:afterLines="50"/>
              <w:ind w:left="363" w:hanging="363"/>
              <w:jc w:val="both"/>
              <w:rPr>
                <w:i/>
                <w:iCs/>
                <w:sz w:val="20"/>
                <w:szCs w:val="20"/>
              </w:rPr>
            </w:pPr>
            <w:r>
              <w:rPr>
                <w:i/>
                <w:iCs/>
                <w:sz w:val="20"/>
                <w:szCs w:val="20"/>
              </w:rPr>
              <w:t>Multi-TAGs</w:t>
            </w:r>
          </w:p>
          <w:p w14:paraId="0A153CE9">
            <w:pPr>
              <w:pStyle w:val="63"/>
              <w:widowControl w:val="0"/>
              <w:numPr>
                <w:ilvl w:val="0"/>
                <w:numId w:val="105"/>
              </w:numPr>
              <w:autoSpaceDE w:val="0"/>
              <w:autoSpaceDN w:val="0"/>
              <w:spacing w:afterLines="50"/>
              <w:ind w:left="363" w:hanging="363"/>
              <w:jc w:val="both"/>
              <w:rPr>
                <w:i/>
                <w:iCs/>
                <w:sz w:val="20"/>
                <w:szCs w:val="20"/>
              </w:rPr>
            </w:pPr>
            <w:r>
              <w:rPr>
                <w:i/>
                <w:iCs/>
                <w:sz w:val="20"/>
                <w:szCs w:val="20"/>
              </w:rPr>
              <w:t>Multiple PUCCH groups</w:t>
            </w:r>
          </w:p>
          <w:p w14:paraId="6BCE6C37">
            <w:pPr>
              <w:pStyle w:val="63"/>
              <w:widowControl w:val="0"/>
              <w:numPr>
                <w:ilvl w:val="0"/>
                <w:numId w:val="105"/>
              </w:numPr>
              <w:autoSpaceDE w:val="0"/>
              <w:autoSpaceDN w:val="0"/>
              <w:spacing w:afterLines="50"/>
              <w:ind w:left="363" w:hanging="363"/>
              <w:jc w:val="both"/>
              <w:rPr>
                <w:i/>
                <w:iCs/>
                <w:sz w:val="20"/>
                <w:szCs w:val="20"/>
              </w:rPr>
            </w:pPr>
            <w:r>
              <w:rPr>
                <w:i/>
                <w:iCs/>
                <w:sz w:val="20"/>
                <w:szCs w:val="20"/>
              </w:rPr>
              <w:t>Tx switching</w:t>
            </w:r>
          </w:p>
          <w:p w14:paraId="691A754F">
            <w:pPr>
              <w:pStyle w:val="63"/>
              <w:widowControl w:val="0"/>
              <w:numPr>
                <w:ilvl w:val="0"/>
                <w:numId w:val="105"/>
              </w:numPr>
              <w:autoSpaceDE w:val="0"/>
              <w:autoSpaceDN w:val="0"/>
              <w:spacing w:afterLines="50"/>
              <w:ind w:left="363" w:hanging="363"/>
              <w:jc w:val="both"/>
              <w:rPr>
                <w:i/>
                <w:iCs/>
                <w:sz w:val="20"/>
                <w:szCs w:val="20"/>
              </w:rPr>
            </w:pPr>
            <w:r>
              <w:rPr>
                <w:i/>
                <w:iCs/>
                <w:sz w:val="20"/>
                <w:szCs w:val="20"/>
              </w:rPr>
              <w:t>Parallel PUCCH and PUSCH transmission, FFS intra-CC, intra-band or inter-band</w:t>
            </w:r>
          </w:p>
          <w:p w14:paraId="3713574E">
            <w:pPr>
              <w:pStyle w:val="63"/>
              <w:widowControl w:val="0"/>
              <w:numPr>
                <w:ilvl w:val="0"/>
                <w:numId w:val="105"/>
              </w:numPr>
              <w:autoSpaceDE w:val="0"/>
              <w:autoSpaceDN w:val="0"/>
              <w:spacing w:afterLines="50"/>
              <w:ind w:left="363" w:hanging="363"/>
              <w:jc w:val="both"/>
              <w:rPr>
                <w:i/>
                <w:iCs/>
                <w:sz w:val="20"/>
                <w:szCs w:val="20"/>
              </w:rPr>
            </w:pPr>
            <w:r>
              <w:rPr>
                <w:i/>
                <w:iCs/>
                <w:sz w:val="20"/>
                <w:szCs w:val="20"/>
              </w:rPr>
              <w:t>Fast Scell activation</w:t>
            </w:r>
          </w:p>
          <w:p w14:paraId="7C090B9F">
            <w:pPr>
              <w:pStyle w:val="63"/>
              <w:widowControl w:val="0"/>
              <w:numPr>
                <w:ilvl w:val="0"/>
                <w:numId w:val="105"/>
              </w:numPr>
              <w:autoSpaceDE w:val="0"/>
              <w:autoSpaceDN w:val="0"/>
              <w:spacing w:afterLines="50"/>
              <w:ind w:left="363" w:hanging="363"/>
              <w:jc w:val="both"/>
              <w:rPr>
                <w:i/>
                <w:iCs/>
                <w:sz w:val="20"/>
                <w:szCs w:val="20"/>
              </w:rPr>
            </w:pPr>
            <w:r>
              <w:rPr>
                <w:i/>
                <w:iCs/>
                <w:sz w:val="20"/>
                <w:szCs w:val="20"/>
              </w:rPr>
              <w:t>Cross carrier scheduling for same or different numerologies</w:t>
            </w:r>
          </w:p>
          <w:p w14:paraId="020FCD20">
            <w:pPr>
              <w:pStyle w:val="63"/>
              <w:widowControl w:val="0"/>
              <w:numPr>
                <w:ilvl w:val="0"/>
                <w:numId w:val="105"/>
              </w:numPr>
              <w:autoSpaceDE w:val="0"/>
              <w:autoSpaceDN w:val="0"/>
              <w:spacing w:afterLines="50"/>
              <w:ind w:left="363" w:hanging="363"/>
              <w:jc w:val="both"/>
              <w:rPr>
                <w:i/>
                <w:iCs/>
                <w:sz w:val="20"/>
                <w:szCs w:val="20"/>
              </w:rPr>
            </w:pPr>
            <w:r>
              <w:rPr>
                <w:i/>
                <w:iCs/>
                <w:sz w:val="20"/>
                <w:szCs w:val="20"/>
              </w:rPr>
              <w:t>CA with non-aligned frame boundaries</w:t>
            </w:r>
          </w:p>
          <w:p w14:paraId="333CE991">
            <w:pPr>
              <w:pStyle w:val="63"/>
              <w:widowControl w:val="0"/>
              <w:numPr>
                <w:ilvl w:val="0"/>
                <w:numId w:val="105"/>
              </w:numPr>
              <w:autoSpaceDE w:val="0"/>
              <w:autoSpaceDN w:val="0"/>
              <w:spacing w:afterLines="50"/>
              <w:ind w:left="363" w:hanging="363"/>
              <w:jc w:val="both"/>
              <w:rPr>
                <w:i/>
                <w:iCs/>
                <w:sz w:val="20"/>
                <w:szCs w:val="20"/>
              </w:rPr>
            </w:pPr>
            <w:r>
              <w:rPr>
                <w:i/>
                <w:iCs/>
                <w:sz w:val="20"/>
                <w:szCs w:val="20"/>
              </w:rPr>
              <w:t>Multi-cell PDSCH/PUSCH scheduling by single DCI</w:t>
            </w:r>
          </w:p>
          <w:p w14:paraId="7A82E4D5">
            <w:pPr>
              <w:pStyle w:val="63"/>
              <w:widowControl w:val="0"/>
              <w:numPr>
                <w:ilvl w:val="0"/>
                <w:numId w:val="105"/>
              </w:numPr>
              <w:autoSpaceDE w:val="0"/>
              <w:autoSpaceDN w:val="0"/>
              <w:spacing w:afterLines="50"/>
              <w:ind w:left="363" w:hanging="363"/>
              <w:jc w:val="both"/>
              <w:rPr>
                <w:i/>
                <w:iCs/>
                <w:sz w:val="20"/>
                <w:szCs w:val="20"/>
              </w:rPr>
            </w:pPr>
            <w:r>
              <w:rPr>
                <w:i/>
                <w:iCs/>
                <w:sz w:val="20"/>
                <w:szCs w:val="20"/>
              </w:rPr>
              <w:t>CA with carrier switching</w:t>
            </w:r>
          </w:p>
        </w:tc>
      </w:tr>
    </w:tbl>
    <w:p w14:paraId="575357D8">
      <w:pPr>
        <w:spacing w:before="120"/>
        <w:rPr>
          <w:rFonts w:eastAsia="等线"/>
        </w:rPr>
      </w:pPr>
    </w:p>
    <w:p w14:paraId="335DECB6">
      <w:pPr>
        <w:pStyle w:val="3"/>
        <w:spacing w:after="120"/>
        <w:rPr>
          <w:rFonts w:eastAsia="等线"/>
        </w:rPr>
      </w:pPr>
      <w:r>
        <w:rPr>
          <w:rFonts w:hint="eastAsia" w:eastAsia="等线"/>
        </w:rPr>
        <w:t>Discussion</w:t>
      </w:r>
    </w:p>
    <w:p w14:paraId="0545B9B7">
      <w:pPr>
        <w:overflowPunct w:val="0"/>
        <w:autoSpaceDE w:val="0"/>
        <w:autoSpaceDN w:val="0"/>
        <w:spacing w:afterLines="50"/>
        <w:jc w:val="both"/>
        <w:textAlignment w:val="baseline"/>
        <w:rPr>
          <w:rFonts w:ascii="Times" w:hAnsi="Times" w:eastAsia="等线" w:cs="Times"/>
          <w:bCs/>
          <w:iCs/>
        </w:rPr>
      </w:pPr>
      <w:r>
        <w:rPr>
          <w:rFonts w:ascii="Times" w:hAnsi="Times" w:eastAsia="等线" w:cs="Times"/>
          <w:bCs/>
          <w:iCs/>
        </w:rPr>
        <w:t>M</w:t>
      </w:r>
      <w:r>
        <w:rPr>
          <w:rFonts w:hint="eastAsia" w:ascii="Times" w:hAnsi="Times" w:eastAsia="等线" w:cs="Times"/>
          <w:bCs/>
          <w:iCs/>
        </w:rPr>
        <w:t xml:space="preserve">any </w:t>
      </w:r>
      <w:r>
        <w:rPr>
          <w:rFonts w:ascii="Times" w:hAnsi="Times" w:eastAsia="等线" w:cs="Times"/>
          <w:bCs/>
          <w:iCs/>
        </w:rPr>
        <w:t>companies</w:t>
      </w:r>
      <w:r>
        <w:rPr>
          <w:rFonts w:hint="eastAsia" w:ascii="Times" w:hAnsi="Times" w:eastAsia="等线" w:cs="Times"/>
          <w:bCs/>
          <w:iCs/>
        </w:rPr>
        <w:t xml:space="preserve"> discussed the potential improved of spectrum aggregation of </w:t>
      </w:r>
      <w:r>
        <w:rPr>
          <w:rFonts w:ascii="Times" w:hAnsi="Times" w:eastAsia="等线" w:cs="Times"/>
          <w:bCs/>
          <w:iCs/>
        </w:rPr>
        <w:t>fragmented spectrums</w:t>
      </w:r>
      <w:r>
        <w:rPr>
          <w:rFonts w:hint="eastAsia" w:ascii="Times" w:hAnsi="Times" w:eastAsia="等线" w:cs="Times"/>
          <w:bCs/>
          <w:iCs/>
        </w:rPr>
        <w:t xml:space="preserve"> compared to NR CA including </w:t>
      </w:r>
      <w:r>
        <w:rPr>
          <w:rFonts w:cs="Times"/>
          <w:bCs/>
          <w:iCs/>
          <w:szCs w:val="20"/>
        </w:rPr>
        <w:t>Samsung, MediaTek, CMCC, China Telecom, NTT DOCOMO, Xiaomi,</w:t>
      </w:r>
      <w:r>
        <w:rPr>
          <w:rFonts w:hint="eastAsia" w:cs="Times" w:eastAsiaTheme="minor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hint="eastAsia" w:cs="Times" w:eastAsiaTheme="minorEastAsia"/>
          <w:bCs/>
          <w:iCs/>
          <w:szCs w:val="20"/>
        </w:rPr>
        <w:t xml:space="preserve">, </w:t>
      </w:r>
      <w:r>
        <w:rPr>
          <w:rFonts w:cs="Times"/>
          <w:bCs/>
          <w:iCs/>
          <w:szCs w:val="20"/>
        </w:rPr>
        <w:t>HW,</w:t>
      </w:r>
      <w:r>
        <w:rPr>
          <w:rFonts w:hint="eastAsia" w:cs="Times" w:eastAsiaTheme="minorEastAsia"/>
          <w:bCs/>
          <w:iCs/>
          <w:szCs w:val="20"/>
        </w:rPr>
        <w:t xml:space="preserve"> </w:t>
      </w:r>
      <w:r>
        <w:rPr>
          <w:rFonts w:cs="Times"/>
          <w:bCs/>
          <w:iCs/>
          <w:szCs w:val="20"/>
        </w:rPr>
        <w:t>Ericsson</w:t>
      </w:r>
      <w:r>
        <w:rPr>
          <w:rFonts w:hint="eastAsia" w:cs="Times" w:eastAsiaTheme="minorEastAsia"/>
          <w:bCs/>
          <w:iCs/>
          <w:szCs w:val="20"/>
        </w:rPr>
        <w:t xml:space="preserve">, </w:t>
      </w:r>
      <w:r>
        <w:rPr>
          <w:rFonts w:cs="Times"/>
          <w:bCs/>
          <w:iCs/>
          <w:szCs w:val="20"/>
        </w:rPr>
        <w:t>Qualcomm</w:t>
      </w:r>
      <w:r>
        <w:rPr>
          <w:rFonts w:hint="eastAsia" w:cs="Times" w:eastAsiaTheme="minorEastAsia"/>
          <w:bCs/>
          <w:iCs/>
          <w:szCs w:val="20"/>
        </w:rPr>
        <w:t xml:space="preserve"> and</w:t>
      </w:r>
      <w:r>
        <w:rPr>
          <w:rFonts w:cs="Times"/>
          <w:bCs/>
          <w:iCs/>
          <w:szCs w:val="20"/>
        </w:rPr>
        <w:t xml:space="preserve"> Nok</w:t>
      </w:r>
      <w:r>
        <w:rPr>
          <w:rFonts w:hint="eastAsia" w:cs="Times" w:eastAsiaTheme="minorEastAsia"/>
          <w:bCs/>
          <w:iCs/>
          <w:szCs w:val="20"/>
        </w:rPr>
        <w:t xml:space="preserve">ia. There </w:t>
      </w:r>
      <w:r>
        <w:rPr>
          <w:rFonts w:cs="Times" w:eastAsiaTheme="minorEastAsia"/>
          <w:bCs/>
          <w:iCs/>
          <w:szCs w:val="20"/>
        </w:rPr>
        <w:t>was</w:t>
      </w:r>
      <w:r>
        <w:rPr>
          <w:rFonts w:hint="eastAsia" w:cs="Times" w:eastAsiaTheme="minorEastAsia"/>
          <w:bCs/>
          <w:iCs/>
          <w:szCs w:val="20"/>
        </w:rPr>
        <w:t xml:space="preserve"> different </w:t>
      </w:r>
      <w:r>
        <w:rPr>
          <w:rFonts w:cs="Times" w:eastAsiaTheme="minorEastAsia"/>
          <w:bCs/>
          <w:iCs/>
          <w:szCs w:val="20"/>
        </w:rPr>
        <w:t>naming</w:t>
      </w:r>
      <w:r>
        <w:rPr>
          <w:rFonts w:hint="eastAsia" w:cs="Times" w:eastAsiaTheme="minorEastAsia"/>
          <w:bCs/>
          <w:iCs/>
          <w:szCs w:val="20"/>
        </w:rPr>
        <w:t xml:space="preserve"> related to the </w:t>
      </w:r>
      <w:r>
        <w:rPr>
          <w:rFonts w:cs="Times" w:eastAsiaTheme="minorEastAsia"/>
          <w:bCs/>
          <w:iCs/>
          <w:szCs w:val="20"/>
        </w:rPr>
        <w:t>operation</w:t>
      </w:r>
      <w:r>
        <w:rPr>
          <w:rFonts w:hint="eastAsia" w:cs="Times" w:eastAsiaTheme="minorEastAsia"/>
          <w:bCs/>
          <w:iCs/>
          <w:szCs w:val="20"/>
        </w:rPr>
        <w:t xml:space="preserve">, e.g., </w:t>
      </w:r>
      <w:r>
        <w:rPr>
          <w:rFonts w:ascii="Times" w:hAnsi="Times" w:eastAsia="等线" w:cs="Times"/>
          <w:bCs/>
          <w:iCs/>
        </w:rPr>
        <w:t>virtual cell</w:t>
      </w:r>
      <w:r>
        <w:rPr>
          <w:rFonts w:hint="eastAsia" w:ascii="Times" w:hAnsi="Times" w:eastAsia="等线" w:cs="Times"/>
          <w:bCs/>
          <w:iCs/>
        </w:rPr>
        <w:t>,</w:t>
      </w:r>
      <w:r>
        <w:rPr>
          <w:rFonts w:ascii="Times" w:hAnsi="Times" w:eastAsia="等线" w:cs="Times"/>
          <w:bCs/>
          <w:iCs/>
        </w:rPr>
        <w:t xml:space="preserve"> N-carrier Single Cell (NCSC)</w:t>
      </w:r>
      <w:r>
        <w:rPr>
          <w:rFonts w:hint="eastAsia" w:ascii="Times" w:hAnsi="Times" w:eastAsia="等线" w:cs="Times"/>
          <w:bCs/>
          <w:iCs/>
        </w:rPr>
        <w:t xml:space="preserve">, </w:t>
      </w:r>
      <w:r>
        <w:rPr>
          <w:rFonts w:ascii="Times" w:hAnsi="Times" w:eastAsia="等线" w:cs="Times"/>
          <w:bCs/>
          <w:iCs/>
        </w:rPr>
        <w:t>virtual carrier</w:t>
      </w:r>
      <w:r>
        <w:rPr>
          <w:rFonts w:hint="eastAsia" w:ascii="Times" w:hAnsi="Times" w:eastAsia="等线" w:cs="Times"/>
          <w:bCs/>
          <w:iCs/>
        </w:rPr>
        <w:t xml:space="preserve">, </w:t>
      </w:r>
      <w:r>
        <w:rPr>
          <w:rFonts w:ascii="Times" w:hAnsi="Times" w:eastAsia="等线" w:cs="Times"/>
          <w:bCs/>
          <w:iCs/>
        </w:rPr>
        <w:t>Hyper cell</w:t>
      </w:r>
      <w:r>
        <w:rPr>
          <w:rFonts w:hint="eastAsia" w:ascii="Times" w:hAnsi="Times" w:eastAsia="等线" w:cs="Times"/>
          <w:bCs/>
          <w:iCs/>
        </w:rPr>
        <w:t>. The motivations mentioned by companies include the following</w:t>
      </w:r>
    </w:p>
    <w:p w14:paraId="279538B7">
      <w:pPr>
        <w:numPr>
          <w:ilvl w:val="0"/>
          <w:numId w:val="106"/>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22AD9747">
      <w:pPr>
        <w:numPr>
          <w:ilvl w:val="0"/>
          <w:numId w:val="106"/>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78914D9D">
      <w:pPr>
        <w:numPr>
          <w:ilvl w:val="0"/>
          <w:numId w:val="106"/>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95B8388">
      <w:pPr>
        <w:numPr>
          <w:ilvl w:val="0"/>
          <w:numId w:val="106"/>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6D1F037">
      <w:pPr>
        <w:numPr>
          <w:ilvl w:val="0"/>
          <w:numId w:val="106"/>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EF958E6">
      <w:pPr>
        <w:numPr>
          <w:ilvl w:val="0"/>
          <w:numId w:val="106"/>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3ED4777A">
      <w:pPr>
        <w:numPr>
          <w:ilvl w:val="0"/>
          <w:numId w:val="106"/>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77F849F9">
      <w:pPr>
        <w:numPr>
          <w:ilvl w:val="0"/>
          <w:numId w:val="106"/>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0B3AE0AD">
      <w:pPr>
        <w:numPr>
          <w:ilvl w:val="0"/>
          <w:numId w:val="106"/>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6CCA1334">
      <w:pPr>
        <w:numPr>
          <w:ilvl w:val="0"/>
          <w:numId w:val="106"/>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hint="eastAsia" w:eastAsia="等线" w:cs="Times"/>
          <w:i/>
          <w:kern w:val="2"/>
          <w:szCs w:val="20"/>
        </w:rPr>
        <w:t xml:space="preserve"> </w:t>
      </w:r>
      <w:r>
        <w:rPr>
          <w:rFonts w:eastAsia="等线" w:cs="Times"/>
          <w:i/>
          <w:kern w:val="2"/>
          <w:szCs w:val="20"/>
        </w:rPr>
        <w:t>(vivo)</w:t>
      </w:r>
    </w:p>
    <w:p w14:paraId="589A1301">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 xml:space="preserve">s to first clarify the intended supported functionalities and how to support to the operation can be discussed as a second step. </w:t>
      </w:r>
    </w:p>
    <w:p w14:paraId="60AC319F">
      <w:pPr>
        <w:overflowPunct w:val="0"/>
        <w:autoSpaceDE w:val="0"/>
        <w:autoSpaceDN w:val="0"/>
        <w:spacing w:afterLines="50"/>
        <w:jc w:val="both"/>
        <w:textAlignment w:val="baseline"/>
        <w:rPr>
          <w:rFonts w:ascii="Times" w:hAnsi="Times" w:eastAsia="等线" w:cs="Times"/>
          <w:bCs/>
          <w:iCs/>
        </w:rPr>
      </w:pPr>
      <w:r>
        <w:rPr>
          <w:rFonts w:hint="eastAsia" w:ascii="Times" w:hAnsi="Times" w:eastAsia="等线" w:cs="Times"/>
          <w:bCs/>
          <w:iCs/>
        </w:rPr>
        <w:t xml:space="preserve">Many companies proposed to </w:t>
      </w:r>
      <w:r>
        <w:rPr>
          <w:rFonts w:ascii="Times" w:hAnsi="Times" w:eastAsia="等线" w:cs="Times"/>
          <w:bCs/>
          <w:iCs/>
        </w:rPr>
        <w:t>study</w:t>
      </w:r>
      <w:r>
        <w:rPr>
          <w:rFonts w:hint="eastAsia" w:ascii="Times" w:hAnsi="Times" w:eastAsia="等线" w:cs="Times"/>
          <w:bCs/>
          <w:iCs/>
        </w:rPr>
        <w:t xml:space="preserve"> u</w:t>
      </w:r>
      <w:r>
        <w:rPr>
          <w:rFonts w:ascii="Times" w:hAnsi="Times" w:eastAsia="等线" w:cs="Times"/>
          <w:bCs/>
          <w:iCs/>
        </w:rPr>
        <w:t>plink-downlink decoupling (flexible UL and DL pairing)</w:t>
      </w:r>
      <w:r>
        <w:rPr>
          <w:rFonts w:hint="eastAsia" w:ascii="Times" w:hAnsi="Times" w:eastAsia="等线" w:cs="Times"/>
          <w:bCs/>
          <w:iCs/>
        </w:rPr>
        <w:t xml:space="preserve">, including </w:t>
      </w:r>
      <w:r>
        <w:rPr>
          <w:rFonts w:ascii="Times" w:hAnsi="Times" w:eastAsia="等线" w:cs="Times"/>
          <w:bCs/>
          <w:iCs/>
        </w:rPr>
        <w:t>Ericsson, Nokia, MediaTek, CMCC, China Telecom, NTT DOMOCO, Xiaomi, CATT, Spreadtrum, FUTUREWEI, ZTE, LG, KDDI,</w:t>
      </w:r>
      <w:r>
        <w:rPr>
          <w:rFonts w:hint="eastAsia" w:ascii="Times" w:hAnsi="Times" w:eastAsia="等线" w:cs="Times"/>
          <w:bCs/>
          <w:iCs/>
        </w:rPr>
        <w:t xml:space="preserve"> </w:t>
      </w:r>
      <w:r>
        <w:rPr>
          <w:rFonts w:ascii="Times" w:hAnsi="Times" w:eastAsia="等线" w:cs="Times"/>
          <w:bCs/>
          <w:iCs/>
        </w:rPr>
        <w:t>TCL, Lenovo, Pengcheng, ETRI, Sharp, HW</w:t>
      </w:r>
      <w:r>
        <w:rPr>
          <w:rFonts w:hint="eastAsia" w:ascii="Times" w:hAnsi="Times" w:eastAsia="等线" w:cs="Times"/>
          <w:bCs/>
          <w:iCs/>
        </w:rPr>
        <w:t xml:space="preserve">, </w:t>
      </w:r>
      <w:r>
        <w:rPr>
          <w:rFonts w:ascii="Times" w:hAnsi="Times" w:eastAsia="等线" w:cs="Times"/>
          <w:bCs/>
          <w:iCs/>
        </w:rPr>
        <w:t>Qualcomm</w:t>
      </w:r>
      <w:r>
        <w:rPr>
          <w:rFonts w:hint="eastAsia" w:ascii="Times" w:hAnsi="Times" w:eastAsia="等线" w:cs="Times"/>
          <w:bCs/>
          <w:iCs/>
        </w:rPr>
        <w:t xml:space="preserve">. The motivations mentioned by </w:t>
      </w:r>
      <w:r>
        <w:rPr>
          <w:rFonts w:ascii="Times" w:hAnsi="Times" w:eastAsia="等线" w:cs="Times"/>
          <w:bCs/>
          <w:iCs/>
        </w:rPr>
        <w:t>companies</w:t>
      </w:r>
      <w:r>
        <w:rPr>
          <w:rFonts w:hint="eastAsia" w:ascii="Times" w:hAnsi="Times" w:eastAsia="等线" w:cs="Times"/>
          <w:bCs/>
          <w:iCs/>
        </w:rPr>
        <w:t xml:space="preserve"> includes</w:t>
      </w:r>
    </w:p>
    <w:p w14:paraId="4027CC4D">
      <w:pPr>
        <w:numPr>
          <w:ilvl w:val="0"/>
          <w:numId w:val="106"/>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51D56BF4">
      <w:pPr>
        <w:numPr>
          <w:ilvl w:val="0"/>
          <w:numId w:val="106"/>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039B6282">
      <w:pPr>
        <w:numPr>
          <w:ilvl w:val="0"/>
          <w:numId w:val="106"/>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7B1EDA28">
      <w:pPr>
        <w:numPr>
          <w:ilvl w:val="0"/>
          <w:numId w:val="106"/>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69A434ED">
      <w:pPr>
        <w:numPr>
          <w:ilvl w:val="0"/>
          <w:numId w:val="106"/>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hint="eastAsia" w:eastAsia="等线" w:cs="Times"/>
          <w:bCs/>
          <w:i/>
          <w:szCs w:val="20"/>
        </w:rPr>
        <w:t xml:space="preserve"> </w:t>
      </w:r>
      <w:r>
        <w:rPr>
          <w:rFonts w:eastAsia="等线" w:cs="Times"/>
          <w:bCs/>
          <w:i/>
          <w:szCs w:val="20"/>
        </w:rPr>
        <w:t>(MediaTek)</w:t>
      </w:r>
    </w:p>
    <w:p w14:paraId="5B8F66CD">
      <w:pPr>
        <w:numPr>
          <w:ilvl w:val="0"/>
          <w:numId w:val="106"/>
        </w:numPr>
        <w:autoSpaceDE w:val="0"/>
        <w:autoSpaceDN w:val="0"/>
        <w:spacing w:after="50"/>
        <w:jc w:val="both"/>
        <w:rPr>
          <w:rFonts w:eastAsia="等线" w:cs="Times"/>
          <w:bCs/>
          <w:i/>
          <w:szCs w:val="20"/>
        </w:rPr>
      </w:pPr>
      <w:r>
        <w:rPr>
          <w:rFonts w:eastAsia="等线" w:cs="Times"/>
          <w:bCs/>
          <w:i/>
          <w:szCs w:val="20"/>
        </w:rPr>
        <w:t>Motivation 6:</w:t>
      </w:r>
      <w:r>
        <w:rPr>
          <w:rFonts w:hint="eastAsia" w:eastAsia="等线" w:cs="Times"/>
          <w:bCs/>
          <w:i/>
          <w:szCs w:val="20"/>
        </w:rPr>
        <w:t xml:space="preserve"> provide improvement for </w:t>
      </w:r>
      <w:r>
        <w:rPr>
          <w:rFonts w:eastAsia="等线" w:cs="Times"/>
          <w:bCs/>
          <w:i/>
          <w:szCs w:val="20"/>
        </w:rPr>
        <w:t>“</w:t>
      </w:r>
      <w:r>
        <w:rPr>
          <w:rFonts w:hint="eastAsia" w:eastAsia="等线" w:cs="Times"/>
          <w:bCs/>
          <w:i/>
          <w:szCs w:val="20"/>
        </w:rPr>
        <w:t>Inefficiency from coupling DL and UL carriers for a cell.</w:t>
      </w:r>
      <w:r>
        <w:rPr>
          <w:rFonts w:eastAsia="等线" w:cs="Times"/>
          <w:bCs/>
          <w:i/>
          <w:szCs w:val="20"/>
        </w:rPr>
        <w:t>(CMCC)</w:t>
      </w:r>
    </w:p>
    <w:p w14:paraId="2767A63C">
      <w:pPr>
        <w:numPr>
          <w:ilvl w:val="0"/>
          <w:numId w:val="106"/>
        </w:numPr>
        <w:autoSpaceDE w:val="0"/>
        <w:autoSpaceDN w:val="0"/>
        <w:spacing w:after="50"/>
        <w:jc w:val="both"/>
        <w:rPr>
          <w:rFonts w:eastAsia="等线" w:cs="Times"/>
          <w:bCs/>
          <w:i/>
          <w:szCs w:val="20"/>
        </w:rPr>
      </w:pPr>
      <w:r>
        <w:rPr>
          <w:rFonts w:eastAsia="等线" w:cs="Times"/>
          <w:bCs/>
          <w:i/>
          <w:szCs w:val="20"/>
        </w:rPr>
        <w:t>Motivation 7:</w:t>
      </w:r>
      <w:r>
        <w:rPr>
          <w:rFonts w:hint="eastAsia" w:eastAsia="等线" w:cs="Times"/>
          <w:bCs/>
          <w:i/>
          <w:szCs w:val="20"/>
        </w:rPr>
        <w:t xml:space="preserve"> </w:t>
      </w:r>
      <w:r>
        <w:rPr>
          <w:rFonts w:eastAsia="等线" w:cs="Times"/>
          <w:bCs/>
          <w:i/>
          <w:szCs w:val="20"/>
        </w:rPr>
        <w:t>Adapt to unbalanced UL DL traffic load</w:t>
      </w:r>
      <w:r>
        <w:rPr>
          <w:rFonts w:hint="eastAsia" w:eastAsia="等线" w:cs="Times"/>
          <w:bCs/>
          <w:i/>
          <w:szCs w:val="20"/>
        </w:rPr>
        <w:t>.</w:t>
      </w:r>
      <w:r>
        <w:rPr>
          <w:rFonts w:eastAsia="等线" w:cs="Times"/>
          <w:bCs/>
          <w:i/>
          <w:szCs w:val="20"/>
        </w:rPr>
        <w:t xml:space="preserve"> (China Telecom)</w:t>
      </w:r>
    </w:p>
    <w:p w14:paraId="4E610484">
      <w:pPr>
        <w:numPr>
          <w:ilvl w:val="0"/>
          <w:numId w:val="106"/>
        </w:numPr>
        <w:autoSpaceDE w:val="0"/>
        <w:autoSpaceDN w:val="0"/>
        <w:spacing w:after="50"/>
        <w:jc w:val="both"/>
        <w:rPr>
          <w:rFonts w:eastAsia="等线" w:cs="Times"/>
          <w:bCs/>
          <w:i/>
          <w:szCs w:val="20"/>
        </w:rPr>
      </w:pPr>
      <w:r>
        <w:rPr>
          <w:rFonts w:eastAsia="等线" w:cs="Times"/>
          <w:bCs/>
          <w:i/>
          <w:szCs w:val="20"/>
        </w:rPr>
        <w:t>Motivation 8:</w:t>
      </w:r>
      <w:r>
        <w:rPr>
          <w:rFonts w:hint="eastAsia" w:eastAsia="等线" w:cs="Times"/>
          <w:bCs/>
          <w:i/>
          <w:szCs w:val="20"/>
        </w:rPr>
        <w:t xml:space="preserve"> </w:t>
      </w:r>
      <w:r>
        <w:rPr>
          <w:rFonts w:eastAsia="等线" w:cs="Times"/>
          <w:bCs/>
          <w:i/>
          <w:szCs w:val="20"/>
        </w:rPr>
        <w:t>Guarantee both capacity and coverage with less demand on involved number of carriers. (China Telecom)</w:t>
      </w:r>
    </w:p>
    <w:p w14:paraId="7AF7290C">
      <w:pPr>
        <w:numPr>
          <w:ilvl w:val="0"/>
          <w:numId w:val="106"/>
        </w:numPr>
        <w:autoSpaceDE w:val="0"/>
        <w:autoSpaceDN w:val="0"/>
        <w:spacing w:after="50"/>
        <w:jc w:val="both"/>
        <w:rPr>
          <w:rFonts w:eastAsia="等线" w:cs="Times"/>
          <w:bCs/>
          <w:i/>
          <w:szCs w:val="20"/>
        </w:rPr>
      </w:pPr>
      <w:r>
        <w:rPr>
          <w:rFonts w:eastAsia="等线" w:cs="Times"/>
          <w:bCs/>
          <w:i/>
          <w:szCs w:val="20"/>
        </w:rPr>
        <w:t>Motivation 9:</w:t>
      </w:r>
      <w:r>
        <w:rPr>
          <w:rFonts w:hint="eastAsia" w:eastAsia="等线" w:cs="Times"/>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76EE9D2E">
      <w:pPr>
        <w:numPr>
          <w:ilvl w:val="0"/>
          <w:numId w:val="106"/>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3B10D63D">
      <w:pPr>
        <w:numPr>
          <w:ilvl w:val="0"/>
          <w:numId w:val="106"/>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hint="eastAsia" w:eastAsia="等线" w:cs="Times"/>
          <w:bCs/>
          <w:i/>
          <w:szCs w:val="20"/>
        </w:rPr>
        <w:t>.</w:t>
      </w:r>
      <w:r>
        <w:rPr>
          <w:rFonts w:eastAsia="等线" w:cs="Times"/>
          <w:bCs/>
          <w:i/>
          <w:szCs w:val="20"/>
        </w:rPr>
        <w:t xml:space="preserve"> (NTT DOCOMO)</w:t>
      </w:r>
    </w:p>
    <w:p w14:paraId="0FF7A4A0">
      <w:pPr>
        <w:numPr>
          <w:ilvl w:val="0"/>
          <w:numId w:val="106"/>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hint="eastAsia" w:eastAsia="等线" w:cs="Times"/>
          <w:bCs/>
          <w:i/>
          <w:szCs w:val="20"/>
        </w:rPr>
        <w:t xml:space="preserve"> </w:t>
      </w:r>
      <w:r>
        <w:rPr>
          <w:rFonts w:eastAsia="等线" w:cs="Times"/>
          <w:bCs/>
          <w:i/>
          <w:szCs w:val="20"/>
        </w:rPr>
        <w:t>(Xiaomi)</w:t>
      </w:r>
    </w:p>
    <w:p w14:paraId="64146CE0">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s to first clarify the intended supported functionalities and how to support to the operation can be discussed as a second step.</w:t>
      </w:r>
    </w:p>
    <w:p w14:paraId="3E33A4CE">
      <w:pPr>
        <w:spacing w:after="50"/>
        <w:rPr>
          <w:rFonts w:ascii="Times" w:hAnsi="Times" w:eastAsia="等线" w:cs="Times"/>
          <w:bCs/>
          <w:iCs/>
        </w:rPr>
      </w:pPr>
    </w:p>
    <w:p w14:paraId="5525F524">
      <w:pPr>
        <w:spacing w:after="50"/>
        <w:jc w:val="both"/>
        <w:rPr>
          <w:rFonts w:ascii="Times" w:hAnsi="Times" w:eastAsia="等线" w:cs="Times"/>
          <w:bCs/>
          <w:iCs/>
        </w:rPr>
      </w:pPr>
      <w:r>
        <w:rPr>
          <w:rFonts w:hint="eastAsia" w:ascii="Times" w:hAnsi="Times" w:eastAsia="等线" w:cs="Times"/>
          <w:bCs/>
          <w:iCs/>
        </w:rPr>
        <w:t xml:space="preserve">Enhanced </w:t>
      </w:r>
      <w:r>
        <w:rPr>
          <w:rFonts w:ascii="Times" w:hAnsi="Times" w:eastAsia="等线" w:cs="Times"/>
          <w:bCs/>
          <w:iCs/>
        </w:rPr>
        <w:t>Tx switching</w:t>
      </w:r>
      <w:r>
        <w:rPr>
          <w:rFonts w:hint="eastAsia" w:ascii="Times" w:hAnsi="Times" w:eastAsia="等线" w:cs="Times"/>
          <w:bCs/>
          <w:iCs/>
        </w:rPr>
        <w:t xml:space="preserve"> and further enhancements for </w:t>
      </w:r>
      <w:r>
        <w:rPr>
          <w:rFonts w:ascii="Times" w:hAnsi="Times" w:eastAsia="等线" w:cs="Times"/>
          <w:bCs/>
          <w:iCs/>
        </w:rPr>
        <w:t>normal</w:t>
      </w:r>
      <w:r>
        <w:rPr>
          <w:rFonts w:hint="eastAsia" w:ascii="Times" w:hAnsi="Times" w:eastAsia="等线" w:cs="Times"/>
          <w:bCs/>
          <w:iCs/>
        </w:rPr>
        <w:t xml:space="preserve"> CA, .e.g., fast scell activation/deactivation are also discussed by many companies. </w:t>
      </w:r>
    </w:p>
    <w:p w14:paraId="2DF82474">
      <w:pPr>
        <w:rPr>
          <w:rFonts w:eastAsia="等线"/>
        </w:rPr>
      </w:pPr>
    </w:p>
    <w:p w14:paraId="354EC388">
      <w:pPr>
        <w:pStyle w:val="4"/>
        <w:spacing w:after="120"/>
        <w:rPr>
          <w:rFonts w:eastAsia="等线"/>
        </w:rPr>
      </w:pPr>
      <w:r>
        <w:rPr>
          <w:rFonts w:hint="eastAsia" w:eastAsia="等线"/>
        </w:rPr>
        <w:t>First round discussion</w:t>
      </w:r>
    </w:p>
    <w:p w14:paraId="49AE760E">
      <w:pPr>
        <w:jc w:val="both"/>
        <w:rPr>
          <w:rFonts w:eastAsia="等线"/>
          <w:b/>
          <w:bCs/>
        </w:rPr>
      </w:pPr>
      <w:r>
        <w:rPr>
          <w:rFonts w:hint="eastAsia" w:eastAsia="等线"/>
          <w:b/>
          <w:bCs/>
          <w:highlight w:val="yellow"/>
        </w:rPr>
        <w:t>FL proposal 1:</w:t>
      </w:r>
      <w:r>
        <w:rPr>
          <w:rFonts w:hint="eastAsia" w:eastAsia="等线"/>
          <w:b/>
          <w:bCs/>
        </w:rPr>
        <w:t xml:space="preserve"> </w:t>
      </w:r>
    </w:p>
    <w:p w14:paraId="0F4A470F">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where multiple physical carriers are 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p>
    <w:p w14:paraId="061375E0">
      <w:pPr>
        <w:pStyle w:val="63"/>
        <w:numPr>
          <w:ilvl w:val="0"/>
          <w:numId w:val="107"/>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number of PRBs defined for </w:t>
      </w:r>
      <w:r>
        <w:rPr>
          <w:rFonts w:hint="eastAsia" w:ascii="Times" w:hAnsi="Times" w:eastAsia="等线" w:cs="Times"/>
          <w:iCs/>
          <w:szCs w:val="20"/>
        </w:rPr>
        <w:t>one carrier</w:t>
      </w:r>
    </w:p>
    <w:p w14:paraId="48FC92A6">
      <w:pPr>
        <w:pStyle w:val="63"/>
        <w:numPr>
          <w:ilvl w:val="0"/>
          <w:numId w:val="107"/>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properties</w:t>
      </w:r>
      <w:r>
        <w:rPr>
          <w:rFonts w:hint="eastAsia" w:ascii="Times" w:hAnsi="Times" w:eastAsia="等线" w:cs="Times"/>
          <w:iCs/>
          <w:szCs w:val="20"/>
        </w:rPr>
        <w:t xml:space="preserve">, e.g., </w:t>
      </w:r>
      <w:r>
        <w:rPr>
          <w:rFonts w:ascii="Times" w:hAnsi="Times" w:eastAsia="等线" w:cs="Times"/>
          <w:iCs/>
          <w:szCs w:val="20"/>
        </w:rPr>
        <w:t>symbol timing, slot and symbol boundaries, subcarrier spacing, duplexing scheme (incl. UL/DL allocation for TDD carriers), and MIMO scheme</w:t>
      </w:r>
    </w:p>
    <w:p w14:paraId="22444277">
      <w:pPr>
        <w:pStyle w:val="63"/>
        <w:numPr>
          <w:ilvl w:val="0"/>
          <w:numId w:val="107"/>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53FBC2BD">
      <w:pPr>
        <w:pStyle w:val="63"/>
        <w:numPr>
          <w:ilvl w:val="0"/>
          <w:numId w:val="107"/>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C140806">
      <w:pPr>
        <w:pStyle w:val="63"/>
        <w:numPr>
          <w:ilvl w:val="0"/>
          <w:numId w:val="107"/>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709D64F2">
      <w:pPr>
        <w:pStyle w:val="63"/>
        <w:numPr>
          <w:ilvl w:val="0"/>
          <w:numId w:val="108"/>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can be mapped to multiple physical carriers</w:t>
      </w:r>
      <w:r>
        <w:rPr>
          <w:rFonts w:ascii="Times" w:hAnsi="Times" w:eastAsia="等线" w:cs="Times"/>
          <w:iCs/>
          <w:szCs w:val="20"/>
        </w:rPr>
        <w:t xml:space="preserve"> </w:t>
      </w:r>
    </w:p>
    <w:p w14:paraId="3A3B0152">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zCs w:val="20"/>
        </w:rPr>
        <w:t xml:space="preserve">One RRM for all </w:t>
      </w:r>
      <w:r>
        <w:rPr>
          <w:rFonts w:hint="eastAsia" w:ascii="Times" w:hAnsi="Times" w:eastAsia="等线" w:cs="Times"/>
          <w:iCs/>
          <w:szCs w:val="20"/>
        </w:rPr>
        <w:t xml:space="preserve">physical </w:t>
      </w:r>
      <w:r>
        <w:rPr>
          <w:rFonts w:ascii="Times" w:hAnsi="Times" w:eastAsia="等线" w:cs="Times"/>
          <w:iCs/>
          <w:szCs w:val="20"/>
        </w:rPr>
        <w:t>carriers</w:t>
      </w:r>
    </w:p>
    <w:p w14:paraId="74388085">
      <w:pPr>
        <w:pStyle w:val="63"/>
        <w:numPr>
          <w:ilvl w:val="0"/>
          <w:numId w:val="108"/>
        </w:numPr>
        <w:jc w:val="both"/>
        <w:rPr>
          <w:rFonts w:ascii="Times" w:hAnsi="Times" w:eastAsia="等线" w:cs="Times"/>
          <w:iCs/>
          <w:szCs w:val="20"/>
        </w:rPr>
      </w:pPr>
      <w:r>
        <w:rPr>
          <w:rFonts w:ascii="Times" w:hAnsi="Times" w:eastAsia="等线" w:cs="Times"/>
          <w:iCs/>
          <w:szCs w:val="20"/>
        </w:rPr>
        <w:t xml:space="preserve">Common handover for all carriers, </w:t>
      </w:r>
      <w:r>
        <w:rPr>
          <w:rFonts w:hint="eastAsia" w:ascii="Times" w:hAnsi="Times" w:eastAsia="等线" w:cs="Times"/>
          <w:iCs/>
          <w:szCs w:val="20"/>
        </w:rPr>
        <w:t xml:space="preserve">i.e., no </w:t>
      </w:r>
      <w:r>
        <w:rPr>
          <w:rFonts w:ascii="Times" w:hAnsi="Times" w:eastAsia="等线" w:cs="Times"/>
          <w:iCs/>
          <w:szCs w:val="20"/>
        </w:rPr>
        <w:t>need to deactivate and re-activate carriers individually during handover</w:t>
      </w:r>
      <w:r>
        <w:rPr>
          <w:rFonts w:hint="eastAsia" w:ascii="Times" w:hAnsi="Times" w:eastAsia="等线" w:cs="Times"/>
          <w:iCs/>
          <w:szCs w:val="20"/>
        </w:rPr>
        <w:t xml:space="preserve"> </w:t>
      </w:r>
    </w:p>
    <w:p w14:paraId="2E59B2C8">
      <w:pPr>
        <w:pStyle w:val="63"/>
        <w:numPr>
          <w:ilvl w:val="0"/>
          <w:numId w:val="108"/>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“virtual cell” </w:t>
      </w:r>
    </w:p>
    <w:p w14:paraId="05CB4D14">
      <w:pPr>
        <w:widowControl w:val="0"/>
        <w:suppressAutoHyphens/>
        <w:jc w:val="both"/>
        <w:rPr>
          <w:rFonts w:eastAsia="宋体"/>
          <w:b/>
          <w:kern w:val="2"/>
          <w:szCs w:val="22"/>
        </w:rPr>
      </w:pPr>
    </w:p>
    <w:p w14:paraId="63C3756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1F69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C7BEAA0">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8E4DFC8">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4BEB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7C9167C">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38706BFD">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Times New Roman" w:hAnsi="Times New Roman" w:eastAsia="宋体" w:cs="Times New Roman"/>
                <w:szCs w:val="22"/>
                <w:lang w:val="en-GB"/>
              </w:rPr>
              <w:br w:type="textWrapping"/>
            </w:r>
            <w:r>
              <w:rPr>
                <w:rFonts w:ascii="Times New Roman" w:hAnsi="Times New Roman" w:eastAsia="宋体" w:cs="Times New Roman"/>
                <w:szCs w:val="22"/>
                <w:lang w:val="en-GB"/>
              </w:rPr>
              <w:br w:type="textWrapping"/>
            </w:r>
            <w:r>
              <w:rPr>
                <w:rFonts w:ascii="Times New Roman" w:hAnsi="Times New Roman" w:eastAsia="宋体" w:cs="Times New Roman"/>
                <w:szCs w:val="22"/>
                <w:lang w:val="en-GB"/>
              </w:rPr>
              <w:t xml:space="preserve">The advantages of a single PDSCH/PUSCH across multiple carriers would need to be shown – with the assumptions provided above. </w:t>
            </w:r>
          </w:p>
        </w:tc>
      </w:tr>
      <w:tr w14:paraId="7642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78DAB6B">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00F5F19B">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14:paraId="7641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DE65447">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383C241A">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kern w:val="2"/>
                <w:szCs w:val="22"/>
                <w:lang w:val="en-GB"/>
              </w:rPr>
              <w:t>W</w:t>
            </w:r>
            <w:r>
              <w:rPr>
                <w:rFonts w:ascii="Times New Roman" w:hAnsi="Times New Roman" w:eastAsia="宋体" w:cs="Times New Roman"/>
                <w:kern w:val="2"/>
                <w:szCs w:val="22"/>
                <w:lang w:val="en-GB"/>
              </w:rPr>
              <w:t>e are fine to study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 and related definition/conditions. The detailed schemes can be discussed later.</w:t>
            </w:r>
          </w:p>
        </w:tc>
      </w:tr>
      <w:tr w14:paraId="6356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056D7CF">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74323367">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Generally good direction as starting point for further study.</w:t>
            </w:r>
          </w:p>
          <w:p w14:paraId="44EAE550">
            <w:pPr>
              <w:widowControl w:val="0"/>
              <w:suppressAutoHyphens/>
              <w:spacing w:line="256" w:lineRule="auto"/>
              <w:jc w:val="both"/>
              <w:rPr>
                <w:rFonts w:ascii="Times" w:hAnsi="Times" w:eastAsia="MS Mincho" w:cs="Times"/>
                <w:iCs/>
                <w:szCs w:val="20"/>
                <w:lang w:eastAsia="ja-JP"/>
              </w:rPr>
            </w:pPr>
            <w:r>
              <w:rPr>
                <w:rFonts w:hint="eastAsia" w:ascii="Times New Roman" w:hAnsi="Times New Roman" w:eastAsia="MS Mincho" w:cs="Times New Roman"/>
                <w:szCs w:val="22"/>
                <w:lang w:val="en-GB" w:eastAsia="ja-JP"/>
              </w:rPr>
              <w:t xml:space="preserve">However, we think this </w:t>
            </w:r>
            <w:r>
              <w:rPr>
                <w:rFonts w:ascii="Times New Roman" w:hAnsi="Times New Roman" w:eastAsia="MS Mincho" w:cs="Times New Roman"/>
                <w:szCs w:val="22"/>
                <w:lang w:val="en-GB" w:eastAsia="ja-JP"/>
              </w:rPr>
              <w:t>virtual</w:t>
            </w:r>
            <w:r>
              <w:rPr>
                <w:rFonts w:hint="eastAsia" w:ascii="Times New Roman" w:hAnsi="Times New Roman" w:eastAsia="MS Mincho" w:cs="Times New Roman"/>
                <w:szCs w:val="22"/>
                <w:lang w:val="en-GB" w:eastAsia="ja-JP"/>
              </w:rPr>
              <w:t xml:space="preserve"> cell concept is just one of the options for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hint="eastAsia" w:ascii="Times" w:hAnsi="Times" w:eastAsia="MS Mincho" w:cs="Times"/>
                <w:iCs/>
                <w:szCs w:val="20"/>
                <w:lang w:eastAsia="ja-JP"/>
              </w:rPr>
              <w:t xml:space="preserve">. We can also consider </w:t>
            </w:r>
            <w:r>
              <w:rPr>
                <w:rFonts w:ascii="Times" w:hAnsi="Times" w:eastAsia="MS Mincho" w:cs="Times"/>
                <w:iCs/>
                <w:szCs w:val="20"/>
                <w:lang w:eastAsia="ja-JP"/>
              </w:rPr>
              <w:t>some</w:t>
            </w:r>
            <w:r>
              <w:rPr>
                <w:rFonts w:hint="eastAsia" w:ascii="Times" w:hAnsi="Times" w:eastAsia="MS Mincho" w:cs="Times"/>
                <w:iCs/>
                <w:szCs w:val="20"/>
                <w:lang w:eastAsia="ja-JP"/>
              </w:rPr>
              <w:t xml:space="preserve"> multi-cell </w:t>
            </w:r>
            <w:r>
              <w:rPr>
                <w:rFonts w:ascii="Times" w:hAnsi="Times" w:eastAsia="MS Mincho" w:cs="Times"/>
                <w:iCs/>
                <w:szCs w:val="20"/>
                <w:lang w:eastAsia="ja-JP"/>
              </w:rPr>
              <w:t>scheduling</w:t>
            </w:r>
            <w:r>
              <w:rPr>
                <w:rFonts w:hint="eastAsia" w:ascii="Times" w:hAnsi="Times" w:eastAsia="MS Mincho" w:cs="Times"/>
                <w:iCs/>
                <w:szCs w:val="20"/>
                <w:lang w:eastAsia="ja-JP"/>
              </w:rPr>
              <w:t xml:space="preserve"> enhancements, including support of different SCS among CCs, cross-CC HARQ, etc. So, we would </w:t>
            </w:r>
            <w:r>
              <w:rPr>
                <w:rFonts w:ascii="Times" w:hAnsi="Times" w:eastAsia="MS Mincho" w:cs="Times"/>
                <w:iCs/>
                <w:szCs w:val="20"/>
                <w:lang w:eastAsia="ja-JP"/>
              </w:rPr>
              <w:t>like</w:t>
            </w:r>
            <w:r>
              <w:rPr>
                <w:rFonts w:hint="eastAsia" w:ascii="Times" w:hAnsi="Times" w:eastAsia="MS Mincho" w:cs="Times"/>
                <w:iCs/>
                <w:szCs w:val="20"/>
                <w:lang w:eastAsia="ja-JP"/>
              </w:rPr>
              <w:t xml:space="preserve"> to keep such </w:t>
            </w:r>
            <w:r>
              <w:rPr>
                <w:rFonts w:ascii="Times" w:hAnsi="Times" w:eastAsia="MS Mincho" w:cs="Times"/>
                <w:iCs/>
                <w:szCs w:val="20"/>
                <w:lang w:eastAsia="ja-JP"/>
              </w:rPr>
              <w:t>possibility</w:t>
            </w:r>
            <w:r>
              <w:rPr>
                <w:rFonts w:hint="eastAsia" w:ascii="Times" w:hAnsi="Times" w:eastAsia="MS Mincho" w:cs="Times"/>
                <w:iCs/>
                <w:szCs w:val="20"/>
                <w:lang w:eastAsia="ja-JP"/>
              </w:rPr>
              <w:t xml:space="preserve"> for now and not to narrow down before </w:t>
            </w:r>
            <w:r>
              <w:rPr>
                <w:rFonts w:ascii="Times" w:hAnsi="Times" w:eastAsia="MS Mincho" w:cs="Times"/>
                <w:iCs/>
                <w:szCs w:val="20"/>
                <w:lang w:eastAsia="ja-JP"/>
              </w:rPr>
              <w:t>sufficient</w:t>
            </w:r>
            <w:r>
              <w:rPr>
                <w:rFonts w:hint="eastAsia" w:ascii="Times" w:hAnsi="Times" w:eastAsia="MS Mincho" w:cs="Times"/>
                <w:iCs/>
                <w:szCs w:val="20"/>
                <w:lang w:eastAsia="ja-JP"/>
              </w:rPr>
              <w:t xml:space="preserve"> study.</w:t>
            </w:r>
          </w:p>
          <w:p w14:paraId="3EA1E189">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S Mincho" w:cs="Times New Roman"/>
                <w:szCs w:val="22"/>
                <w:lang w:val="en-GB" w:eastAsia="ja-JP"/>
              </w:rPr>
              <w:t xml:space="preserve">Moreover, as the interpretation of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cell</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should have alignment with RAN2, especially on HO and RRM procedures, this discussion would require coordination with them.</w:t>
            </w:r>
          </w:p>
        </w:tc>
      </w:tr>
      <w:tr w14:paraId="350F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8233BDD">
            <w:pPr>
              <w:widowControl w:val="0"/>
              <w:suppressAutoHyphens/>
              <w:spacing w:line="256" w:lineRule="auto"/>
              <w:jc w:val="both"/>
              <w:rPr>
                <w:rFonts w:ascii="Calibri" w:hAnsi="Calibri" w:eastAsia="MS Mincho" w:cs="Arial"/>
                <w:szCs w:val="22"/>
                <w:lang w:val="en-GB" w:eastAsia="ja-JP"/>
              </w:rPr>
            </w:pPr>
            <w:r>
              <w:rPr>
                <w:rFonts w:hint="eastAsia" w:ascii="Times" w:hAnsi="Times" w:eastAsia="等线" w:cs="Times"/>
                <w:iCs/>
                <w:szCs w:val="20"/>
              </w:rPr>
              <w:t>Lenovo</w:t>
            </w:r>
          </w:p>
        </w:tc>
        <w:tc>
          <w:tcPr>
            <w:tcW w:w="3825" w:type="pct"/>
            <w:tcBorders>
              <w:top w:val="single" w:color="auto" w:sz="4" w:space="0"/>
              <w:left w:val="single" w:color="auto" w:sz="4" w:space="0"/>
              <w:bottom w:val="single" w:color="auto" w:sz="4" w:space="0"/>
              <w:right w:val="single" w:color="auto" w:sz="4" w:space="0"/>
            </w:tcBorders>
          </w:tcPr>
          <w:p w14:paraId="4ABC4E2C">
            <w:pPr>
              <w:widowControl w:val="0"/>
              <w:suppressAutoHyphens/>
              <w:spacing w:line="256" w:lineRule="auto"/>
              <w:jc w:val="both"/>
              <w:rPr>
                <w:rFonts w:ascii="Calibri" w:hAnsi="Calibri" w:eastAsia="MS Mincho" w:cs="Arial"/>
                <w:szCs w:val="22"/>
                <w:lang w:val="en-GB" w:eastAsia="ja-JP"/>
              </w:rPr>
            </w:pPr>
            <w:r>
              <w:rPr>
                <w:rFonts w:ascii="Times" w:hAnsi="Times" w:eastAsia="等线" w:cs="Times"/>
                <w:iCs/>
                <w:szCs w:val="20"/>
              </w:rPr>
              <w:t>W</w:t>
            </w:r>
            <w:r>
              <w:rPr>
                <w:rFonts w:hint="eastAsia" w:ascii="Times" w:hAnsi="Times" w:eastAsia="等线" w:cs="Times"/>
                <w:iCs/>
                <w:szCs w:val="20"/>
              </w:rPr>
              <w:t>e support this.</w:t>
            </w:r>
          </w:p>
        </w:tc>
      </w:tr>
      <w:tr w14:paraId="3CAE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4E29DB2">
            <w:pPr>
              <w:widowControl w:val="0"/>
              <w:suppressAutoHyphens/>
              <w:spacing w:line="256" w:lineRule="auto"/>
              <w:jc w:val="both"/>
              <w:rPr>
                <w:rFonts w:ascii="Times" w:hAnsi="Times" w:eastAsia="等线" w:cs="Times"/>
                <w:iCs/>
                <w:szCs w:val="20"/>
              </w:rPr>
            </w:pPr>
            <w:r>
              <w:rPr>
                <w:rFonts w:ascii="Times New Roman" w:hAnsi="Times New Roman" w:eastAsia="MS Mincho" w:cs="Times New Roman"/>
                <w:szCs w:val="22"/>
                <w:lang w:eastAsia="ja-JP"/>
              </w:rPr>
              <w:t>Sharp</w:t>
            </w:r>
            <w:r>
              <w:rPr>
                <w:rFonts w:ascii="Times New Roman" w:hAnsi="Times New Roman" w:eastAsia="MS Mincho" w:cs="Times New Roman"/>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24C88BFC">
            <w:pPr>
              <w:widowControl w:val="0"/>
              <w:suppressAutoHyphens/>
              <w:spacing w:line="256" w:lineRule="auto"/>
              <w:jc w:val="both"/>
              <w:rPr>
                <w:rFonts w:ascii="Times" w:hAnsi="Times" w:eastAsia="等线" w:cs="Times"/>
                <w:iCs/>
                <w:szCs w:val="20"/>
              </w:rPr>
            </w:pPr>
            <w:r>
              <w:rPr>
                <w:rFonts w:ascii="Times New Roman" w:hAnsi="Times New Roman" w:eastAsia="MS Mincho"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Times New Roman" w:hAnsi="Times New Roman" w:eastAsia="MS Mincho" w:cs="Times New Roman"/>
                <w:szCs w:val="22"/>
                <w:lang w:val="en-GB" w:eastAsia="ja-JP"/>
              </w:rPr>
              <w:t> </w:t>
            </w:r>
          </w:p>
        </w:tc>
      </w:tr>
      <w:tr w14:paraId="35C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C2BCA8A">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vivo</w:t>
            </w:r>
          </w:p>
        </w:tc>
        <w:tc>
          <w:tcPr>
            <w:tcW w:w="3825" w:type="pct"/>
            <w:tcBorders>
              <w:top w:val="single" w:color="auto" w:sz="4" w:space="0"/>
              <w:left w:val="single" w:color="auto" w:sz="4" w:space="0"/>
              <w:bottom w:val="single" w:color="auto" w:sz="4" w:space="0"/>
              <w:right w:val="single" w:color="auto" w:sz="4" w:space="0"/>
            </w:tcBorders>
          </w:tcPr>
          <w:p w14:paraId="5F075CEC">
            <w:pPr>
              <w:widowControl w:val="0"/>
              <w:suppressAutoHyphens/>
              <w:spacing w:line="256" w:lineRule="auto"/>
              <w:jc w:val="both"/>
              <w:rPr>
                <w:rFonts w:ascii="Times New Roman" w:hAnsi="Times New Roman" w:eastAsia="MS Mincho" w:cs="Times New Roman"/>
                <w:szCs w:val="22"/>
                <w:lang w:eastAsia="ja-JP"/>
              </w:rPr>
            </w:pPr>
            <w:r>
              <w:rPr>
                <w:rFonts w:ascii="Times New Roman" w:hAnsi="Times New Roman" w:eastAsia="MS Mincho" w:cs="Times New Roman"/>
                <w:szCs w:val="22"/>
                <w:lang w:eastAsia="ja-JP"/>
              </w:rPr>
              <w:t>We support this proposal in general.</w:t>
            </w:r>
          </w:p>
          <w:p w14:paraId="4F94E384">
            <w:pPr>
              <w:widowControl w:val="0"/>
              <w:suppressAutoHyphens/>
              <w:spacing w:line="256" w:lineRule="auto"/>
              <w:jc w:val="both"/>
              <w:rPr>
                <w:rFonts w:ascii="Times New Roman" w:hAnsi="Times New Roman" w:eastAsia="MS Mincho" w:cs="Times New Roman"/>
                <w:szCs w:val="22"/>
                <w:lang w:eastAsia="ja-JP"/>
              </w:rPr>
            </w:pPr>
            <w:r>
              <w:rPr>
                <w:rFonts w:ascii="Times New Roman" w:hAnsi="Times New Roman" w:eastAsia="MS Mincho" w:cs="Times New Roman"/>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pPr>
              <w:widowControl w:val="0"/>
              <w:suppressAutoHyphens/>
              <w:spacing w:line="256" w:lineRule="auto"/>
              <w:jc w:val="both"/>
              <w:rPr>
                <w:rFonts w:ascii="Times New Roman" w:hAnsi="Times New Roman" w:eastAsia="MS Mincho" w:cs="Times New Roman"/>
                <w:szCs w:val="22"/>
                <w:lang w:eastAsia="ja-JP"/>
              </w:rPr>
            </w:pPr>
            <w:r>
              <w:rPr>
                <w:rFonts w:ascii="Times New Roman" w:hAnsi="Times New Roman" w:eastAsia="MS Mincho" w:cs="Times New Roman"/>
                <w:szCs w:val="22"/>
                <w:lang w:eastAsia="ja-JP"/>
              </w:rPr>
              <w:t>To ensure a productive and focused discussion on SCMC, we need to clarify its operational scope for SCMC, i.e., Idle/Inactive operation or connected mode operation.</w:t>
            </w:r>
          </w:p>
          <w:p w14:paraId="7705D4C4">
            <w:pPr>
              <w:widowControl w:val="0"/>
              <w:suppressAutoHyphens/>
              <w:spacing w:line="256" w:lineRule="auto"/>
              <w:jc w:val="both"/>
              <w:rPr>
                <w:rFonts w:ascii="Calibri" w:hAnsi="Calibri" w:eastAsia="MS Mincho" w:cs="Arial"/>
                <w:szCs w:val="22"/>
                <w:lang w:eastAsia="ja-JP"/>
              </w:rPr>
            </w:pPr>
            <w:r>
              <w:rPr>
                <w:rFonts w:ascii="Times New Roman" w:hAnsi="Times New Roman" w:eastAsia="MS Mincho" w:cs="Times New Roman"/>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14:paraId="5926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8D0E213">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607DE77D">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Generally support</w:t>
            </w:r>
          </w:p>
        </w:tc>
      </w:tr>
      <w:tr w14:paraId="3545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CA94BA6">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lang w:val="en-GB"/>
              </w:rPr>
              <w:t>China</w:t>
            </w:r>
            <w:r>
              <w:rPr>
                <w:rFonts w:ascii="Calibri" w:hAnsi="Calibri" w:eastAsia="宋体" w:cs="Arial"/>
                <w:kern w:val="2"/>
                <w:szCs w:val="22"/>
                <w:lang w:val="en-GB"/>
              </w:rPr>
              <w:t xml:space="preserve"> </w:t>
            </w:r>
            <w:r>
              <w:rPr>
                <w:rFonts w:hint="eastAsia" w:ascii="Calibri" w:hAnsi="Calibri" w:eastAsia="宋体" w:cs="Arial"/>
                <w:kern w:val="2"/>
                <w:szCs w:val="22"/>
                <w:lang w:val="en-GB"/>
              </w:rPr>
              <w:t>Telecom</w:t>
            </w:r>
          </w:p>
        </w:tc>
        <w:tc>
          <w:tcPr>
            <w:tcW w:w="3825" w:type="pct"/>
          </w:tcPr>
          <w:p w14:paraId="6ECFC9EA">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We</w:t>
            </w:r>
            <w:r>
              <w:rPr>
                <w:rFonts w:ascii="Calibri" w:hAnsi="Calibri" w:eastAsia="宋体" w:cs="Arial"/>
                <w:kern w:val="2"/>
                <w:szCs w:val="22"/>
                <w:lang w:val="en-GB"/>
              </w:rPr>
              <w:t xml:space="preserve"> </w:t>
            </w:r>
            <w:r>
              <w:rPr>
                <w:rFonts w:hint="eastAsia" w:ascii="Calibri" w:hAnsi="Calibri" w:eastAsia="宋体" w:cs="Arial"/>
                <w:kern w:val="2"/>
                <w:szCs w:val="22"/>
                <w:lang w:val="en-GB"/>
              </w:rPr>
              <w:t>support</w:t>
            </w:r>
            <w:r>
              <w:rPr>
                <w:rFonts w:ascii="Calibri" w:hAnsi="Calibri" w:eastAsia="宋体" w:cs="Arial"/>
                <w:kern w:val="2"/>
                <w:szCs w:val="22"/>
                <w:lang w:val="en-GB"/>
              </w:rPr>
              <w:t xml:space="preserve"> </w:t>
            </w:r>
            <w:r>
              <w:rPr>
                <w:rFonts w:hint="eastAsia" w:ascii="Calibri" w:hAnsi="Calibri" w:eastAsia="宋体" w:cs="Arial"/>
                <w:kern w:val="2"/>
                <w:szCs w:val="22"/>
                <w:lang w:val="en-GB"/>
              </w:rPr>
              <w:t>the</w:t>
            </w:r>
            <w:r>
              <w:rPr>
                <w:rFonts w:ascii="Calibri" w:hAnsi="Calibri" w:eastAsia="宋体" w:cs="Arial"/>
                <w:kern w:val="2"/>
                <w:szCs w:val="22"/>
                <w:lang w:val="en-GB"/>
              </w:rPr>
              <w:t xml:space="preserve"> study of </w:t>
            </w:r>
            <w:r>
              <w:rPr>
                <w:rFonts w:hint="eastAsia" w:ascii="Calibri" w:hAnsi="Calibri" w:eastAsia="宋体" w:cs="Arial"/>
                <w:kern w:val="2"/>
                <w:szCs w:val="22"/>
                <w:lang w:val="en-GB"/>
              </w:rPr>
              <w:t>aggregating</w:t>
            </w:r>
            <w:r>
              <w:rPr>
                <w:rFonts w:ascii="Calibri" w:hAnsi="Calibri" w:eastAsia="宋体"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5C803C9">
            <w:pPr>
              <w:widowControl w:val="0"/>
              <w:suppressAutoHyphens/>
              <w:spacing w:line="254" w:lineRule="auto"/>
              <w:jc w:val="both"/>
              <w:rPr>
                <w:rFonts w:ascii="Calibri" w:hAnsi="Calibri" w:eastAsia="PMingLiU" w:cs="Arial"/>
                <w:szCs w:val="22"/>
                <w:lang w:eastAsia="zh-TW"/>
              </w:rPr>
            </w:pPr>
            <w:r>
              <w:rPr>
                <w:rFonts w:ascii="Calibri" w:hAnsi="Calibri" w:eastAsia="宋体" w:cs="Arial"/>
                <w:kern w:val="2"/>
                <w:szCs w:val="22"/>
                <w:lang w:val="en-GB"/>
              </w:rPr>
              <w:t>We think the second bullet relates to the last FFS bullet, both can be FFS.</w:t>
            </w:r>
          </w:p>
        </w:tc>
      </w:tr>
    </w:tbl>
    <w:p w14:paraId="112C1DDD">
      <w:pPr>
        <w:jc w:val="both"/>
        <w:rPr>
          <w:rFonts w:eastAsia="等线"/>
          <w:b/>
          <w:bCs/>
          <w:highlight w:val="yellow"/>
        </w:rPr>
      </w:pPr>
    </w:p>
    <w:p w14:paraId="349B33B8">
      <w:pPr>
        <w:jc w:val="both"/>
        <w:rPr>
          <w:rFonts w:eastAsia="等线"/>
          <w:b/>
          <w:bCs/>
        </w:rPr>
      </w:pPr>
      <w:r>
        <w:rPr>
          <w:rFonts w:hint="eastAsia" w:eastAsia="等线"/>
          <w:b/>
          <w:bCs/>
          <w:highlight w:val="yellow"/>
        </w:rPr>
        <w:t>FL proposal 2:</w:t>
      </w:r>
      <w:r>
        <w:rPr>
          <w:rFonts w:hint="eastAsia" w:eastAsia="等线"/>
          <w:b/>
          <w:bCs/>
        </w:rPr>
        <w:t xml:space="preserve"> </w:t>
      </w:r>
    </w:p>
    <w:p w14:paraId="48055AF8">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73E43022">
      <w:pPr>
        <w:pStyle w:val="63"/>
        <w:numPr>
          <w:ilvl w:val="0"/>
          <w:numId w:val="108"/>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7E3A7CC0">
      <w:pPr>
        <w:pStyle w:val="63"/>
        <w:numPr>
          <w:ilvl w:val="1"/>
          <w:numId w:val="108"/>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pPr>
        <w:pStyle w:val="63"/>
        <w:numPr>
          <w:ilvl w:val="0"/>
          <w:numId w:val="108"/>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379B6AA2">
      <w:pPr>
        <w:pStyle w:val="63"/>
        <w:numPr>
          <w:ilvl w:val="1"/>
          <w:numId w:val="108"/>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60569F18">
      <w:pPr>
        <w:pStyle w:val="63"/>
        <w:numPr>
          <w:ilvl w:val="0"/>
          <w:numId w:val="108"/>
        </w:numPr>
        <w:jc w:val="both"/>
        <w:rPr>
          <w:rFonts w:ascii="Times" w:hAnsi="Times" w:eastAsia="等线" w:cs="Times"/>
          <w:iCs/>
          <w:szCs w:val="20"/>
        </w:rPr>
      </w:pPr>
      <w:r>
        <w:rPr>
          <w:rFonts w:ascii="Times" w:hAnsi="Times" w:eastAsia="等线" w:cs="Times"/>
          <w:iCs/>
          <w:szCs w:val="20"/>
        </w:rPr>
        <w:t xml:space="preserve">More than one UL CC can be </w:t>
      </w:r>
      <w:r>
        <w:rPr>
          <w:rFonts w:hint="eastAsia" w:ascii="Times" w:hAnsi="Times" w:eastAsia="等线" w:cs="Times"/>
          <w:iCs/>
          <w:szCs w:val="20"/>
        </w:rPr>
        <w:t>associated</w:t>
      </w:r>
      <w:r>
        <w:rPr>
          <w:rFonts w:ascii="Times" w:hAnsi="Times" w:eastAsia="等线" w:cs="Times"/>
          <w:iCs/>
          <w:szCs w:val="20"/>
        </w:rPr>
        <w:t xml:space="preserve"> to one DL CC, where the UL CCs can be in FDD/TDD bands</w:t>
      </w:r>
    </w:p>
    <w:p w14:paraId="7622382D">
      <w:pPr>
        <w:pStyle w:val="63"/>
        <w:numPr>
          <w:ilvl w:val="0"/>
          <w:numId w:val="108"/>
        </w:numPr>
        <w:jc w:val="both"/>
        <w:rPr>
          <w:rFonts w:ascii="Times" w:hAnsi="Times" w:eastAsia="等线" w:cs="Times"/>
          <w:iCs/>
          <w:szCs w:val="20"/>
        </w:rPr>
      </w:pPr>
      <w:r>
        <w:rPr>
          <w:rFonts w:ascii="Times" w:hAnsi="Times" w:eastAsia="等线" w:cs="Times"/>
          <w:iCs/>
          <w:szCs w:val="20"/>
        </w:rPr>
        <w:t xml:space="preserve">More than one DL CC can be </w:t>
      </w:r>
      <w:r>
        <w:rPr>
          <w:rFonts w:hint="eastAsia" w:ascii="Times" w:hAnsi="Times" w:eastAsia="等线" w:cs="Times"/>
          <w:iCs/>
          <w:szCs w:val="20"/>
        </w:rPr>
        <w:t>associated</w:t>
      </w:r>
      <w:r>
        <w:rPr>
          <w:rFonts w:ascii="Times" w:hAnsi="Times" w:eastAsia="等线" w:cs="Times"/>
          <w:iCs/>
          <w:szCs w:val="20"/>
        </w:rPr>
        <w:t xml:space="preserve"> to one UL CC, where the DL CCs can be in FDD/TDD/SDL bands</w:t>
      </w:r>
    </w:p>
    <w:p w14:paraId="798F00CC">
      <w:pPr>
        <w:pStyle w:val="63"/>
        <w:numPr>
          <w:ilvl w:val="0"/>
          <w:numId w:val="108"/>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1AC3A19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27F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E19F8F0">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56FF10C">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490D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063F0AB">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1AFA4F1A">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We are fine with the first two main bullets, but are not sure about the association sub-bullets for these (specifically related to the last bullet point). </w:t>
            </w:r>
          </w:p>
          <w:p w14:paraId="4514C66F">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And the motivation for associating multiple UL/DL carriers with one DL/UL carrier seems to be slightly missing.  </w:t>
            </w:r>
          </w:p>
        </w:tc>
      </w:tr>
      <w:tr w14:paraId="7A61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19AAB59">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5AC3459">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14:paraId="2C71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7EE1D8F">
            <w:pPr>
              <w:widowControl w:val="0"/>
              <w:suppressAutoHyphens/>
              <w:spacing w:line="256" w:lineRule="auto"/>
              <w:jc w:val="both"/>
              <w:rPr>
                <w:rFonts w:ascii="Times New Roman" w:hAnsi="Times New Roman" w:eastAsia="宋体" w:cs="Times New Roman"/>
                <w:sz w:val="20"/>
                <w:szCs w:val="20"/>
                <w:lang w:val="en-GB"/>
              </w:rPr>
            </w:pPr>
            <w:r>
              <w:rPr>
                <w:rFonts w:hint="eastAsia" w:ascii="Times New Roman" w:hAnsi="Times New Roman" w:eastAsia="宋体" w:cs="Times New Roman"/>
                <w:kern w:val="2"/>
                <w:szCs w:val="22"/>
                <w:lang w:val="en-GB"/>
              </w:rPr>
              <w:t>S</w:t>
            </w:r>
            <w:r>
              <w:rPr>
                <w:rFonts w:ascii="Times New Roman" w:hAnsi="Times New Roman" w:eastAsia="宋体" w:cs="Times New Roman"/>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2CF0E636">
            <w:pPr>
              <w:widowControl w:val="0"/>
              <w:suppressAutoHyphens/>
              <w:spacing w:line="256" w:lineRule="auto"/>
              <w:jc w:val="both"/>
              <w:rPr>
                <w:rFonts w:ascii="Times New Roman" w:hAnsi="Times New Roman" w:eastAsia="宋体" w:cs="Times New Roman"/>
                <w:kern w:val="2"/>
                <w:szCs w:val="22"/>
                <w:lang w:val="en-GB"/>
              </w:rPr>
            </w:pPr>
            <w:r>
              <w:rPr>
                <w:rFonts w:hint="eastAsia" w:ascii="Times New Roman" w:hAnsi="Times New Roman" w:eastAsia="宋体" w:cs="Times New Roman"/>
                <w:kern w:val="2"/>
                <w:szCs w:val="22"/>
                <w:lang w:val="en-GB"/>
              </w:rPr>
              <w:t>W</w:t>
            </w:r>
            <w:r>
              <w:rPr>
                <w:rFonts w:ascii="Times New Roman" w:hAnsi="Times New Roman" w:eastAsia="宋体" w:cs="Times New Roman"/>
                <w:kern w:val="2"/>
                <w:szCs w:val="22"/>
                <w:lang w:val="en-GB"/>
              </w:rPr>
              <w:t xml:space="preserve">e are fine to study flexible DL and UL decoupling. However, the </w:t>
            </w:r>
            <w:r>
              <w:rPr>
                <w:rFonts w:ascii="Times New Roman" w:hAnsi="Times New Roman" w:eastAsia="宋体" w:cs="Times New Roman"/>
                <w:szCs w:val="22"/>
                <w:lang w:val="en-GB"/>
              </w:rPr>
              <w:t>first two main bullets</w:t>
            </w:r>
            <w:r>
              <w:rPr>
                <w:rFonts w:ascii="Times New Roman" w:hAnsi="Times New Roman" w:eastAsia="宋体" w:cs="Times New Roman"/>
                <w:kern w:val="2"/>
                <w:szCs w:val="22"/>
                <w:lang w:val="en-GB"/>
              </w:rPr>
              <w:t xml:space="preserve"> have some overlap with the other bullets. Further, duplex gap for DL and UL needs to be considered.</w:t>
            </w:r>
          </w:p>
          <w:p w14:paraId="30BC74F8">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The suggested updates are as below with red.</w:t>
            </w:r>
          </w:p>
          <w:p w14:paraId="48E00F48">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56B7180B">
            <w:pPr>
              <w:pStyle w:val="63"/>
              <w:numPr>
                <w:ilvl w:val="0"/>
                <w:numId w:val="108"/>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4922447F">
            <w:pPr>
              <w:pStyle w:val="63"/>
              <w:numPr>
                <w:ilvl w:val="1"/>
                <w:numId w:val="108"/>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AAA88F">
            <w:pPr>
              <w:pStyle w:val="63"/>
              <w:numPr>
                <w:ilvl w:val="1"/>
                <w:numId w:val="108"/>
              </w:numPr>
              <w:rPr>
                <w:rFonts w:ascii="Times" w:hAnsi="Times" w:eastAsia="等线" w:cs="Times"/>
                <w:iCs/>
                <w:color w:val="FF0000"/>
                <w:szCs w:val="20"/>
              </w:rPr>
            </w:pPr>
            <w:r>
              <w:rPr>
                <w:rFonts w:ascii="Times" w:hAnsi="Times" w:eastAsia="等线" w:cs="Times"/>
                <w:iCs/>
                <w:color w:val="FF0000"/>
                <w:szCs w:val="20"/>
              </w:rPr>
              <w:t>The DL CCs can be in FDD/TDD/SDL bands</w:t>
            </w:r>
          </w:p>
          <w:p w14:paraId="2811496C">
            <w:pPr>
              <w:pStyle w:val="63"/>
              <w:numPr>
                <w:ilvl w:val="0"/>
                <w:numId w:val="108"/>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3A3A750C">
            <w:pPr>
              <w:pStyle w:val="63"/>
              <w:numPr>
                <w:ilvl w:val="1"/>
                <w:numId w:val="108"/>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6FA92BC4">
            <w:pPr>
              <w:pStyle w:val="63"/>
              <w:numPr>
                <w:ilvl w:val="1"/>
                <w:numId w:val="108"/>
              </w:numPr>
              <w:jc w:val="both"/>
              <w:rPr>
                <w:rFonts w:ascii="Times" w:hAnsi="Times" w:eastAsia="等线" w:cs="Times"/>
                <w:iCs/>
                <w:color w:val="FF0000"/>
                <w:szCs w:val="20"/>
              </w:rPr>
            </w:pPr>
            <w:r>
              <w:rPr>
                <w:rFonts w:ascii="Times" w:hAnsi="Times" w:eastAsia="等线" w:cs="Times"/>
                <w:iCs/>
                <w:color w:val="FF0000"/>
                <w:szCs w:val="20"/>
              </w:rPr>
              <w:t>The UL CCs can be in FDD/TDD bands</w:t>
            </w:r>
          </w:p>
          <w:p w14:paraId="4800F94F">
            <w:pPr>
              <w:pStyle w:val="63"/>
              <w:numPr>
                <w:ilvl w:val="0"/>
                <w:numId w:val="108"/>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14:paraId="68693652">
            <w:pPr>
              <w:pStyle w:val="63"/>
              <w:numPr>
                <w:ilvl w:val="0"/>
                <w:numId w:val="108"/>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14:paraId="2755D3D6">
            <w:pPr>
              <w:pStyle w:val="63"/>
              <w:numPr>
                <w:ilvl w:val="0"/>
                <w:numId w:val="108"/>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22AC8FBC">
            <w:pPr>
              <w:pStyle w:val="63"/>
              <w:numPr>
                <w:ilvl w:val="0"/>
                <w:numId w:val="108"/>
              </w:numPr>
              <w:jc w:val="both"/>
              <w:rPr>
                <w:rFonts w:ascii="Times" w:hAnsi="Times" w:eastAsia="等线" w:cs="Times"/>
                <w:iCs/>
                <w:color w:val="FF0000"/>
                <w:szCs w:val="20"/>
              </w:rPr>
            </w:pPr>
            <w:r>
              <w:rPr>
                <w:rFonts w:ascii="Times" w:hAnsi="Times" w:eastAsia="等线" w:cs="Times"/>
                <w:iCs/>
                <w:color w:val="FF0000"/>
                <w:szCs w:val="20"/>
              </w:rPr>
              <w:t>Duplex gap for a flexible DL and UL pairing</w:t>
            </w:r>
          </w:p>
          <w:p w14:paraId="04F0FEF3">
            <w:pPr>
              <w:widowControl w:val="0"/>
              <w:suppressAutoHyphens/>
              <w:spacing w:line="256" w:lineRule="auto"/>
              <w:jc w:val="both"/>
              <w:rPr>
                <w:rFonts w:ascii="Times New Roman" w:hAnsi="Times New Roman" w:cs="Times New Roman"/>
                <w:sz w:val="20"/>
                <w:szCs w:val="20"/>
                <w:lang w:val="en-GB" w:eastAsia="en-US"/>
              </w:rPr>
            </w:pPr>
            <w:r>
              <w:rPr>
                <w:rFonts w:hint="eastAsia" w:ascii="Times New Roman" w:hAnsi="Times New Roman" w:eastAsia="宋体" w:cs="Times New Roman"/>
                <w:kern w:val="2"/>
                <w:szCs w:val="22"/>
              </w:rPr>
              <w:t>I</w:t>
            </w:r>
            <w:r>
              <w:rPr>
                <w:rFonts w:ascii="Times New Roman" w:hAnsi="Times New Roman" w:eastAsia="宋体" w:cs="Times New Roman"/>
                <w:kern w:val="2"/>
                <w:szCs w:val="22"/>
              </w:rPr>
              <w:t xml:space="preserve">n addition, it is unclear whether </w:t>
            </w:r>
            <w:r>
              <w:rPr>
                <w:rFonts w:hint="eastAsia" w:ascii="Times New Roman" w:hAnsi="Times New Roman" w:eastAsia="宋体" w:cs="Times New Roman"/>
                <w:kern w:val="2"/>
                <w:szCs w:val="22"/>
              </w:rPr>
              <w:t>o</w:t>
            </w:r>
            <w:r>
              <w:rPr>
                <w:rFonts w:ascii="Times New Roman" w:hAnsi="Times New Roman" w:eastAsia="宋体" w:cs="Times New Roman"/>
                <w:kern w:val="2"/>
                <w:szCs w:val="22"/>
              </w:rPr>
              <w:t xml:space="preserve">ne UL CC and associated at least one DL CC belong to one cell or not.  It is unclear whether one of multiple associated DL CC is </w:t>
            </w:r>
            <w:r>
              <w:rPr>
                <w:rFonts w:ascii="Times" w:hAnsi="Times" w:eastAsia="等线" w:cs="Times"/>
                <w:iCs/>
                <w:szCs w:val="20"/>
              </w:rPr>
              <w:t>used to determine UL frequency synchronization, while the other is used to perform DL transmission.</w:t>
            </w:r>
          </w:p>
        </w:tc>
      </w:tr>
      <w:tr w14:paraId="7F91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ABDF281">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S Mincho" w:cs="Times New Roman"/>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040CF14B">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S Mincho" w:cs="Times New Roman"/>
                <w:szCs w:val="22"/>
                <w:lang w:val="en-GB" w:eastAsia="ja-JP"/>
              </w:rPr>
              <w:t xml:space="preserve">Generally OK, but some suggestion for wordsmithing to avoid too specific terms, such as PUCCH (to be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UL channels carrying L1 control information</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w:t>
            </w:r>
          </w:p>
        </w:tc>
      </w:tr>
      <w:tr w14:paraId="5D70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E0C1B60">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MS Mincho" w:cs="Times New Roman"/>
                <w:szCs w:val="22"/>
                <w:lang w:eastAsia="ja-JP"/>
              </w:rPr>
              <w:t>Sharp</w:t>
            </w:r>
            <w:r>
              <w:rPr>
                <w:rFonts w:ascii="Times New Roman" w:hAnsi="Times New Roman" w:eastAsia="MS Mincho" w:cs="Times New Roman"/>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22E13C28">
            <w:pPr>
              <w:pStyle w:val="140"/>
              <w:spacing w:before="0" w:beforeAutospacing="0" w:after="0" w:afterAutospacing="0"/>
              <w:jc w:val="both"/>
              <w:textAlignment w:val="baseline"/>
              <w:rPr>
                <w:rFonts w:ascii="Times New Roman" w:hAnsi="Times New Roman" w:eastAsia="MS Mincho" w:cs="Times New Roman"/>
                <w:sz w:val="22"/>
                <w:szCs w:val="22"/>
                <w:lang w:val="en-GB"/>
              </w:rPr>
            </w:pPr>
            <w:r>
              <w:rPr>
                <w:rFonts w:ascii="Times New Roman" w:hAnsi="Times New Roman" w:eastAsia="MS Mincho"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Times New Roman" w:hAnsi="Times New Roman" w:eastAsia="MS Mincho" w:cs="Times New Roman"/>
                <w:sz w:val="22"/>
                <w:szCs w:val="22"/>
                <w:lang w:val="en-GB"/>
              </w:rPr>
              <w:t> </w:t>
            </w:r>
          </w:p>
          <w:p w14:paraId="4183195A">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MS Mincho" w:cs="Times New Roman"/>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Times New Roman" w:hAnsi="Times New Roman" w:eastAsia="MS Mincho" w:cs="Times New Roman"/>
                <w:szCs w:val="22"/>
                <w:lang w:val="en-GB" w:eastAsia="ja-JP"/>
              </w:rPr>
              <w:t> </w:t>
            </w:r>
          </w:p>
        </w:tc>
      </w:tr>
      <w:tr w14:paraId="6B8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97FD0E3">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077D434C">
            <w:pPr>
              <w:pStyle w:val="140"/>
              <w:spacing w:before="0" w:beforeAutospacing="0" w:after="0" w:afterAutospacing="0"/>
              <w:jc w:val="both"/>
              <w:textAlignment w:val="baseline"/>
              <w:rPr>
                <w:rFonts w:ascii="Calibri" w:hAnsi="Calibri" w:eastAsia="PMingLiU" w:cs="Arial"/>
                <w:sz w:val="22"/>
                <w:szCs w:val="22"/>
                <w:lang w:eastAsia="zh-TW"/>
              </w:rPr>
            </w:pPr>
            <w:r>
              <w:rPr>
                <w:rFonts w:ascii="Calibri" w:hAnsi="Calibri" w:eastAsia="PMingLiU" w:cs="Arial"/>
                <w:sz w:val="22"/>
                <w:szCs w:val="22"/>
                <w:lang w:eastAsia="zh-TW"/>
              </w:rPr>
              <w:t>Generally support</w:t>
            </w:r>
          </w:p>
        </w:tc>
      </w:tr>
      <w:tr w14:paraId="7FEE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ACFAE95">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rPr>
              <w:t>C</w:t>
            </w:r>
            <w:r>
              <w:rPr>
                <w:rFonts w:ascii="Calibri" w:hAnsi="Calibri" w:eastAsia="宋体" w:cs="Arial"/>
                <w:kern w:val="2"/>
                <w:szCs w:val="22"/>
              </w:rPr>
              <w:t>hina Telecom</w:t>
            </w:r>
          </w:p>
        </w:tc>
        <w:tc>
          <w:tcPr>
            <w:tcW w:w="3825" w:type="pct"/>
          </w:tcPr>
          <w:p w14:paraId="4C6954FB">
            <w:pPr>
              <w:pStyle w:val="140"/>
              <w:spacing w:before="0" w:beforeAutospacing="0" w:after="0" w:afterAutospacing="0"/>
              <w:jc w:val="both"/>
              <w:textAlignment w:val="baseline"/>
              <w:rPr>
                <w:rFonts w:ascii="Calibri" w:hAnsi="Calibri" w:eastAsia="PMingLiU" w:cs="Arial"/>
                <w:sz w:val="22"/>
                <w:szCs w:val="22"/>
                <w:lang w:eastAsia="zh-TW"/>
              </w:rPr>
            </w:pPr>
            <w:r>
              <w:rPr>
                <w:rFonts w:hint="eastAsia" w:ascii="Calibri" w:hAnsi="Calibri" w:eastAsia="宋体" w:cs="Arial"/>
                <w:kern w:val="2"/>
                <w:szCs w:val="22"/>
              </w:rPr>
              <w:t>S</w:t>
            </w:r>
            <w:r>
              <w:rPr>
                <w:rFonts w:ascii="Calibri" w:hAnsi="Calibri" w:eastAsia="宋体" w:cs="Arial"/>
                <w:kern w:val="2"/>
                <w:szCs w:val="22"/>
              </w:rPr>
              <w:t>upport study flexible DL and UL decoupling. Suggest to remove SDL in the second to last bullet similar as no SUL in the previous bullet.</w:t>
            </w:r>
          </w:p>
        </w:tc>
      </w:tr>
    </w:tbl>
    <w:p w14:paraId="2ED85442">
      <w:pPr>
        <w:jc w:val="both"/>
        <w:rPr>
          <w:rFonts w:ascii="Times" w:hAnsi="Times" w:eastAsia="等线" w:cs="Times"/>
          <w:iCs/>
          <w:szCs w:val="20"/>
        </w:rPr>
      </w:pPr>
    </w:p>
    <w:p w14:paraId="47F19A92">
      <w:pPr>
        <w:jc w:val="both"/>
        <w:rPr>
          <w:rFonts w:ascii="Times" w:hAnsi="Times" w:eastAsia="等线" w:cs="Times"/>
          <w:iCs/>
          <w:szCs w:val="20"/>
        </w:rPr>
      </w:pPr>
    </w:p>
    <w:p w14:paraId="3D95803B">
      <w:pPr>
        <w:pStyle w:val="4"/>
        <w:spacing w:after="120"/>
        <w:rPr>
          <w:rFonts w:eastAsia="等线"/>
        </w:rPr>
      </w:pPr>
      <w:r>
        <w:rPr>
          <w:rFonts w:hint="eastAsia" w:eastAsia="等线"/>
        </w:rPr>
        <w:t>Second round discussion</w:t>
      </w:r>
    </w:p>
    <w:p w14:paraId="6D4C725F">
      <w:pPr>
        <w:rPr>
          <w:rFonts w:eastAsiaTheme="minorEastAsia"/>
        </w:rPr>
      </w:pPr>
    </w:p>
    <w:p w14:paraId="2336AB29">
      <w:pPr>
        <w:pStyle w:val="2"/>
        <w:spacing w:before="120" w:after="120"/>
        <w:rPr>
          <w:rFonts w:eastAsiaTheme="minorEastAsia"/>
        </w:rPr>
      </w:pPr>
      <w:r>
        <w:rPr>
          <w:rFonts w:eastAsiaTheme="minorEastAsia"/>
        </w:rPr>
        <w:t>Miscellaneous</w:t>
      </w:r>
      <w:r>
        <w:rPr>
          <w:rFonts w:hint="eastAsia" w:eastAsiaTheme="minorEastAsia"/>
        </w:rPr>
        <w:t xml:space="preserve"> </w:t>
      </w:r>
    </w:p>
    <w:p w14:paraId="04473003">
      <w:pPr>
        <w:rPr>
          <w:rFonts w:eastAsiaTheme="minorEastAsia"/>
        </w:rPr>
      </w:pPr>
    </w:p>
    <w:p w14:paraId="4BCFA7CA">
      <w:pPr>
        <w:pStyle w:val="3"/>
        <w:spacing w:after="120"/>
        <w:rPr>
          <w:rFonts w:eastAsiaTheme="minorEastAsia"/>
        </w:rPr>
      </w:pPr>
      <w:r>
        <w:rPr>
          <w:rFonts w:hint="eastAsia" w:eastAsiaTheme="minorEastAsia"/>
        </w:rPr>
        <w:t>Issue#1: MRSS</w:t>
      </w:r>
    </w:p>
    <w:p w14:paraId="2B8418B0">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0B55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3FBB859C">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18017795">
            <w:pPr>
              <w:widowControl w:val="0"/>
              <w:autoSpaceDE w:val="0"/>
              <w:autoSpaceDN w:val="0"/>
              <w:jc w:val="center"/>
            </w:pPr>
            <w:r>
              <w:rPr>
                <w:rFonts w:eastAsiaTheme="minorEastAsia"/>
                <w:b/>
                <w:bCs/>
                <w:lang w:eastAsia="ko-KR"/>
              </w:rPr>
              <w:t xml:space="preserve">Views/proposals </w:t>
            </w:r>
          </w:p>
        </w:tc>
      </w:tr>
      <w:tr w14:paraId="1506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39DC6D0">
            <w:pPr>
              <w:widowControl w:val="0"/>
              <w:autoSpaceDE w:val="0"/>
              <w:autoSpaceDN w:val="0"/>
              <w:jc w:val="both"/>
              <w:rPr>
                <w:rFonts w:eastAsiaTheme="minorEastAsia"/>
                <w:iCs/>
                <w:sz w:val="21"/>
                <w:szCs w:val="22"/>
              </w:rPr>
            </w:pPr>
            <w:r>
              <w:rPr>
                <w:rFonts w:hint="eastAsia" w:eastAsiaTheme="minorEastAsia"/>
                <w:iCs/>
                <w:sz w:val="21"/>
                <w:szCs w:val="22"/>
              </w:rPr>
              <w:t>Huawei, HiSilicon</w:t>
            </w:r>
          </w:p>
        </w:tc>
        <w:tc>
          <w:tcPr>
            <w:tcW w:w="3829" w:type="pct"/>
          </w:tcPr>
          <w:p w14:paraId="36E0F739">
            <w:pPr>
              <w:widowControl w:val="0"/>
              <w:autoSpaceDE w:val="0"/>
              <w:autoSpaceDN w:val="0"/>
              <w:adjustRightInd/>
              <w:snapToGrid/>
              <w:spacing w:after="0"/>
              <w:jc w:val="both"/>
              <w:rPr>
                <w:rFonts w:eastAsia="等线"/>
                <w:kern w:val="2"/>
                <w:sz w:val="20"/>
                <w:szCs w:val="20"/>
                <w:lang w:val="en-GB"/>
              </w:rPr>
            </w:pPr>
            <w:bookmarkStart w:id="22"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0" w:author="作者">
                      <w:rPr>
                        <w:rFonts w:ascii="Cambria Math" w:hAnsi="Cambria Math" w:eastAsia="等线"/>
                        <w:kern w:val="2"/>
                        <w:sz w:val="20"/>
                        <w:szCs w:val="20"/>
                        <w:lang w:val="en-GB"/>
                      </w:rPr>
                    </w:ins>
                  </m:ctrlPr>
                </m:sSubPr>
                <m:e>
                  <m:r>
                    <m:rPr>
                      <m:sty m:val="p"/>
                    </m:rPr>
                    <w:rPr>
                      <w:rFonts w:ascii="Cambria Math" w:hAnsi="Cambria Math" w:eastAsia="等线"/>
                      <w:kern w:val="2"/>
                      <w:sz w:val="20"/>
                      <w:szCs w:val="20"/>
                      <w:lang w:val="en-GB"/>
                    </w:rPr>
                    <m:t>N</m:t>
                  </m:r>
                  <m:ctrlPr>
                    <w:ins w:id="1" w:author="作者">
                      <w:rPr>
                        <w:rFonts w:ascii="Cambria Math" w:hAnsi="Cambria Math" w:eastAsia="等线"/>
                        <w:kern w:val="2"/>
                        <w:sz w:val="20"/>
                        <w:szCs w:val="20"/>
                        <w:lang w:val="en-GB"/>
                      </w:rPr>
                    </w:ins>
                  </m:ctrlPr>
                </m:e>
                <m:sub>
                  <m:r>
                    <m:rPr>
                      <m:sty m:val="p"/>
                    </m:rPr>
                    <w:rPr>
                      <w:rFonts w:ascii="Cambria Math" w:hAnsi="Cambria Math" w:eastAsia="等线"/>
                      <w:kern w:val="2"/>
                      <w:sz w:val="20"/>
                      <w:szCs w:val="20"/>
                      <w:lang w:val="en-GB"/>
                    </w:rPr>
                    <m:t>TA</m:t>
                  </m:r>
                  <m:ctrlPr>
                    <w:ins w:id="2" w:author="作者">
                      <w:rPr>
                        <w:rFonts w:ascii="Cambria Math" w:hAnsi="Cambria Math" w:eastAsia="等线"/>
                        <w:kern w:val="2"/>
                        <w:sz w:val="20"/>
                        <w:szCs w:val="20"/>
                        <w:lang w:val="en-GB"/>
                      </w:rPr>
                    </w:ins>
                  </m:ctrlPr>
                </m:sub>
              </m:sSub>
            </m:oMath>
            <w:r>
              <w:rPr>
                <w:rFonts w:eastAsia="等线"/>
                <w:kern w:val="2"/>
                <w:sz w:val="20"/>
                <w:szCs w:val="20"/>
                <w:lang w:val="en-GB"/>
              </w:rPr>
              <w:t xml:space="preserve"> between NR and 6GR should be aligned to avoid interference caused by misaligned frames.</w:t>
            </w:r>
            <w:bookmarkEnd w:id="22"/>
          </w:p>
          <w:p w14:paraId="6F79217E">
            <w:pPr>
              <w:widowControl w:val="0"/>
              <w:autoSpaceDE w:val="0"/>
              <w:autoSpaceDN w:val="0"/>
              <w:adjustRightInd/>
              <w:snapToGrid/>
              <w:spacing w:after="0"/>
              <w:jc w:val="both"/>
              <w:rPr>
                <w:rFonts w:eastAsia="等线"/>
                <w:b/>
                <w:bCs/>
                <w:kern w:val="2"/>
                <w:sz w:val="20"/>
                <w:szCs w:val="20"/>
                <w:lang w:val="en-GB" w:eastAsia="en-GB"/>
              </w:rPr>
            </w:pPr>
            <w:bookmarkStart w:id="23"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3"/>
            <w:r>
              <w:rPr>
                <w:rFonts w:eastAsia="等线"/>
                <w:kern w:val="2"/>
                <w:sz w:val="20"/>
                <w:szCs w:val="20"/>
                <w:lang w:val="en-GB"/>
              </w:rPr>
              <w:t xml:space="preserve"> </w:t>
            </w:r>
          </w:p>
        </w:tc>
      </w:tr>
      <w:tr w14:paraId="2B8F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0D36EF4">
            <w:pPr>
              <w:widowControl w:val="0"/>
              <w:autoSpaceDE w:val="0"/>
              <w:autoSpaceDN w:val="0"/>
              <w:jc w:val="both"/>
              <w:rPr>
                <w:rFonts w:eastAsiaTheme="minorEastAsia"/>
                <w:iCs/>
                <w:sz w:val="21"/>
                <w:szCs w:val="22"/>
              </w:rPr>
            </w:pPr>
            <w:r>
              <w:rPr>
                <w:rFonts w:hint="eastAsia" w:eastAsiaTheme="minorEastAsia"/>
                <w:iCs/>
                <w:sz w:val="21"/>
                <w:szCs w:val="22"/>
              </w:rPr>
              <w:t>OPPO</w:t>
            </w:r>
          </w:p>
        </w:tc>
        <w:tc>
          <w:tcPr>
            <w:tcW w:w="3829" w:type="pct"/>
          </w:tcPr>
          <w:p w14:paraId="0A545E9C">
            <w:pPr>
              <w:widowControl w:val="0"/>
              <w:autoSpaceDE w:val="0"/>
              <w:autoSpaceDN w:val="0"/>
              <w:adjustRightInd/>
              <w:snapToGrid/>
              <w:spacing w:after="0"/>
              <w:jc w:val="both"/>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pPr>
              <w:widowControl w:val="0"/>
              <w:autoSpaceDE w:val="0"/>
              <w:autoSpaceDN w:val="0"/>
              <w:adjustRightInd/>
              <w:snapToGrid/>
              <w:spacing w:after="0"/>
              <w:jc w:val="both"/>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5B33C52E">
            <w:pPr>
              <w:widowControl w:val="0"/>
              <w:autoSpaceDE w:val="0"/>
              <w:autoSpaceDN w:val="0"/>
              <w:adjustRightInd/>
              <w:snapToGrid/>
              <w:spacing w:after="0"/>
              <w:jc w:val="both"/>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pPr>
              <w:widowControl w:val="0"/>
              <w:autoSpaceDE w:val="0"/>
              <w:autoSpaceDN w:val="0"/>
              <w:adjustRightInd/>
              <w:snapToGrid/>
              <w:spacing w:after="0"/>
              <w:jc w:val="both"/>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pPr>
              <w:widowControl w:val="0"/>
              <w:autoSpaceDE w:val="0"/>
              <w:autoSpaceDN w:val="0"/>
              <w:adjustRightInd/>
              <w:snapToGrid/>
              <w:spacing w:after="0"/>
              <w:jc w:val="both"/>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0F1125E">
            <w:pPr>
              <w:widowControl w:val="0"/>
              <w:autoSpaceDE w:val="0"/>
              <w:autoSpaceDN w:val="0"/>
              <w:adjustRightInd/>
              <w:snapToGrid/>
              <w:spacing w:after="0"/>
              <w:jc w:val="both"/>
              <w:rPr>
                <w:rFonts w:eastAsia="MS Mincho"/>
                <w:sz w:val="20"/>
                <w:szCs w:val="20"/>
                <w:lang w:eastAsia="en-US"/>
              </w:rPr>
            </w:pPr>
            <w:r>
              <w:rPr>
                <w:rFonts w:eastAsia="MS Mincho"/>
                <w:sz w:val="20"/>
                <w:szCs w:val="20"/>
                <w:lang w:eastAsia="en-US"/>
              </w:rPr>
              <w:t>Proposal 35: High-level aspects to consider for NR-6GR MRSS include, but not limited to:</w:t>
            </w:r>
          </w:p>
          <w:p w14:paraId="5B5A6023">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UE/NW implementation complexity</w:t>
            </w:r>
          </w:p>
          <w:p w14:paraId="3526FD33">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Resource allocation coordination between NR-6GR</w:t>
            </w:r>
          </w:p>
          <w:p w14:paraId="33CC693E">
            <w:pPr>
              <w:widowControl w:val="0"/>
              <w:numPr>
                <w:ilvl w:val="2"/>
                <w:numId w:val="109"/>
              </w:numPr>
              <w:suppressAutoHyphens/>
              <w:autoSpaceDE w:val="0"/>
              <w:autoSpaceDN w:val="0"/>
              <w:adjustRightInd/>
              <w:snapToGrid/>
              <w:spacing w:after="0" w:line="278" w:lineRule="auto"/>
              <w:ind w:left="1320" w:hanging="440"/>
              <w:jc w:val="both"/>
              <w:rPr>
                <w:rFonts w:eastAsia="MS Mincho"/>
                <w:sz w:val="20"/>
                <w:szCs w:val="20"/>
                <w:lang w:eastAsia="en-US"/>
              </w:rPr>
            </w:pPr>
            <w:r>
              <w:rPr>
                <w:rFonts w:eastAsia="MS Mincho"/>
                <w:sz w:val="20"/>
                <w:szCs w:val="20"/>
                <w:lang w:eastAsia="en-US"/>
              </w:rPr>
              <w:t>Including whether NR and 6GR TRP are always co-located or not</w:t>
            </w:r>
          </w:p>
          <w:p w14:paraId="43EE2F96">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Radio resource utilization</w:t>
            </w:r>
          </w:p>
          <w:p w14:paraId="23A472F2">
            <w:pPr>
              <w:widowControl w:val="0"/>
              <w:numPr>
                <w:ilvl w:val="1"/>
                <w:numId w:val="109"/>
              </w:numPr>
              <w:suppressAutoHyphens/>
              <w:autoSpaceDE w:val="0"/>
              <w:autoSpaceDN w:val="0"/>
              <w:adjustRightInd/>
              <w:snapToGrid/>
              <w:spacing w:after="0" w:line="278" w:lineRule="auto"/>
              <w:ind w:left="880" w:hanging="440"/>
              <w:jc w:val="both"/>
              <w:rPr>
                <w:rFonts w:eastAsia="MS Mincho"/>
                <w:strike/>
                <w:color w:val="EE0000"/>
                <w:sz w:val="20"/>
                <w:szCs w:val="20"/>
                <w:lang w:eastAsia="en-US"/>
              </w:rPr>
            </w:pPr>
            <w:r>
              <w:rPr>
                <w:rFonts w:eastAsia="MS Mincho"/>
                <w:strike/>
                <w:color w:val="EE0000"/>
                <w:sz w:val="20"/>
                <w:szCs w:val="20"/>
                <w:lang w:eastAsia="en-US"/>
              </w:rPr>
              <w:t>Signalling overhead</w:t>
            </w:r>
          </w:p>
          <w:p w14:paraId="76DA8581">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Operating bands at least existing FR1</w:t>
            </w:r>
          </w:p>
          <w:p w14:paraId="38408CAA">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1F6137B1">
            <w:pPr>
              <w:widowControl w:val="0"/>
              <w:numPr>
                <w:ilvl w:val="1"/>
                <w:numId w:val="109"/>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6FA24449">
            <w:pPr>
              <w:widowControl w:val="0"/>
              <w:autoSpaceDE w:val="0"/>
              <w:autoSpaceDN w:val="0"/>
              <w:adjustRightInd/>
              <w:snapToGrid/>
              <w:spacing w:after="0"/>
              <w:ind w:left="440"/>
              <w:jc w:val="both"/>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F228D32">
            <w:pPr>
              <w:widowControl w:val="0"/>
              <w:numPr>
                <w:ilvl w:val="0"/>
                <w:numId w:val="110"/>
              </w:numPr>
              <w:autoSpaceDE w:val="0"/>
              <w:autoSpaceDN w:val="0"/>
              <w:adjustRightInd/>
              <w:snapToGrid/>
              <w:spacing w:after="0" w:line="278" w:lineRule="auto"/>
              <w:ind w:left="851" w:hanging="425"/>
              <w:jc w:val="both"/>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14:paraId="78D7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C507555">
            <w:pPr>
              <w:widowControl w:val="0"/>
              <w:autoSpaceDE w:val="0"/>
              <w:autoSpaceDN w:val="0"/>
              <w:jc w:val="both"/>
              <w:rPr>
                <w:rFonts w:eastAsiaTheme="minorEastAsia"/>
                <w:iCs/>
                <w:sz w:val="21"/>
                <w:szCs w:val="22"/>
              </w:rPr>
            </w:pPr>
            <w:r>
              <w:rPr>
                <w:rFonts w:hint="eastAsia" w:eastAsiaTheme="minorEastAsia"/>
                <w:iCs/>
                <w:sz w:val="21"/>
                <w:szCs w:val="22"/>
              </w:rPr>
              <w:t>CAT</w:t>
            </w:r>
            <w:r>
              <w:rPr>
                <w:rFonts w:eastAsiaTheme="minorEastAsia"/>
                <w:iCs/>
                <w:sz w:val="21"/>
                <w:szCs w:val="22"/>
              </w:rPr>
              <w:t>T, CICTCI</w:t>
            </w:r>
          </w:p>
        </w:tc>
        <w:tc>
          <w:tcPr>
            <w:tcW w:w="3829" w:type="pct"/>
          </w:tcPr>
          <w:p w14:paraId="75B2056F">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6957172B">
            <w:pPr>
              <w:widowControl w:val="0"/>
              <w:numPr>
                <w:ilvl w:val="0"/>
                <w:numId w:val="111"/>
              </w:numPr>
              <w:suppressAutoHyphens/>
              <w:autoSpaceDE w:val="0"/>
              <w:autoSpaceDN w:val="0"/>
              <w:adjustRightInd/>
              <w:snapToGrid/>
              <w:spacing w:after="0" w:line="252" w:lineRule="auto"/>
              <w:contextualSpacing/>
              <w:jc w:val="both"/>
              <w:rPr>
                <w:rFonts w:eastAsia="Batang"/>
                <w:bCs/>
                <w:sz w:val="20"/>
                <w:szCs w:val="20"/>
                <w:lang w:eastAsia="zh-CN"/>
              </w:rPr>
            </w:pPr>
            <w:r>
              <w:rPr>
                <w:rFonts w:eastAsia="Batang"/>
                <w:bCs/>
                <w:sz w:val="20"/>
                <w:szCs w:val="20"/>
                <w:lang w:eastAsia="zh-CN"/>
              </w:rPr>
              <w:t>Opt0: Semi-static TDM/FDM between NR and 6GR</w:t>
            </w:r>
          </w:p>
          <w:p w14:paraId="4D20C076">
            <w:pPr>
              <w:widowControl w:val="0"/>
              <w:numPr>
                <w:ilvl w:val="0"/>
                <w:numId w:val="111"/>
              </w:numPr>
              <w:suppressAutoHyphens/>
              <w:autoSpaceDE w:val="0"/>
              <w:autoSpaceDN w:val="0"/>
              <w:adjustRightInd/>
              <w:snapToGrid/>
              <w:spacing w:after="0" w:line="252" w:lineRule="auto"/>
              <w:contextualSpacing/>
              <w:jc w:val="both"/>
              <w:rPr>
                <w:rFonts w:eastAsia="Batang"/>
                <w:bCs/>
                <w:sz w:val="20"/>
                <w:szCs w:val="20"/>
                <w:lang w:eastAsia="zh-CN"/>
              </w:rPr>
            </w:pPr>
            <w:r>
              <w:rPr>
                <w:rFonts w:eastAsia="Batang"/>
                <w:bCs/>
                <w:sz w:val="20"/>
                <w:szCs w:val="20"/>
                <w:lang w:eastAsia="zh-CN"/>
              </w:rPr>
              <w:t>Opt2: Rate matching of 6GR signals/channels around NR signals/channels</w:t>
            </w:r>
          </w:p>
          <w:p w14:paraId="7C8441A9">
            <w:pPr>
              <w:widowControl w:val="0"/>
              <w:autoSpaceDE w:val="0"/>
              <w:autoSpaceDN w:val="0"/>
              <w:adjustRightInd/>
              <w:snapToGrid/>
              <w:spacing w:after="0"/>
              <w:jc w:val="both"/>
              <w:rPr>
                <w:rFonts w:eastAsia="宋体"/>
                <w:bCs/>
                <w:sz w:val="20"/>
                <w:szCs w:val="20"/>
              </w:rPr>
            </w:pPr>
          </w:p>
        </w:tc>
      </w:tr>
      <w:tr w14:paraId="01F8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D8F6245">
            <w:pPr>
              <w:widowControl w:val="0"/>
              <w:autoSpaceDE w:val="0"/>
              <w:autoSpaceDN w:val="0"/>
              <w:jc w:val="both"/>
              <w:rPr>
                <w:rFonts w:eastAsiaTheme="minorEastAsia"/>
                <w:iCs/>
                <w:sz w:val="21"/>
                <w:szCs w:val="22"/>
              </w:rPr>
            </w:pPr>
            <w:r>
              <w:rPr>
                <w:rFonts w:hint="eastAsia" w:eastAsiaTheme="minorEastAsia"/>
                <w:iCs/>
                <w:sz w:val="21"/>
                <w:szCs w:val="22"/>
              </w:rPr>
              <w:t>Xiaomi</w:t>
            </w:r>
          </w:p>
        </w:tc>
        <w:tc>
          <w:tcPr>
            <w:tcW w:w="3829" w:type="pct"/>
          </w:tcPr>
          <w:p w14:paraId="50B99C26">
            <w:pPr>
              <w:widowControl w:val="0"/>
              <w:autoSpaceDE w:val="0"/>
              <w:autoSpaceDN w:val="0"/>
              <w:spacing w:after="0"/>
              <w:jc w:val="both"/>
              <w:rPr>
                <w:rFonts w:eastAsia="宋体"/>
                <w:bCs/>
                <w:sz w:val="20"/>
                <w:szCs w:val="20"/>
                <w:lang w:val="zh-CN" w:eastAsia="en-US"/>
              </w:rPr>
            </w:pPr>
            <w:r>
              <w:rPr>
                <w:rFonts w:eastAsia="宋体"/>
                <w:bCs/>
                <w:sz w:val="20"/>
                <w:szCs w:val="20"/>
                <w:lang w:val="zh-CN"/>
              </w:rPr>
              <w:t xml:space="preserve">Proposal </w:t>
            </w:r>
            <w:r>
              <w:rPr>
                <w:rFonts w:eastAsia="等线"/>
                <w:bCs/>
                <w:sz w:val="20"/>
                <w:szCs w:val="20"/>
                <w:lang w:val="zh-CN"/>
              </w:rPr>
              <w:t>12</w:t>
            </w:r>
            <w:r>
              <w:rPr>
                <w:rFonts w:eastAsia="宋体"/>
                <w:bCs/>
                <w:sz w:val="20"/>
                <w:szCs w:val="20"/>
                <w:lang w:val="zh-CN" w:eastAsia="en-US"/>
              </w:rPr>
              <w:t>:</w:t>
            </w:r>
            <w:r>
              <w:rPr>
                <w:rFonts w:eastAsia="宋体"/>
                <w:bCs/>
                <w:sz w:val="20"/>
                <w:szCs w:val="20"/>
                <w:lang w:val="zh-CN"/>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val="zh-CN" w:eastAsia="en-US"/>
              </w:rPr>
              <w:t>.</w:t>
            </w:r>
          </w:p>
          <w:p w14:paraId="7BA848A6">
            <w:pPr>
              <w:widowControl w:val="0"/>
              <w:autoSpaceDE w:val="0"/>
              <w:autoSpaceDN w:val="0"/>
              <w:spacing w:after="0"/>
              <w:jc w:val="both"/>
              <w:rPr>
                <w:bCs/>
                <w:sz w:val="20"/>
                <w:szCs w:val="20"/>
                <w:lang w:val="zh-CN" w:eastAsia="en-US"/>
              </w:rPr>
            </w:pPr>
            <w:r>
              <w:rPr>
                <w:rFonts w:eastAsia="宋体"/>
                <w:bCs/>
                <w:sz w:val="20"/>
                <w:szCs w:val="20"/>
                <w:lang w:val="zh-CN"/>
              </w:rPr>
              <w:t xml:space="preserve">Proposal </w:t>
            </w:r>
            <w:r>
              <w:rPr>
                <w:rFonts w:eastAsia="等线"/>
                <w:bCs/>
                <w:sz w:val="20"/>
                <w:szCs w:val="20"/>
                <w:lang w:val="zh-CN"/>
              </w:rPr>
              <w:t>13</w:t>
            </w:r>
            <w:r>
              <w:rPr>
                <w:rFonts w:eastAsia="宋体"/>
                <w:bCs/>
                <w:sz w:val="20"/>
                <w:szCs w:val="20"/>
                <w:lang w:val="zh-CN" w:eastAsia="en-US"/>
              </w:rPr>
              <w:t>:</w:t>
            </w:r>
            <w:r>
              <w:rPr>
                <w:rFonts w:eastAsia="宋体"/>
                <w:bCs/>
                <w:sz w:val="20"/>
                <w:szCs w:val="20"/>
                <w:lang w:val="zh-CN"/>
              </w:rPr>
              <w:t xml:space="preserve"> For MRSS, RE-level and RB-level rate-matching mechanisms which have been specified in NR for NR-LTE coexistence can be also reused for 5G-6G coexistence.</w:t>
            </w:r>
          </w:p>
        </w:tc>
      </w:tr>
      <w:tr w14:paraId="5186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387F3AF">
            <w:pPr>
              <w:widowControl w:val="0"/>
              <w:autoSpaceDE w:val="0"/>
              <w:autoSpaceDN w:val="0"/>
              <w:jc w:val="both"/>
              <w:rPr>
                <w:rFonts w:eastAsiaTheme="minorEastAsia"/>
                <w:iCs/>
                <w:sz w:val="21"/>
                <w:szCs w:val="22"/>
              </w:rPr>
            </w:pPr>
            <w:r>
              <w:rPr>
                <w:rFonts w:hint="eastAsia" w:eastAsiaTheme="minorEastAsia"/>
                <w:iCs/>
                <w:sz w:val="21"/>
                <w:szCs w:val="22"/>
              </w:rPr>
              <w:t>vivo</w:t>
            </w:r>
          </w:p>
        </w:tc>
        <w:tc>
          <w:tcPr>
            <w:tcW w:w="3829" w:type="pct"/>
          </w:tcPr>
          <w:p w14:paraId="319C37BA">
            <w:pPr>
              <w:widowControl w:val="0"/>
              <w:autoSpaceDE w:val="0"/>
              <w:autoSpaceDN w:val="0"/>
              <w:adjustRightInd/>
              <w:snapToGrid/>
              <w:spacing w:after="0"/>
              <w:ind w:left="6"/>
              <w:jc w:val="both"/>
              <w:rPr>
                <w:rFonts w:eastAsia="宋体"/>
                <w:bCs/>
                <w:sz w:val="20"/>
                <w:szCs w:val="20"/>
              </w:rPr>
            </w:pPr>
            <w:bookmarkStart w:id="24"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4"/>
            <w:r>
              <w:rPr>
                <w:rFonts w:eastAsia="宋体"/>
                <w:bCs/>
                <w:sz w:val="20"/>
                <w:szCs w:val="20"/>
              </w:rPr>
              <w:t xml:space="preserve">  </w:t>
            </w:r>
          </w:p>
          <w:p w14:paraId="5112990F">
            <w:pPr>
              <w:widowControl w:val="0"/>
              <w:autoSpaceDE w:val="0"/>
              <w:autoSpaceDN w:val="0"/>
              <w:adjustRightInd/>
              <w:snapToGrid/>
              <w:spacing w:after="0"/>
              <w:ind w:left="6"/>
              <w:jc w:val="both"/>
              <w:rPr>
                <w:rFonts w:eastAsia="宋体"/>
                <w:bCs/>
                <w:sz w:val="20"/>
                <w:szCs w:val="20"/>
              </w:rPr>
            </w:pPr>
            <w:bookmarkStart w:id="25"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5"/>
            <w:r>
              <w:rPr>
                <w:rFonts w:eastAsia="宋体"/>
                <w:bCs/>
                <w:sz w:val="20"/>
                <w:szCs w:val="20"/>
              </w:rPr>
              <w:t xml:space="preserve"> </w:t>
            </w:r>
          </w:p>
        </w:tc>
      </w:tr>
      <w:tr w14:paraId="7D7C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9A7BE39">
            <w:pPr>
              <w:widowControl w:val="0"/>
              <w:autoSpaceDE w:val="0"/>
              <w:autoSpaceDN w:val="0"/>
              <w:jc w:val="both"/>
              <w:rPr>
                <w:rFonts w:eastAsiaTheme="minorEastAsia"/>
                <w:iCs/>
                <w:sz w:val="21"/>
                <w:szCs w:val="22"/>
              </w:rPr>
            </w:pPr>
            <w:r>
              <w:rPr>
                <w:rFonts w:hint="eastAsia" w:eastAsiaTheme="minorEastAsia"/>
                <w:iCs/>
                <w:sz w:val="21"/>
                <w:szCs w:val="22"/>
              </w:rPr>
              <w:t>Lenovo</w:t>
            </w:r>
          </w:p>
        </w:tc>
        <w:tc>
          <w:tcPr>
            <w:tcW w:w="3829" w:type="pct"/>
          </w:tcPr>
          <w:p w14:paraId="73396FA3">
            <w:pPr>
              <w:widowControl w:val="0"/>
              <w:autoSpaceDE w:val="0"/>
              <w:autoSpaceDN w:val="0"/>
              <w:adjustRightInd/>
              <w:snapToGrid/>
              <w:spacing w:after="0" w:line="259" w:lineRule="auto"/>
              <w:jc w:val="both"/>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14:paraId="3F1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6BAB183">
            <w:pPr>
              <w:widowControl w:val="0"/>
              <w:autoSpaceDE w:val="0"/>
              <w:autoSpaceDN w:val="0"/>
              <w:jc w:val="both"/>
              <w:rPr>
                <w:rFonts w:eastAsiaTheme="minorEastAsia"/>
                <w:iCs/>
                <w:sz w:val="21"/>
                <w:szCs w:val="22"/>
              </w:rPr>
            </w:pPr>
            <w:r>
              <w:rPr>
                <w:rFonts w:hint="eastAsia" w:eastAsiaTheme="minorEastAsia"/>
                <w:iCs/>
                <w:sz w:val="21"/>
                <w:szCs w:val="22"/>
              </w:rPr>
              <w:t>NVIDIA</w:t>
            </w:r>
          </w:p>
        </w:tc>
        <w:tc>
          <w:tcPr>
            <w:tcW w:w="3829" w:type="pct"/>
          </w:tcPr>
          <w:p w14:paraId="3338BDF1">
            <w:pPr>
              <w:widowControl w:val="0"/>
              <w:autoSpaceDE w:val="0"/>
              <w:autoSpaceDN w:val="0"/>
              <w:adjustRightInd/>
              <w:snapToGrid/>
              <w:spacing w:after="0" w:line="278" w:lineRule="auto"/>
              <w:jc w:val="both"/>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22DB87BE">
            <w:pPr>
              <w:widowControl w:val="0"/>
              <w:numPr>
                <w:ilvl w:val="0"/>
                <w:numId w:val="112"/>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5AF3388C">
            <w:pPr>
              <w:widowControl w:val="0"/>
              <w:numPr>
                <w:ilvl w:val="0"/>
                <w:numId w:val="112"/>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3FCD395D">
            <w:pPr>
              <w:widowControl w:val="0"/>
              <w:numPr>
                <w:ilvl w:val="0"/>
                <w:numId w:val="112"/>
              </w:numPr>
              <w:overflowPunct w:val="0"/>
              <w:autoSpaceDE w:val="0"/>
              <w:autoSpaceDN w:val="0"/>
              <w:adjustRightInd/>
              <w:snapToGrid/>
              <w:spacing w:after="0" w:line="278" w:lineRule="auto"/>
              <w:ind w:left="720"/>
              <w:contextualSpacing/>
              <w:jc w:val="both"/>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14:paraId="6F67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CF5B3F1">
            <w:pPr>
              <w:widowControl w:val="0"/>
              <w:autoSpaceDE w:val="0"/>
              <w:autoSpaceDN w:val="0"/>
              <w:jc w:val="both"/>
              <w:rPr>
                <w:rFonts w:eastAsiaTheme="minorEastAsia"/>
                <w:iCs/>
                <w:sz w:val="21"/>
                <w:szCs w:val="22"/>
              </w:rPr>
            </w:pPr>
            <w:r>
              <w:rPr>
                <w:rFonts w:hint="eastAsia" w:eastAsiaTheme="minorEastAsia"/>
                <w:iCs/>
                <w:sz w:val="21"/>
                <w:szCs w:val="22"/>
              </w:rPr>
              <w:t>Ofinno</w:t>
            </w:r>
          </w:p>
        </w:tc>
        <w:tc>
          <w:tcPr>
            <w:tcW w:w="3829" w:type="pct"/>
          </w:tcPr>
          <w:p w14:paraId="4904E55D">
            <w:pPr>
              <w:widowControl w:val="0"/>
              <w:suppressAutoHyphens/>
              <w:autoSpaceDE w:val="0"/>
              <w:autoSpaceDN w:val="0"/>
              <w:adjustRightInd/>
              <w:snapToGrid/>
              <w:spacing w:after="0" w:line="259" w:lineRule="auto"/>
              <w:jc w:val="both"/>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5BDFFF32">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UE/NW implementation complexity</w:t>
            </w:r>
          </w:p>
          <w:p w14:paraId="3B4DF5E9">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38DFAFD4">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78693D17">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Operating bands at least existing FR1</w:t>
            </w:r>
          </w:p>
          <w:p w14:paraId="78599CD4">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E26C6D">
            <w:pPr>
              <w:widowControl w:val="0"/>
              <w:numPr>
                <w:ilvl w:val="0"/>
                <w:numId w:val="109"/>
              </w:numPr>
              <w:suppressAutoHyphens/>
              <w:overflowPunct w:val="0"/>
              <w:autoSpaceDE w:val="0"/>
              <w:autoSpaceDN w:val="0"/>
              <w:adjustRightInd/>
              <w:snapToGrid/>
              <w:spacing w:after="0" w:line="259" w:lineRule="auto"/>
              <w:jc w:val="both"/>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29664B5E">
            <w:pPr>
              <w:widowControl w:val="0"/>
              <w:overflowPunct w:val="0"/>
              <w:autoSpaceDE w:val="0"/>
              <w:autoSpaceDN w:val="0"/>
              <w:snapToGrid/>
              <w:spacing w:after="0"/>
              <w:jc w:val="both"/>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546630B6">
            <w:pPr>
              <w:widowControl w:val="0"/>
              <w:overflowPunct w:val="0"/>
              <w:autoSpaceDE w:val="0"/>
              <w:autoSpaceDN w:val="0"/>
              <w:snapToGrid/>
              <w:spacing w:after="0"/>
              <w:jc w:val="both"/>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14:paraId="28AE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2D6BE00">
            <w:pPr>
              <w:widowControl w:val="0"/>
              <w:autoSpaceDE w:val="0"/>
              <w:autoSpaceDN w:val="0"/>
              <w:jc w:val="both"/>
              <w:rPr>
                <w:rFonts w:eastAsiaTheme="minorEastAsia"/>
                <w:iCs/>
                <w:sz w:val="21"/>
                <w:szCs w:val="22"/>
              </w:rPr>
            </w:pPr>
            <w:r>
              <w:rPr>
                <w:rFonts w:hint="eastAsia" w:eastAsiaTheme="minorEastAsia"/>
                <w:iCs/>
                <w:sz w:val="21"/>
                <w:szCs w:val="22"/>
              </w:rPr>
              <w:t>NEC</w:t>
            </w:r>
          </w:p>
        </w:tc>
        <w:tc>
          <w:tcPr>
            <w:tcW w:w="3829" w:type="pct"/>
          </w:tcPr>
          <w:p w14:paraId="33440335">
            <w:pPr>
              <w:widowControl w:val="0"/>
              <w:overflowPunct w:val="0"/>
              <w:autoSpaceDE w:val="0"/>
              <w:autoSpaceDN w:val="0"/>
              <w:snapToGrid/>
              <w:spacing w:after="0"/>
              <w:jc w:val="both"/>
              <w:textAlignment w:val="baseline"/>
              <w:rPr>
                <w:rFonts w:eastAsia="等线"/>
                <w:bCs/>
                <w:sz w:val="20"/>
                <w:szCs w:val="20"/>
                <w:lang w:val="en-GB" w:eastAsia="zh-CN"/>
              </w:rPr>
            </w:pPr>
            <w:r>
              <w:rPr>
                <w:rFonts w:eastAsia="等线"/>
                <w:bCs/>
                <w:sz w:val="20"/>
                <w:szCs w:val="20"/>
                <w:lang w:val="en-GB" w:eastAsia="zh-CN"/>
              </w:rPr>
              <w:t xml:space="preserve">Proposal </w:t>
            </w:r>
            <w:r>
              <w:rPr>
                <w:rFonts w:eastAsia="等线"/>
                <w:bCs/>
                <w:sz w:val="20"/>
                <w:szCs w:val="20"/>
                <w:lang w:val="en-GB"/>
              </w:rPr>
              <w:t>7</w:t>
            </w:r>
            <w:r>
              <w:rPr>
                <w:rFonts w:eastAsia="等线"/>
                <w:bCs/>
                <w:sz w:val="20"/>
                <w:szCs w:val="20"/>
                <w:lang w:val="en-GB" w:eastAsia="zh-CN"/>
              </w:rPr>
              <w:t>: Study tight interworking for spectrum sharing between 6GR and 5G NR, at least including:</w:t>
            </w:r>
          </w:p>
          <w:p w14:paraId="533BCFCF">
            <w:pPr>
              <w:widowControl w:val="0"/>
              <w:numPr>
                <w:ilvl w:val="0"/>
                <w:numId w:val="113"/>
              </w:numPr>
              <w:overflowPunct w:val="0"/>
              <w:autoSpaceDE w:val="0"/>
              <w:autoSpaceDN w:val="0"/>
              <w:adjustRightInd/>
              <w:snapToGrid/>
              <w:spacing w:after="0"/>
              <w:ind w:left="720"/>
              <w:jc w:val="both"/>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38A023F2">
            <w:pPr>
              <w:widowControl w:val="0"/>
              <w:numPr>
                <w:ilvl w:val="0"/>
                <w:numId w:val="113"/>
              </w:numPr>
              <w:overflowPunct w:val="0"/>
              <w:autoSpaceDE w:val="0"/>
              <w:autoSpaceDN w:val="0"/>
              <w:adjustRightInd/>
              <w:snapToGrid/>
              <w:spacing w:after="0"/>
              <w:ind w:left="720"/>
              <w:jc w:val="both"/>
              <w:textAlignment w:val="baseline"/>
              <w:rPr>
                <w:rFonts w:eastAsia="等线"/>
                <w:bCs/>
                <w:sz w:val="20"/>
                <w:szCs w:val="20"/>
                <w:lang w:val="en-GB" w:eastAsia="zh-CN"/>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728FDC65">
            <w:pPr>
              <w:widowControl w:val="0"/>
              <w:numPr>
                <w:ilvl w:val="0"/>
                <w:numId w:val="113"/>
              </w:numPr>
              <w:overflowPunct w:val="0"/>
              <w:autoSpaceDE w:val="0"/>
              <w:autoSpaceDN w:val="0"/>
              <w:adjustRightInd/>
              <w:snapToGrid/>
              <w:spacing w:after="0"/>
              <w:ind w:left="720"/>
              <w:jc w:val="both"/>
              <w:textAlignment w:val="baseline"/>
              <w:rPr>
                <w:rFonts w:eastAsia="等线"/>
                <w:bCs/>
                <w:sz w:val="20"/>
                <w:szCs w:val="20"/>
                <w:lang w:val="en-GB" w:eastAsia="zh-CN"/>
              </w:rPr>
            </w:pPr>
            <w:r>
              <w:rPr>
                <w:rFonts w:eastAsia="等线"/>
                <w:bCs/>
                <w:sz w:val="20"/>
                <w:szCs w:val="20"/>
                <w:lang w:val="en-GB" w:eastAsia="zh-CN"/>
              </w:rPr>
              <w:t xml:space="preserve">study reusing 5G </w:t>
            </w:r>
            <w:r>
              <w:rPr>
                <w:rFonts w:eastAsia="Yu Mincho"/>
                <w:bCs/>
                <w:sz w:val="20"/>
                <w:szCs w:val="20"/>
                <w:lang w:val="en-GB" w:eastAsia="ja-JP"/>
              </w:rPr>
              <w:t xml:space="preserve">NR </w:t>
            </w:r>
            <w:r>
              <w:rPr>
                <w:rFonts w:eastAsia="等线"/>
                <w:bCs/>
                <w:sz w:val="20"/>
                <w:szCs w:val="20"/>
                <w:lang w:val="en-GB" w:eastAsia="zh-CN"/>
              </w:rPr>
              <w:t>Reference Signals (e.g., CSI−RS) for 6G</w:t>
            </w:r>
            <w:r>
              <w:rPr>
                <w:rFonts w:eastAsia="Yu Mincho"/>
                <w:bCs/>
                <w:sz w:val="20"/>
                <w:szCs w:val="20"/>
                <w:lang w:val="en-GB" w:eastAsia="ja-JP"/>
              </w:rPr>
              <w:t>R</w:t>
            </w:r>
            <w:r>
              <w:rPr>
                <w:rFonts w:eastAsia="等线"/>
                <w:bCs/>
                <w:sz w:val="20"/>
                <w:szCs w:val="20"/>
                <w:lang w:val="en-GB" w:eastAsia="zh-CN"/>
              </w:rPr>
              <w:t xml:space="preserve"> channel measurements in co-located deployments to improve efficiency</w:t>
            </w:r>
          </w:p>
          <w:p w14:paraId="1406F499">
            <w:pPr>
              <w:widowControl w:val="0"/>
              <w:numPr>
                <w:ilvl w:val="0"/>
                <w:numId w:val="113"/>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69E24641">
            <w:pPr>
              <w:widowControl w:val="0"/>
              <w:numPr>
                <w:ilvl w:val="0"/>
                <w:numId w:val="113"/>
              </w:numPr>
              <w:overflowPunct w:val="0"/>
              <w:autoSpaceDE w:val="0"/>
              <w:autoSpaceDN w:val="0"/>
              <w:adjustRightInd/>
              <w:snapToGrid/>
              <w:spacing w:after="0"/>
              <w:ind w:left="720"/>
              <w:jc w:val="both"/>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14:paraId="0116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B1076E7">
            <w:pPr>
              <w:widowControl w:val="0"/>
              <w:autoSpaceDE w:val="0"/>
              <w:autoSpaceDN w:val="0"/>
              <w:jc w:val="both"/>
              <w:rPr>
                <w:rFonts w:eastAsiaTheme="minorEastAsia"/>
                <w:iCs/>
                <w:sz w:val="21"/>
                <w:szCs w:val="22"/>
              </w:rPr>
            </w:pPr>
            <w:r>
              <w:rPr>
                <w:rFonts w:hint="eastAsia" w:eastAsiaTheme="minorEastAsia"/>
                <w:iCs/>
                <w:sz w:val="21"/>
                <w:szCs w:val="22"/>
              </w:rPr>
              <w:t>Samsung</w:t>
            </w:r>
          </w:p>
        </w:tc>
        <w:tc>
          <w:tcPr>
            <w:tcW w:w="3829" w:type="pct"/>
          </w:tcPr>
          <w:p w14:paraId="01AE5024">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17452EDA">
            <w:pPr>
              <w:widowControl w:val="0"/>
              <w:numPr>
                <w:ilvl w:val="0"/>
                <w:numId w:val="109"/>
              </w:numPr>
              <w:autoSpaceDE w:val="0"/>
              <w:autoSpaceDN w:val="0"/>
              <w:adjustRightInd/>
              <w:snapToGrid/>
              <w:spacing w:after="0" w:line="259" w:lineRule="auto"/>
              <w:jc w:val="both"/>
              <w:rPr>
                <w:rFonts w:eastAsia="Malgun Gothic"/>
                <w:bCs/>
                <w:kern w:val="2"/>
                <w:sz w:val="20"/>
                <w:szCs w:val="20"/>
              </w:rPr>
            </w:pPr>
            <w:r>
              <w:rPr>
                <w:rFonts w:eastAsia="Malgun Gothic"/>
                <w:bCs/>
                <w:kern w:val="2"/>
                <w:sz w:val="20"/>
                <w:szCs w:val="20"/>
              </w:rPr>
              <w:t>High-level aspects to consider for NR-6GR MRSS include, but not limited to</w:t>
            </w:r>
          </w:p>
          <w:p w14:paraId="54231665">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UE/NW implementation complexity</w:t>
            </w:r>
          </w:p>
          <w:p w14:paraId="611F102F">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Resource allocation coordination between NR-6GR</w:t>
            </w:r>
          </w:p>
          <w:p w14:paraId="7FBCBFB3">
            <w:pPr>
              <w:widowControl w:val="0"/>
              <w:numPr>
                <w:ilvl w:val="2"/>
                <w:numId w:val="109"/>
              </w:numPr>
              <w:autoSpaceDE w:val="0"/>
              <w:autoSpaceDN w:val="0"/>
              <w:adjustRightInd/>
              <w:snapToGrid/>
              <w:spacing w:after="0" w:line="259" w:lineRule="auto"/>
              <w:ind w:left="1320" w:hanging="440"/>
              <w:jc w:val="both"/>
              <w:rPr>
                <w:rFonts w:eastAsia="Malgun Gothic"/>
                <w:bCs/>
                <w:kern w:val="2"/>
                <w:sz w:val="20"/>
                <w:szCs w:val="20"/>
              </w:rPr>
            </w:pPr>
            <w:r>
              <w:rPr>
                <w:rFonts w:eastAsia="Malgun Gothic"/>
                <w:bCs/>
                <w:kern w:val="2"/>
                <w:sz w:val="20"/>
                <w:szCs w:val="20"/>
              </w:rPr>
              <w:t>Including whether NR and 6GR TRP are always co-located or not</w:t>
            </w:r>
          </w:p>
          <w:p w14:paraId="0713340F">
            <w:pPr>
              <w:widowControl w:val="0"/>
              <w:numPr>
                <w:ilvl w:val="1"/>
                <w:numId w:val="109"/>
              </w:numPr>
              <w:autoSpaceDE w:val="0"/>
              <w:autoSpaceDN w:val="0"/>
              <w:adjustRightInd/>
              <w:snapToGrid/>
              <w:spacing w:after="0" w:line="259" w:lineRule="auto"/>
              <w:ind w:left="880" w:hanging="440"/>
              <w:jc w:val="both"/>
              <w:rPr>
                <w:rFonts w:eastAsia="Malgun Gothic"/>
                <w:bCs/>
                <w:color w:val="FF0000"/>
                <w:kern w:val="2"/>
                <w:sz w:val="20"/>
                <w:szCs w:val="20"/>
              </w:rPr>
            </w:pPr>
            <w:r>
              <w:rPr>
                <w:rFonts w:eastAsia="Malgun Gothic"/>
                <w:bCs/>
                <w:color w:val="FF0000"/>
                <w:kern w:val="2"/>
                <w:sz w:val="20"/>
                <w:szCs w:val="20"/>
              </w:rPr>
              <w:t>Rate of traffic variations over time</w:t>
            </w:r>
          </w:p>
          <w:p w14:paraId="06C0EB02">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Radio resource utilization</w:t>
            </w:r>
          </w:p>
          <w:p w14:paraId="3204711D">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6F7420A7">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Unified MRSS technique across all the bands where MRSS is applicable</w:t>
            </w:r>
          </w:p>
          <w:p w14:paraId="55158C92">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Alignment in time/frequency resource grid </w:t>
            </w:r>
          </w:p>
          <w:p w14:paraId="36BE9814">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MRSS of different RRC states</w:t>
            </w:r>
          </w:p>
          <w:p w14:paraId="48DD0557">
            <w:pPr>
              <w:widowControl w:val="0"/>
              <w:numPr>
                <w:ilvl w:val="1"/>
                <w:numId w:val="109"/>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Interoperability between different vendors</w:t>
            </w:r>
          </w:p>
          <w:p w14:paraId="6222BEC8">
            <w:pPr>
              <w:widowControl w:val="0"/>
              <w:numPr>
                <w:ilvl w:val="1"/>
                <w:numId w:val="109"/>
              </w:numPr>
              <w:autoSpaceDE w:val="0"/>
              <w:autoSpaceDN w:val="0"/>
              <w:adjustRightInd/>
              <w:snapToGrid/>
              <w:spacing w:after="0" w:line="259" w:lineRule="auto"/>
              <w:ind w:left="880" w:hanging="440"/>
              <w:jc w:val="both"/>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69FDF93D">
            <w:pPr>
              <w:widowControl w:val="0"/>
              <w:numPr>
                <w:ilvl w:val="1"/>
                <w:numId w:val="109"/>
              </w:numPr>
              <w:autoSpaceDE w:val="0"/>
              <w:autoSpaceDN w:val="0"/>
              <w:adjustRightInd/>
              <w:snapToGrid/>
              <w:spacing w:after="0" w:line="259" w:lineRule="auto"/>
              <w:ind w:left="880" w:hanging="440"/>
              <w:jc w:val="both"/>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F4F794B">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36ED0DCF">
            <w:pPr>
              <w:widowControl w:val="0"/>
              <w:numPr>
                <w:ilvl w:val="0"/>
                <w:numId w:val="114"/>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F3796B1">
            <w:pPr>
              <w:widowControl w:val="0"/>
              <w:numPr>
                <w:ilvl w:val="0"/>
                <w:numId w:val="114"/>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643CDCB1">
            <w:pPr>
              <w:widowControl w:val="0"/>
              <w:numPr>
                <w:ilvl w:val="0"/>
                <w:numId w:val="115"/>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 sharing of 6GR SSB with NR SSB;</w:t>
            </w:r>
          </w:p>
          <w:p w14:paraId="0DEB6026">
            <w:pPr>
              <w:widowControl w:val="0"/>
              <w:numPr>
                <w:ilvl w:val="0"/>
                <w:numId w:val="115"/>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6GR signals and channels are to be designed based on 6G KPIs, independently from NR design / presence;</w:t>
            </w:r>
          </w:p>
          <w:p w14:paraId="19D45039">
            <w:pPr>
              <w:widowControl w:val="0"/>
              <w:numPr>
                <w:ilvl w:val="0"/>
                <w:numId w:val="115"/>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14:paraId="7E8A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1857E71">
            <w:pPr>
              <w:widowControl w:val="0"/>
              <w:autoSpaceDE w:val="0"/>
              <w:autoSpaceDN w:val="0"/>
              <w:jc w:val="both"/>
              <w:rPr>
                <w:rFonts w:eastAsiaTheme="minorEastAsia"/>
                <w:iCs/>
                <w:sz w:val="21"/>
                <w:szCs w:val="22"/>
              </w:rPr>
            </w:pPr>
            <w:r>
              <w:rPr>
                <w:rFonts w:hint="eastAsia" w:eastAsiaTheme="minorEastAsia"/>
                <w:iCs/>
                <w:sz w:val="21"/>
                <w:szCs w:val="22"/>
              </w:rPr>
              <w:t>Interdigital</w:t>
            </w:r>
          </w:p>
        </w:tc>
        <w:tc>
          <w:tcPr>
            <w:tcW w:w="3829" w:type="pct"/>
          </w:tcPr>
          <w:p w14:paraId="0950939D">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733BB5D0">
            <w:pPr>
              <w:widowControl w:val="0"/>
              <w:numPr>
                <w:ilvl w:val="0"/>
                <w:numId w:val="116"/>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Semi-static time and/or frequency resource partitioning </w:t>
            </w:r>
          </w:p>
          <w:p w14:paraId="54BAED37">
            <w:pPr>
              <w:widowControl w:val="0"/>
              <w:numPr>
                <w:ilvl w:val="0"/>
                <w:numId w:val="116"/>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222B2C2D">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6D4A81FA">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5E694689">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7C3D335">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14:paraId="49DD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D70951D">
            <w:pPr>
              <w:widowControl w:val="0"/>
              <w:autoSpaceDE w:val="0"/>
              <w:autoSpaceDN w:val="0"/>
              <w:jc w:val="both"/>
              <w:rPr>
                <w:rFonts w:eastAsiaTheme="minorEastAsia"/>
                <w:iCs/>
                <w:sz w:val="21"/>
                <w:szCs w:val="22"/>
              </w:rPr>
            </w:pPr>
            <w:r>
              <w:rPr>
                <w:rFonts w:hint="eastAsia" w:eastAsiaTheme="minorEastAsia"/>
                <w:iCs/>
                <w:sz w:val="21"/>
                <w:szCs w:val="22"/>
              </w:rPr>
              <w:t>MediaTek</w:t>
            </w:r>
          </w:p>
        </w:tc>
        <w:tc>
          <w:tcPr>
            <w:tcW w:w="3829" w:type="pct"/>
          </w:tcPr>
          <w:p w14:paraId="03153375">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394ADD5">
            <w:pPr>
              <w:widowControl w:val="0"/>
              <w:autoSpaceDE w:val="0"/>
              <w:autoSpaceDN w:val="0"/>
              <w:adjustRightInd/>
              <w:snapToGrid/>
              <w:spacing w:after="0"/>
              <w:jc w:val="both"/>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14:paraId="0F10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115152D">
            <w:pPr>
              <w:widowControl w:val="0"/>
              <w:autoSpaceDE w:val="0"/>
              <w:autoSpaceDN w:val="0"/>
              <w:jc w:val="both"/>
              <w:rPr>
                <w:rFonts w:eastAsiaTheme="minorEastAsia"/>
                <w:iCs/>
                <w:sz w:val="21"/>
                <w:szCs w:val="22"/>
              </w:rPr>
            </w:pPr>
            <w:r>
              <w:rPr>
                <w:rFonts w:hint="eastAsia" w:eastAsiaTheme="minorEastAsia"/>
                <w:iCs/>
                <w:sz w:val="21"/>
                <w:szCs w:val="22"/>
              </w:rPr>
              <w:t>ETRI</w:t>
            </w:r>
          </w:p>
        </w:tc>
        <w:tc>
          <w:tcPr>
            <w:tcW w:w="3829" w:type="pct"/>
          </w:tcPr>
          <w:p w14:paraId="30DA4B2C">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1829912">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Opt0: Semi-static TDM/FDM between NR and 6GR</w:t>
            </w:r>
          </w:p>
          <w:p w14:paraId="4A372952">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Opt1: NR signal sharing with 6GR</w:t>
            </w:r>
          </w:p>
          <w:p w14:paraId="41390A34">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4493772">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Opt3: SDM between NR and 6GR</w:t>
            </w:r>
          </w:p>
          <w:p w14:paraId="47E0DFFD">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18FDC301">
            <w:pPr>
              <w:widowControl w:val="0"/>
              <w:autoSpaceDE w:val="0"/>
              <w:autoSpaceDN w:val="0"/>
              <w:adjustRightInd/>
              <w:snapToGrid/>
              <w:spacing w:after="0" w:line="276" w:lineRule="auto"/>
              <w:jc w:val="both"/>
              <w:rPr>
                <w:rFonts w:eastAsia="Malgun Gothic"/>
                <w:bCs/>
                <w:sz w:val="20"/>
                <w:szCs w:val="20"/>
                <w:lang w:eastAsia="ko-KR"/>
              </w:rPr>
            </w:pPr>
          </w:p>
          <w:p w14:paraId="5A2ECBE3">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5050AB17">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numerology, e.g., common/compatible SCS, aligned symbols</w:t>
            </w:r>
          </w:p>
          <w:p w14:paraId="41C07336">
            <w:pPr>
              <w:widowControl w:val="0"/>
              <w:numPr>
                <w:ilvl w:val="0"/>
                <w:numId w:val="36"/>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TDD grid, e.g., aligned TDD switch points</w:t>
            </w:r>
          </w:p>
        </w:tc>
      </w:tr>
      <w:tr w14:paraId="1D70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0C8E370">
            <w:pPr>
              <w:widowControl w:val="0"/>
              <w:autoSpaceDE w:val="0"/>
              <w:autoSpaceDN w:val="0"/>
              <w:jc w:val="both"/>
              <w:rPr>
                <w:rFonts w:eastAsiaTheme="minorEastAsia"/>
                <w:iCs/>
                <w:sz w:val="21"/>
                <w:szCs w:val="22"/>
              </w:rPr>
            </w:pPr>
            <w:r>
              <w:rPr>
                <w:rFonts w:hint="eastAsia" w:eastAsiaTheme="minorEastAsia"/>
                <w:iCs/>
                <w:sz w:val="21"/>
                <w:szCs w:val="22"/>
              </w:rPr>
              <w:t>NTT DOCOMO</w:t>
            </w:r>
          </w:p>
        </w:tc>
        <w:tc>
          <w:tcPr>
            <w:tcW w:w="3829" w:type="pct"/>
          </w:tcPr>
          <w:p w14:paraId="05C9E947">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23:</w:t>
            </w:r>
          </w:p>
          <w:p w14:paraId="2E06F501">
            <w:pPr>
              <w:widowControl w:val="0"/>
              <w:numPr>
                <w:ilvl w:val="0"/>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BF1E14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24:</w:t>
            </w:r>
          </w:p>
          <w:p w14:paraId="695C70A7">
            <w:pPr>
              <w:widowControl w:val="0"/>
              <w:numPr>
                <w:ilvl w:val="0"/>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agree Proposal 6.1 in overall agenda of RAN1#123, i.e.,</w:t>
            </w:r>
          </w:p>
          <w:p w14:paraId="1A5AAD48">
            <w:pPr>
              <w:widowControl w:val="0"/>
              <w:numPr>
                <w:ilvl w:val="1"/>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23B66B3D">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83CD2F6">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075EC00">
            <w:pPr>
              <w:widowControl w:val="0"/>
              <w:numPr>
                <w:ilvl w:val="3"/>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06EBA487">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913916F">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1EBF0041">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2079888B">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7178088C">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24ECCAB6">
            <w:pPr>
              <w:widowControl w:val="0"/>
              <w:numPr>
                <w:ilvl w:val="2"/>
                <w:numId w:val="73"/>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2978AB">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25:</w:t>
            </w:r>
          </w:p>
          <w:p w14:paraId="7106F5B6">
            <w:pPr>
              <w:widowControl w:val="0"/>
              <w:numPr>
                <w:ilvl w:val="0"/>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No special handling of frame structure is expected for MRSS</w:t>
            </w:r>
          </w:p>
          <w:p w14:paraId="330D2CCC">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26:</w:t>
            </w:r>
          </w:p>
          <w:p w14:paraId="1B7C5452">
            <w:pPr>
              <w:widowControl w:val="0"/>
              <w:numPr>
                <w:ilvl w:val="0"/>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0BBB88D6">
            <w:pPr>
              <w:widowControl w:val="0"/>
              <w:numPr>
                <w:ilvl w:val="1"/>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1: Signal sharing</w:t>
            </w:r>
          </w:p>
          <w:p w14:paraId="347D3250">
            <w:pPr>
              <w:widowControl w:val="0"/>
              <w:numPr>
                <w:ilvl w:val="1"/>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2: Rate-matching (similar to 4G/5G DSS)</w:t>
            </w:r>
          </w:p>
          <w:p w14:paraId="42000639">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27:</w:t>
            </w:r>
          </w:p>
          <w:p w14:paraId="15FB8669">
            <w:pPr>
              <w:widowControl w:val="0"/>
              <w:numPr>
                <w:ilvl w:val="0"/>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rate-matching is supported at least for some signal types</w:t>
            </w:r>
          </w:p>
          <w:p w14:paraId="6D602B7B">
            <w:pPr>
              <w:widowControl w:val="0"/>
              <w:numPr>
                <w:ilvl w:val="1"/>
                <w:numId w:val="73"/>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14:paraId="0281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1ADB790">
            <w:pPr>
              <w:widowControl w:val="0"/>
              <w:autoSpaceDE w:val="0"/>
              <w:autoSpaceDN w:val="0"/>
              <w:jc w:val="both"/>
              <w:rPr>
                <w:rFonts w:eastAsiaTheme="minorEastAsia"/>
                <w:iCs/>
                <w:sz w:val="21"/>
                <w:szCs w:val="22"/>
              </w:rPr>
            </w:pPr>
            <w:r>
              <w:rPr>
                <w:rFonts w:hint="eastAsia" w:eastAsiaTheme="minorEastAsia"/>
                <w:iCs/>
                <w:sz w:val="21"/>
                <w:szCs w:val="22"/>
              </w:rPr>
              <w:t>Qualcomm</w:t>
            </w:r>
          </w:p>
        </w:tc>
        <w:tc>
          <w:tcPr>
            <w:tcW w:w="3829" w:type="pct"/>
          </w:tcPr>
          <w:p w14:paraId="5067DD16">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3B9983A9">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0B5CCF1A">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14:paraId="09C6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930E621">
            <w:pPr>
              <w:widowControl w:val="0"/>
              <w:autoSpaceDE w:val="0"/>
              <w:autoSpaceDN w:val="0"/>
              <w:jc w:val="both"/>
              <w:rPr>
                <w:rFonts w:eastAsiaTheme="minorEastAsia"/>
                <w:iCs/>
                <w:sz w:val="21"/>
                <w:szCs w:val="22"/>
              </w:rPr>
            </w:pPr>
            <w:r>
              <w:rPr>
                <w:rFonts w:hint="eastAsia" w:eastAsiaTheme="minorEastAsia"/>
                <w:iCs/>
                <w:sz w:val="21"/>
                <w:szCs w:val="22"/>
              </w:rPr>
              <w:t>KT</w:t>
            </w:r>
          </w:p>
        </w:tc>
        <w:tc>
          <w:tcPr>
            <w:tcW w:w="3829" w:type="pct"/>
          </w:tcPr>
          <w:p w14:paraId="73F95E2C">
            <w:pPr>
              <w:widowControl w:val="0"/>
              <w:numPr>
                <w:ilvl w:val="0"/>
                <w:numId w:val="67"/>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09EBB31">
            <w:pPr>
              <w:widowControl w:val="0"/>
              <w:numPr>
                <w:ilvl w:val="0"/>
                <w:numId w:val="67"/>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24800E5C">
            <w:pPr>
              <w:widowControl w:val="0"/>
              <w:numPr>
                <w:ilvl w:val="1"/>
                <w:numId w:val="67"/>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5FB3A4CE">
            <w:pPr>
              <w:widowControl w:val="0"/>
              <w:numPr>
                <w:ilvl w:val="1"/>
                <w:numId w:val="67"/>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14:paraId="6D9A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89D8D55">
            <w:pPr>
              <w:widowControl w:val="0"/>
              <w:autoSpaceDE w:val="0"/>
              <w:autoSpaceDN w:val="0"/>
              <w:jc w:val="both"/>
              <w:rPr>
                <w:rFonts w:eastAsiaTheme="minorEastAsia"/>
                <w:iCs/>
                <w:sz w:val="21"/>
                <w:szCs w:val="22"/>
              </w:rPr>
            </w:pPr>
            <w:r>
              <w:rPr>
                <w:rFonts w:hint="eastAsia" w:eastAsiaTheme="minorEastAsia"/>
                <w:iCs/>
                <w:sz w:val="21"/>
                <w:szCs w:val="22"/>
              </w:rPr>
              <w:t>Google</w:t>
            </w:r>
          </w:p>
        </w:tc>
        <w:tc>
          <w:tcPr>
            <w:tcW w:w="3829" w:type="pct"/>
          </w:tcPr>
          <w:p w14:paraId="6F43AA8D">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1F2D7AA">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C4852BA">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1EB97524">
      <w:pPr>
        <w:rPr>
          <w:rFonts w:eastAsiaTheme="minorEastAsia"/>
        </w:rPr>
      </w:pPr>
    </w:p>
    <w:p w14:paraId="12EF7FE3">
      <w:pPr>
        <w:pStyle w:val="3"/>
        <w:spacing w:after="120"/>
        <w:rPr>
          <w:rFonts w:eastAsiaTheme="minorEastAsia"/>
        </w:rPr>
      </w:pPr>
      <w:r>
        <w:rPr>
          <w:rFonts w:hint="eastAsia" w:eastAsiaTheme="minorEastAsia"/>
        </w:rPr>
        <w:t>Issue#2: Aspects related to NTN</w:t>
      </w:r>
    </w:p>
    <w:p w14:paraId="65BB0044">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general principle is to have a </w:t>
      </w:r>
      <w:r>
        <w:rPr>
          <w:rFonts w:eastAsiaTheme="minorEastAsia"/>
        </w:rPr>
        <w:t>harmonized</w:t>
      </w:r>
      <w:r>
        <w:rPr>
          <w:rFonts w:hint="eastAsia" w:eastAsiaTheme="minorEastAsia"/>
        </w:rPr>
        <w:t xml:space="preserve"> design for TN and NTN. NTN specific designs can be discussed in AI 10.5.7 and no specific agreement is needed in this agenda. </w:t>
      </w:r>
    </w:p>
    <w:p w14:paraId="52062EB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1614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23BA9B4">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5EA3C33">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0D58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5D72E68">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B1C0780">
            <w:pPr>
              <w:pStyle w:val="63"/>
              <w:numPr>
                <w:ilvl w:val="0"/>
                <w:numId w:val="87"/>
              </w:numPr>
              <w:jc w:val="both"/>
              <w:rPr>
                <w:rFonts w:ascii="Times New Roman" w:hAnsi="Times New Roman" w:cs="Times New Roman" w:eastAsiaTheme="minorEastAsia"/>
                <w:bCs/>
                <w:szCs w:val="20"/>
              </w:rPr>
            </w:pPr>
          </w:p>
        </w:tc>
      </w:tr>
      <w:tr w14:paraId="483F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8C331AB">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13553E32">
            <w:pPr>
              <w:widowControl w:val="0"/>
              <w:suppressAutoHyphens/>
              <w:spacing w:line="256" w:lineRule="auto"/>
              <w:jc w:val="both"/>
              <w:rPr>
                <w:rFonts w:ascii="Times New Roman" w:hAnsi="Times New Roman" w:eastAsia="宋体" w:cs="Times New Roman"/>
                <w:kern w:val="2"/>
                <w:szCs w:val="22"/>
                <w:lang w:val="en-GB" w:eastAsia="en-US"/>
              </w:rPr>
            </w:pPr>
          </w:p>
        </w:tc>
      </w:tr>
      <w:tr w14:paraId="1ABD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52887CD0">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592926AE">
            <w:pPr>
              <w:widowControl w:val="0"/>
              <w:suppressAutoHyphens/>
              <w:spacing w:line="256" w:lineRule="auto"/>
              <w:jc w:val="both"/>
              <w:rPr>
                <w:rFonts w:ascii="Times New Roman" w:hAnsi="Times New Roman" w:cs="Times New Roman"/>
                <w:sz w:val="20"/>
                <w:szCs w:val="20"/>
                <w:lang w:val="en-GB" w:eastAsia="en-US"/>
              </w:rPr>
            </w:pPr>
          </w:p>
        </w:tc>
      </w:tr>
    </w:tbl>
    <w:p w14:paraId="7DE2BAB1">
      <w:pPr>
        <w:rPr>
          <w:rFonts w:eastAsiaTheme="minorEastAsia"/>
        </w:rPr>
      </w:pPr>
    </w:p>
    <w:p w14:paraId="3C051638">
      <w:pPr>
        <w:rPr>
          <w:rFonts w:eastAsiaTheme="minorEastAsia"/>
        </w:rPr>
      </w:pPr>
    </w:p>
    <w:p w14:paraId="5048ED76">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650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5F3E62B6">
            <w:pPr>
              <w:widowControl w:val="0"/>
              <w:autoSpaceDE w:val="0"/>
              <w:autoSpaceDN w:val="0"/>
              <w:spacing w:afterLines="50"/>
              <w:jc w:val="both"/>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775DD048">
            <w:pPr>
              <w:widowControl w:val="0"/>
              <w:autoSpaceDE w:val="0"/>
              <w:autoSpaceDN w:val="0"/>
              <w:spacing w:afterLines="50"/>
              <w:jc w:val="center"/>
              <w:rPr>
                <w:sz w:val="20"/>
                <w:szCs w:val="20"/>
              </w:rPr>
            </w:pPr>
            <w:r>
              <w:rPr>
                <w:rFonts w:eastAsiaTheme="minorEastAsia"/>
                <w:b/>
                <w:bCs/>
                <w:sz w:val="20"/>
                <w:szCs w:val="20"/>
                <w:lang w:eastAsia="ko-KR"/>
              </w:rPr>
              <w:t xml:space="preserve">Views/proposals </w:t>
            </w:r>
          </w:p>
        </w:tc>
      </w:tr>
      <w:tr w14:paraId="7B98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88E7B76">
            <w:pPr>
              <w:widowControl w:val="0"/>
              <w:autoSpaceDE w:val="0"/>
              <w:autoSpaceDN w:val="0"/>
              <w:spacing w:afterLines="50"/>
              <w:jc w:val="both"/>
              <w:rPr>
                <w:rFonts w:eastAsia="宋体"/>
                <w:bCs/>
                <w:sz w:val="20"/>
                <w:szCs w:val="20"/>
                <w:lang w:val="en-GB"/>
              </w:rPr>
            </w:pPr>
            <w:r>
              <w:rPr>
                <w:rFonts w:eastAsia="宋体"/>
                <w:sz w:val="20"/>
                <w:szCs w:val="20"/>
                <w:lang w:val="en-GB"/>
              </w:rPr>
              <w:t>CATT, CICTCI</w:t>
            </w:r>
          </w:p>
        </w:tc>
        <w:tc>
          <w:tcPr>
            <w:tcW w:w="3829" w:type="pct"/>
          </w:tcPr>
          <w:p w14:paraId="6D233AED">
            <w:pPr>
              <w:widowControl w:val="0"/>
              <w:tabs>
                <w:tab w:val="left" w:pos="0"/>
              </w:tabs>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14:paraId="3670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424F198">
            <w:pPr>
              <w:widowControl w:val="0"/>
              <w:autoSpaceDE w:val="0"/>
              <w:autoSpaceDN w:val="0"/>
              <w:spacing w:afterLines="50"/>
              <w:jc w:val="both"/>
              <w:rPr>
                <w:rFonts w:eastAsia="宋体"/>
                <w:sz w:val="20"/>
                <w:szCs w:val="20"/>
                <w:lang w:val="en-GB"/>
              </w:rPr>
            </w:pPr>
            <w:r>
              <w:rPr>
                <w:rFonts w:eastAsia="宋体"/>
                <w:sz w:val="20"/>
                <w:szCs w:val="20"/>
                <w:lang w:val="en-GB"/>
              </w:rPr>
              <w:t>ETRI</w:t>
            </w:r>
          </w:p>
        </w:tc>
        <w:tc>
          <w:tcPr>
            <w:tcW w:w="3829" w:type="pct"/>
          </w:tcPr>
          <w:p w14:paraId="08474F7B">
            <w:pPr>
              <w:widowControl w:val="0"/>
              <w:autoSpaceDE w:val="0"/>
              <w:autoSpaceDN w:val="0"/>
              <w:spacing w:afterLines="50"/>
              <w:jc w:val="both"/>
              <w:rPr>
                <w:sz w:val="20"/>
                <w:szCs w:val="20"/>
                <w:lang w:eastAsia="ko-KR"/>
              </w:rPr>
            </w:pPr>
            <w:r>
              <w:rPr>
                <w:sz w:val="20"/>
                <w:szCs w:val="20"/>
                <w:lang w:eastAsia="ko-KR"/>
              </w:rPr>
              <w:t>Proposal 11: Study the followings for harmonized 6GR design for TN and NTN:</w:t>
            </w:r>
          </w:p>
          <w:p w14:paraId="32C0E2CC">
            <w:pPr>
              <w:pStyle w:val="63"/>
              <w:widowControl w:val="0"/>
              <w:numPr>
                <w:ilvl w:val="0"/>
                <w:numId w:val="117"/>
              </w:numPr>
              <w:autoSpaceDE w:val="0"/>
              <w:autoSpaceDN w:val="0"/>
              <w:spacing w:afterLines="50"/>
              <w:jc w:val="both"/>
              <w:rPr>
                <w:sz w:val="20"/>
                <w:szCs w:val="20"/>
                <w:lang w:eastAsia="ko-KR"/>
              </w:rPr>
            </w:pPr>
            <w:r>
              <w:rPr>
                <w:sz w:val="20"/>
                <w:szCs w:val="20"/>
                <w:lang w:eastAsia="ko-KR"/>
              </w:rPr>
              <w:t>Deployment scenarios, including SSO for non-contiguous NTN coverage</w:t>
            </w:r>
          </w:p>
          <w:p w14:paraId="2CC98008">
            <w:pPr>
              <w:pStyle w:val="63"/>
              <w:widowControl w:val="0"/>
              <w:numPr>
                <w:ilvl w:val="0"/>
                <w:numId w:val="117"/>
              </w:numPr>
              <w:autoSpaceDE w:val="0"/>
              <w:autoSpaceDN w:val="0"/>
              <w:spacing w:afterLines="50"/>
              <w:jc w:val="both"/>
              <w:rPr>
                <w:sz w:val="20"/>
                <w:szCs w:val="20"/>
                <w:lang w:eastAsia="ko-KR"/>
              </w:rPr>
            </w:pPr>
            <w:r>
              <w:rPr>
                <w:sz w:val="20"/>
                <w:szCs w:val="20"/>
                <w:lang w:eastAsia="ko-KR"/>
              </w:rPr>
              <w:t>Support both of transparent and regenerative payload types from 6GR Day-1</w:t>
            </w:r>
          </w:p>
          <w:p w14:paraId="4941772A">
            <w:pPr>
              <w:pStyle w:val="63"/>
              <w:widowControl w:val="0"/>
              <w:numPr>
                <w:ilvl w:val="0"/>
                <w:numId w:val="117"/>
              </w:numPr>
              <w:autoSpaceDE w:val="0"/>
              <w:autoSpaceDN w:val="0"/>
              <w:spacing w:afterLines="50"/>
              <w:jc w:val="both"/>
              <w:rPr>
                <w:sz w:val="20"/>
                <w:szCs w:val="20"/>
                <w:lang w:eastAsia="ko-KR"/>
              </w:rPr>
            </w:pPr>
            <w:r>
              <w:rPr>
                <w:sz w:val="20"/>
                <w:szCs w:val="20"/>
                <w:lang w:eastAsia="ko-KR"/>
              </w:rPr>
              <w:t>Initial access, including longer SS/PBCH periodicity (e.g., ≥160ms) for low satellite beam activation rate (e.g., ~1%)</w:t>
            </w:r>
          </w:p>
          <w:p w14:paraId="6F85724D">
            <w:pPr>
              <w:pStyle w:val="63"/>
              <w:widowControl w:val="0"/>
              <w:numPr>
                <w:ilvl w:val="0"/>
                <w:numId w:val="117"/>
              </w:numPr>
              <w:autoSpaceDE w:val="0"/>
              <w:autoSpaceDN w:val="0"/>
              <w:spacing w:afterLines="50"/>
              <w:jc w:val="both"/>
              <w:rPr>
                <w:sz w:val="20"/>
                <w:szCs w:val="20"/>
                <w:lang w:eastAsia="ko-KR"/>
              </w:rPr>
            </w:pPr>
            <w:r>
              <w:rPr>
                <w:sz w:val="20"/>
                <w:szCs w:val="20"/>
                <w:lang w:eastAsia="ko-KR"/>
              </w:rPr>
              <w:t>Beam management, including optimization on beam-based satellite operation</w:t>
            </w:r>
          </w:p>
          <w:p w14:paraId="6D7EF153">
            <w:pPr>
              <w:pStyle w:val="63"/>
              <w:widowControl w:val="0"/>
              <w:numPr>
                <w:ilvl w:val="0"/>
                <w:numId w:val="117"/>
              </w:numPr>
              <w:autoSpaceDE w:val="0"/>
              <w:autoSpaceDN w:val="0"/>
              <w:spacing w:afterLines="50"/>
              <w:jc w:val="both"/>
              <w:rPr>
                <w:sz w:val="20"/>
                <w:szCs w:val="20"/>
                <w:lang w:eastAsia="ko-KR"/>
              </w:rPr>
            </w:pPr>
            <w:r>
              <w:rPr>
                <w:sz w:val="20"/>
                <w:szCs w:val="20"/>
                <w:lang w:eastAsia="ko-KR"/>
              </w:rPr>
              <w:t>GNSS-less/-resilient NTN operation, including LEO-PNT and IoT-NTN aspects</w:t>
            </w:r>
          </w:p>
          <w:p w14:paraId="39FCF902">
            <w:pPr>
              <w:pStyle w:val="63"/>
              <w:widowControl w:val="0"/>
              <w:numPr>
                <w:ilvl w:val="0"/>
                <w:numId w:val="117"/>
              </w:numPr>
              <w:autoSpaceDE w:val="0"/>
              <w:autoSpaceDN w:val="0"/>
              <w:spacing w:afterLines="50"/>
              <w:jc w:val="both"/>
              <w:rPr>
                <w:sz w:val="20"/>
                <w:szCs w:val="20"/>
                <w:lang w:eastAsia="ko-KR"/>
              </w:rPr>
            </w:pPr>
            <w:r>
              <w:rPr>
                <w:sz w:val="20"/>
                <w:szCs w:val="20"/>
                <w:lang w:eastAsia="ko-KR"/>
              </w:rPr>
              <w:t>Automatic retransmission mechanism to provide combining gain even for HARQ-disabled scenario</w:t>
            </w:r>
          </w:p>
          <w:p w14:paraId="38552B70">
            <w:pPr>
              <w:pStyle w:val="63"/>
              <w:widowControl w:val="0"/>
              <w:numPr>
                <w:ilvl w:val="0"/>
                <w:numId w:val="117"/>
              </w:numPr>
              <w:autoSpaceDE w:val="0"/>
              <w:autoSpaceDN w:val="0"/>
              <w:spacing w:afterLines="50"/>
              <w:jc w:val="both"/>
              <w:rPr>
                <w:b/>
                <w:bCs/>
                <w:sz w:val="20"/>
                <w:szCs w:val="20"/>
                <w:lang w:eastAsia="ko-KR"/>
              </w:rPr>
            </w:pPr>
            <w:r>
              <w:rPr>
                <w:sz w:val="20"/>
                <w:szCs w:val="20"/>
                <w:lang w:eastAsia="ko-KR"/>
              </w:rPr>
              <w:t>Energy-/latency-efficient scheduling method (e.g., group scheduling mechanism via common DCI for a specific UE group)</w:t>
            </w:r>
          </w:p>
        </w:tc>
      </w:tr>
      <w:tr w14:paraId="0285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92E45F5">
            <w:pPr>
              <w:widowControl w:val="0"/>
              <w:autoSpaceDE w:val="0"/>
              <w:autoSpaceDN w:val="0"/>
              <w:spacing w:afterLines="50"/>
              <w:jc w:val="both"/>
              <w:rPr>
                <w:rFonts w:eastAsia="宋体"/>
                <w:sz w:val="20"/>
                <w:szCs w:val="20"/>
                <w:lang w:val="en-GB"/>
              </w:rPr>
            </w:pPr>
            <w:r>
              <w:rPr>
                <w:rFonts w:eastAsia="宋体"/>
                <w:sz w:val="20"/>
                <w:szCs w:val="20"/>
                <w:lang w:val="en-GB"/>
              </w:rPr>
              <w:t>Fraunhofer IIS, Fraunhofer HHI</w:t>
            </w:r>
          </w:p>
        </w:tc>
        <w:tc>
          <w:tcPr>
            <w:tcW w:w="3829" w:type="pct"/>
          </w:tcPr>
          <w:p w14:paraId="5F2E8CF5">
            <w:pPr>
              <w:pStyle w:val="125"/>
              <w:widowControl w:val="0"/>
              <w:autoSpaceDE w:val="0"/>
              <w:autoSpaceDN w:val="0"/>
              <w:adjustRightInd w:val="0"/>
              <w:snapToGrid w:val="0"/>
              <w:spacing w:afterLines="50"/>
              <w:jc w:val="left"/>
              <w:rPr>
                <w:sz w:val="20"/>
              </w:rPr>
            </w:pPr>
            <w:r>
              <w:rPr>
                <w:sz w:val="20"/>
              </w:rPr>
              <w:t>Proposal 5: 6G RAN should be designed to ensure GNSS-less operation for NTN.</w:t>
            </w:r>
          </w:p>
          <w:p w14:paraId="17E27371">
            <w:pPr>
              <w:pStyle w:val="125"/>
              <w:widowControl w:val="0"/>
              <w:autoSpaceDE w:val="0"/>
              <w:autoSpaceDN w:val="0"/>
              <w:adjustRightInd w:val="0"/>
              <w:snapToGrid w:val="0"/>
              <w:spacing w:afterLines="50"/>
              <w:rPr>
                <w:sz w:val="20"/>
              </w:rPr>
            </w:pPr>
            <w:r>
              <w:rPr>
                <w:sz w:val="20"/>
              </w:rPr>
              <w:t>Proposal 6: Study aspects related to beam-hopping in NTN and the impact on RAN procedures, such as paging and initial access.</w:t>
            </w:r>
          </w:p>
          <w:p w14:paraId="657377C3">
            <w:pPr>
              <w:pStyle w:val="125"/>
              <w:widowControl w:val="0"/>
              <w:autoSpaceDE w:val="0"/>
              <w:autoSpaceDN w:val="0"/>
              <w:adjustRightInd w:val="0"/>
              <w:snapToGrid w:val="0"/>
              <w:spacing w:afterLines="50"/>
              <w:rPr>
                <w:sz w:val="20"/>
              </w:rPr>
            </w:pPr>
            <w:r>
              <w:rPr>
                <w:sz w:val="20"/>
              </w:rPr>
              <w:t>Proposal 7: Study impact of beam hopping on the design of frame structure for NTN systems.</w:t>
            </w:r>
          </w:p>
          <w:p w14:paraId="19C65925">
            <w:pPr>
              <w:pStyle w:val="125"/>
              <w:widowControl w:val="0"/>
              <w:autoSpaceDE w:val="0"/>
              <w:autoSpaceDN w:val="0"/>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956AA18">
            <w:pPr>
              <w:pStyle w:val="125"/>
              <w:widowControl w:val="0"/>
              <w:autoSpaceDE w:val="0"/>
              <w:autoSpaceDN w:val="0"/>
              <w:adjustRightInd w:val="0"/>
              <w:snapToGrid w:val="0"/>
              <w:spacing w:afterLines="50"/>
              <w:rPr>
                <w:sz w:val="20"/>
              </w:rPr>
            </w:pPr>
            <w:r>
              <w:rPr>
                <w:sz w:val="20"/>
              </w:rPr>
              <w:t>Proposal 9: Study sharing of spectrum and interference management between TN and NTN for different deployment scenarios.</w:t>
            </w:r>
          </w:p>
          <w:p w14:paraId="5F3EAD28">
            <w:pPr>
              <w:pStyle w:val="125"/>
              <w:widowControl w:val="0"/>
              <w:autoSpaceDE w:val="0"/>
              <w:autoSpaceDN w:val="0"/>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14:paraId="0045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4846781">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748C6ADE">
            <w:pPr>
              <w:widowControl w:val="0"/>
              <w:autoSpaceDE w:val="0"/>
              <w:autoSpaceDN w:val="0"/>
              <w:spacing w:afterLines="50"/>
              <w:jc w:val="both"/>
              <w:rPr>
                <w:sz w:val="20"/>
                <w:szCs w:val="20"/>
              </w:rPr>
            </w:pPr>
            <w:r>
              <w:rPr>
                <w:sz w:val="20"/>
                <w:szCs w:val="20"/>
              </w:rPr>
              <w:t>Proposal 10: Given 6GR MBB design, RAN1 should identify what changes of 5G NTN solutions are necessary to be considered for 6GR NTN.</w:t>
            </w:r>
          </w:p>
          <w:p w14:paraId="06839057">
            <w:pPr>
              <w:widowControl w:val="0"/>
              <w:autoSpaceDE w:val="0"/>
              <w:autoSpaceDN w:val="0"/>
              <w:spacing w:afterLines="50"/>
              <w:jc w:val="both"/>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14:paraId="7004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A1F0630">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772406B3">
            <w:pPr>
              <w:widowControl w:val="0"/>
              <w:autoSpaceDE w:val="0"/>
              <w:autoSpaceDN w:val="0"/>
              <w:spacing w:afterLines="50"/>
              <w:jc w:val="both"/>
              <w:rPr>
                <w:b/>
                <w:i/>
                <w:sz w:val="20"/>
                <w:szCs w:val="20"/>
              </w:rPr>
            </w:pPr>
            <w:r>
              <w:rPr>
                <w:b/>
                <w:i/>
                <w:sz w:val="20"/>
                <w:szCs w:val="20"/>
              </w:rPr>
              <w:t>Proposal 7: Support GNSS-less operation for better harmonization of TN and NTN in 6GR.</w:t>
            </w:r>
          </w:p>
          <w:p w14:paraId="3C21F83D">
            <w:pPr>
              <w:widowControl w:val="0"/>
              <w:autoSpaceDE w:val="0"/>
              <w:autoSpaceDN w:val="0"/>
              <w:spacing w:afterLines="50"/>
              <w:jc w:val="both"/>
              <w:rPr>
                <w:b/>
                <w:i/>
                <w:sz w:val="20"/>
                <w:szCs w:val="20"/>
              </w:rPr>
            </w:pPr>
            <w:r>
              <w:rPr>
                <w:b/>
                <w:i/>
                <w:sz w:val="20"/>
                <w:szCs w:val="20"/>
              </w:rPr>
              <w:t>Proposal 8: Study efficient beam hopping mechanism which is non-transparent to the UEs to avoid UE power wasting in 6GR.</w:t>
            </w:r>
          </w:p>
          <w:p w14:paraId="7E3D15B2">
            <w:pPr>
              <w:widowControl w:val="0"/>
              <w:autoSpaceDE w:val="0"/>
              <w:autoSpaceDN w:val="0"/>
              <w:spacing w:afterLines="50"/>
              <w:jc w:val="both"/>
              <w:rPr>
                <w:b/>
                <w:i/>
                <w:sz w:val="20"/>
                <w:szCs w:val="20"/>
              </w:rPr>
            </w:pPr>
            <w:r>
              <w:rPr>
                <w:b/>
                <w:i/>
                <w:sz w:val="20"/>
                <w:szCs w:val="20"/>
              </w:rPr>
              <w:t>Proposal 9: Unified RAT should be supported for both TN and NTN in 6GR.</w:t>
            </w:r>
          </w:p>
          <w:p w14:paraId="08765031">
            <w:pPr>
              <w:widowControl w:val="0"/>
              <w:autoSpaceDE w:val="0"/>
              <w:autoSpaceDN w:val="0"/>
              <w:spacing w:afterLines="50"/>
              <w:jc w:val="both"/>
              <w:rPr>
                <w:b/>
                <w:i/>
                <w:sz w:val="20"/>
                <w:szCs w:val="20"/>
              </w:rPr>
            </w:pPr>
            <w:r>
              <w:rPr>
                <w:b/>
                <w:i/>
                <w:sz w:val="20"/>
                <w:szCs w:val="20"/>
              </w:rPr>
              <w:t>Proposal 10: An enhanced handover mechanism between TN cell and NTN cell should be supported in 6G first release from.</w:t>
            </w:r>
          </w:p>
          <w:p w14:paraId="533D4171">
            <w:pPr>
              <w:widowControl w:val="0"/>
              <w:autoSpaceDE w:val="0"/>
              <w:autoSpaceDN w:val="0"/>
              <w:spacing w:afterLines="50"/>
              <w:jc w:val="both"/>
              <w:rPr>
                <w:rFonts w:eastAsiaTheme="minorEastAsia"/>
                <w:b/>
                <w:i/>
                <w:sz w:val="20"/>
                <w:szCs w:val="20"/>
              </w:rPr>
            </w:pPr>
            <w:r>
              <w:rPr>
                <w:b/>
                <w:i/>
                <w:sz w:val="20"/>
                <w:szCs w:val="20"/>
              </w:rPr>
              <w:t>Proposal 11: The DC between TN cell and NTN cell should be studied in 6GR.</w:t>
            </w:r>
          </w:p>
        </w:tc>
      </w:tr>
      <w:tr w14:paraId="203A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DE802A2">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09A8D1B0">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7</w:t>
            </w:r>
            <w:r>
              <w:rPr>
                <w:rFonts w:eastAsia="Aptos"/>
                <w:b/>
                <w:bCs/>
                <w:color w:val="000000" w:themeColor="text1"/>
                <w:sz w:val="20"/>
                <w:szCs w:val="20"/>
                <w:lang w:eastAsia="ja-JP"/>
                <w14:textFill>
                  <w14:solidFill>
                    <w14:schemeClr w14:val="tx1"/>
                  </w14:solidFill>
                </w14:textFill>
              </w:rPr>
              <w:t xml:space="preserve">: Strive for unified frame structure for TN and NTN. </w:t>
            </w:r>
          </w:p>
          <w:p w14:paraId="2C8112D9">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8</w:t>
            </w:r>
            <w:r>
              <w:rPr>
                <w:rFonts w:eastAsia="Aptos"/>
                <w:b/>
                <w:bCs/>
                <w:color w:val="000000" w:themeColor="text1"/>
                <w:sz w:val="20"/>
                <w:szCs w:val="20"/>
                <w:lang w:eastAsia="ja-JP"/>
                <w14:textFill>
                  <w14:solidFill>
                    <w14:schemeClr w14:val="tx1"/>
                  </w14:solidFill>
                </w14:textFill>
              </w:rPr>
              <w:t xml:space="preserve">: Consider configurable or flexible TDD frame structure for NTN. </w:t>
            </w:r>
          </w:p>
          <w:p w14:paraId="6EBCD45D">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b/>
                <w:bCs/>
                <w:color w:val="000000" w:themeColor="text1"/>
                <w:sz w:val="20"/>
                <w:szCs w:val="20"/>
                <w:u w:val="single"/>
                <w14:textFill>
                  <w14:solidFill>
                    <w14:schemeClr w14:val="tx1"/>
                  </w14:solidFill>
                </w14:textFill>
              </w:rPr>
              <w:t>9</w:t>
            </w:r>
            <w:r>
              <w:rPr>
                <w:rFonts w:eastAsia="Aptos"/>
                <w:b/>
                <w:bCs/>
                <w:color w:val="000000" w:themeColor="text1"/>
                <w:sz w:val="20"/>
                <w:szCs w:val="20"/>
                <w:lang w:eastAsia="ja-JP"/>
                <w14:textFill>
                  <w14:solidFill>
                    <w14:schemeClr w14:val="tx1"/>
                  </w14:solidFill>
                </w14:textFill>
              </w:rPr>
              <w:t>: Consider the delay</w:t>
            </w:r>
            <w:r>
              <w:rPr>
                <w:b/>
                <w:bCs/>
                <w:color w:val="000000" w:themeColor="text1"/>
                <w:sz w:val="20"/>
                <w:szCs w:val="20"/>
                <w14:textFill>
                  <w14:solidFill>
                    <w14:schemeClr w14:val="tx1"/>
                  </w14:solidFill>
                </w14:textFill>
              </w:rPr>
              <w:t xml:space="preserve"> </w:t>
            </w:r>
            <w:r>
              <w:rPr>
                <w:rFonts w:eastAsia="Aptos"/>
                <w:b/>
                <w:bCs/>
                <w:color w:val="000000" w:themeColor="text1"/>
                <w:sz w:val="20"/>
                <w:szCs w:val="20"/>
                <w:lang w:eastAsia="ja-JP"/>
                <w14:textFill>
                  <w14:solidFill>
                    <w14:schemeClr w14:val="tx1"/>
                  </w14:solidFill>
                </w14:textFill>
              </w:rPr>
              <w:t xml:space="preserve">dispersal among the UEs in a same cell in NTN. </w:t>
            </w:r>
            <w:r>
              <w:rPr>
                <w:rFonts w:eastAsia="等线"/>
                <w:b/>
                <w:bCs/>
                <w:color w:val="000000" w:themeColor="text1"/>
                <w:sz w:val="20"/>
                <w:szCs w:val="20"/>
                <w14:textFill>
                  <w14:solidFill>
                    <w14:schemeClr w14:val="tx1"/>
                  </w14:solidFill>
                </w14:textFill>
              </w:rPr>
              <w:t>Longer CP can be considered for both PUSCH and PRACH.</w:t>
            </w:r>
          </w:p>
          <w:p w14:paraId="48B9F00C">
            <w:pPr>
              <w:widowControl/>
              <w:autoSpaceDE w:val="0"/>
              <w:autoSpaceDN w:val="0"/>
              <w:spacing w:afterLines="50"/>
              <w:jc w:val="left"/>
              <w:rPr>
                <w:rFonts w:eastAsia="等线"/>
                <w:b/>
                <w:bCs/>
                <w:color w:val="000000" w:themeColor="text1"/>
                <w:sz w:val="20"/>
                <w:szCs w:val="20"/>
                <w:lang w:val="zh-CN"/>
                <w14:textFill>
                  <w14:solidFill>
                    <w14:schemeClr w14:val="tx1"/>
                  </w14:solidFill>
                </w14:textFill>
              </w:rPr>
            </w:pPr>
            <w:r>
              <w:rPr>
                <w:rFonts w:eastAsia="等线"/>
                <w:b/>
                <w:bCs/>
                <w:color w:val="000000" w:themeColor="text1"/>
                <w:sz w:val="20"/>
                <w:szCs w:val="20"/>
                <w:u w:val="single"/>
                <w:lang w:val="zh-CN"/>
                <w14:textFill>
                  <w14:solidFill>
                    <w14:schemeClr w14:val="tx1"/>
                  </w14:solidFill>
                </w14:textFill>
              </w:rPr>
              <w:t>Proposal 10</w:t>
            </w:r>
            <w:r>
              <w:rPr>
                <w:rFonts w:eastAsia="等线"/>
                <w:b/>
                <w:bCs/>
                <w:color w:val="000000" w:themeColor="text1"/>
                <w:sz w:val="20"/>
                <w:szCs w:val="20"/>
                <w:lang w:val="zh-CN"/>
                <w14:textFill>
                  <w14:solidFill>
                    <w14:schemeClr w14:val="tx1"/>
                  </w14:solidFill>
                </w14:textFill>
              </w:rPr>
              <w:t>: Consider joint design in SSB/PRACH/scheduling/waveform for both TN and NTN.</w:t>
            </w:r>
          </w:p>
        </w:tc>
      </w:tr>
      <w:tr w14:paraId="6F0D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79C0668">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26C5438B">
            <w:pPr>
              <w:widowControl w:val="0"/>
              <w:autoSpaceDE w:val="0"/>
              <w:autoSpaceDN w:val="0"/>
              <w:spacing w:afterLines="50"/>
              <w:ind w:left="1200" w:hanging="1201" w:hangingChars="600"/>
              <w:jc w:val="both"/>
              <w:rPr>
                <w:b/>
                <w:bCs/>
                <w:sz w:val="20"/>
                <w:szCs w:val="20"/>
                <w:lang w:eastAsia="ko-KR"/>
              </w:rPr>
            </w:pPr>
            <w:bookmarkStart w:id="26" w:name="_Toc213421048"/>
            <w:r>
              <w:rPr>
                <w:b/>
                <w:bCs/>
                <w:sz w:val="20"/>
                <w:szCs w:val="20"/>
                <w:lang w:eastAsia="ko-KR"/>
              </w:rPr>
              <w:t>Proposal 20</w:t>
            </w:r>
            <w:r>
              <w:rPr>
                <w:b/>
                <w:bCs/>
                <w:sz w:val="20"/>
                <w:szCs w:val="20"/>
                <w:lang w:eastAsia="ko-KR"/>
              </w:rPr>
              <w:tab/>
            </w:r>
            <w:r>
              <w:rPr>
                <w:b/>
                <w:bCs/>
                <w:sz w:val="20"/>
                <w:szCs w:val="20"/>
                <w:lang w:eastAsia="ko-KR"/>
              </w:rPr>
              <w:t>The technical aspects affected by NTN characteristics further include the followings:</w:t>
            </w:r>
            <w:bookmarkEnd w:id="26"/>
          </w:p>
          <w:p w14:paraId="78BCF692">
            <w:pPr>
              <w:pStyle w:val="63"/>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 xml:space="preserve">Power efficiency for DL/UL transmission </w:t>
            </w:r>
          </w:p>
          <w:p w14:paraId="044C3F65">
            <w:pPr>
              <w:pStyle w:val="63"/>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Satellite moving and switching</w:t>
            </w:r>
          </w:p>
          <w:p w14:paraId="7C28BF02">
            <w:pPr>
              <w:pStyle w:val="63"/>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TN-NTN and NTN-NTN mobility</w:t>
            </w:r>
          </w:p>
          <w:p w14:paraId="4234AE35">
            <w:pPr>
              <w:pStyle w:val="63"/>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6G NTN coexistence with IoT-NTN or NR-NTN in same beam</w:t>
            </w:r>
          </w:p>
          <w:p w14:paraId="27AE9169">
            <w:pPr>
              <w:pStyle w:val="63"/>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Multi-carrier operation with same or different satellite(s)</w:t>
            </w:r>
          </w:p>
        </w:tc>
      </w:tr>
      <w:tr w14:paraId="674A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D15BCFC">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20CFDCC1">
            <w:pPr>
              <w:widowControl w:val="0"/>
              <w:autoSpaceDE w:val="0"/>
              <w:autoSpaceDN w:val="0"/>
              <w:spacing w:afterLines="50"/>
              <w:jc w:val="both"/>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422AA08">
            <w:pPr>
              <w:widowControl w:val="0"/>
              <w:autoSpaceDE w:val="0"/>
              <w:autoSpaceDN w:val="0"/>
              <w:spacing w:afterLines="50"/>
              <w:jc w:val="both"/>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0E19F17">
            <w:pPr>
              <w:widowControl w:val="0"/>
              <w:autoSpaceDE w:val="0"/>
              <w:autoSpaceDN w:val="0"/>
              <w:spacing w:afterLines="50"/>
              <w:jc w:val="both"/>
              <w:rPr>
                <w:b/>
                <w:bCs/>
                <w:sz w:val="20"/>
                <w:szCs w:val="20"/>
              </w:rPr>
            </w:pPr>
            <w:r>
              <w:rPr>
                <w:b/>
                <w:bCs/>
                <w:sz w:val="20"/>
                <w:szCs w:val="20"/>
                <w:u w:val="single"/>
              </w:rPr>
              <w:t>Proposal 29</w:t>
            </w:r>
            <w:r>
              <w:rPr>
                <w:b/>
                <w:bCs/>
                <w:sz w:val="20"/>
                <w:szCs w:val="20"/>
              </w:rPr>
              <w:t>: Add the following to the NTN considerations agreed at RAN1#122bis:</w:t>
            </w:r>
          </w:p>
          <w:p w14:paraId="2AA11950">
            <w:pPr>
              <w:pStyle w:val="63"/>
              <w:widowControl w:val="0"/>
              <w:numPr>
                <w:ilvl w:val="0"/>
                <w:numId w:val="119"/>
              </w:numPr>
              <w:autoSpaceDE w:val="0"/>
              <w:autoSpaceDN w:val="0"/>
              <w:spacing w:afterLines="50"/>
              <w:jc w:val="both"/>
              <w:rPr>
                <w:b/>
                <w:bCs/>
                <w:sz w:val="20"/>
                <w:szCs w:val="20"/>
              </w:rPr>
            </w:pPr>
            <w:r>
              <w:rPr>
                <w:b/>
                <w:bCs/>
                <w:sz w:val="20"/>
                <w:szCs w:val="20"/>
              </w:rPr>
              <w:t>Strive for common and extendable designs for TN &amp; NTN to minimize complexity for 6G TN Network/UE to support 6G NTN.</w:t>
            </w:r>
          </w:p>
          <w:p w14:paraId="25FFF441">
            <w:pPr>
              <w:widowControl w:val="0"/>
              <w:autoSpaceDE w:val="0"/>
              <w:autoSpaceDN w:val="0"/>
              <w:spacing w:afterLines="50"/>
              <w:jc w:val="both"/>
              <w:rPr>
                <w:rFonts w:eastAsiaTheme="minorEastAsia"/>
                <w:b/>
                <w:bCs/>
                <w:sz w:val="20"/>
                <w:szCs w:val="20"/>
              </w:rPr>
            </w:pPr>
            <w:r>
              <w:rPr>
                <w:rStyle w:val="40"/>
                <w:sz w:val="20"/>
                <w:szCs w:val="20"/>
                <w:u w:val="single"/>
              </w:rPr>
              <w:t>Proposal 30</w:t>
            </w:r>
            <w:r>
              <w:rPr>
                <w:rStyle w:val="40"/>
                <w:sz w:val="20"/>
                <w:szCs w:val="20"/>
              </w:rPr>
              <w:t>: The features that involve common and extendable designs for TN &amp; NTN should be discussed in common agendas, and the features that are identified as NTN-specific should be discussed in NTN agenda.</w:t>
            </w:r>
          </w:p>
        </w:tc>
      </w:tr>
      <w:tr w14:paraId="0812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D11C963">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09EBED2B">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AF63B2D">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For 6GR NTN, consider the following lessons from 5G NTN.</w:t>
            </w:r>
          </w:p>
          <w:p w14:paraId="1348FBCD">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It is important to introduce NTN features from 6G Day1 with unified design between TN and NTN.</w:t>
            </w:r>
          </w:p>
          <w:p w14:paraId="71F0A1C4">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Higher data rate should be aimed for meaningful role in 6G cellular NW.</w:t>
            </w:r>
          </w:p>
          <w:p w14:paraId="7B7840CA">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F5A7CAB">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For 6GR NTN, the aspects to consider for supporting NTN include additionally:</w:t>
            </w:r>
          </w:p>
          <w:p w14:paraId="5D6D8C8D">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Throughput: CA, higher modulation order, MIMO</w:t>
            </w:r>
          </w:p>
          <w:p w14:paraId="4EB5F4A8">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Scenario: Multi-satellite scenario / Very LEO satellite (300 km altitude), Higher satellite capability</w:t>
            </w:r>
          </w:p>
          <w:p w14:paraId="3577BF67">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Positioning/Location: At least a simple positioning method such as E-CID-base</w:t>
            </w:r>
          </w:p>
          <w:p w14:paraId="4DF69B3F">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Energy efficiency: NES and UEPS features from NTN perspective</w:t>
            </w:r>
          </w:p>
          <w:p w14:paraId="307CA184">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384D0ADD">
            <w:pPr>
              <w:pStyle w:val="63"/>
              <w:widowControl w:val="0"/>
              <w:numPr>
                <w:ilvl w:val="0"/>
                <w:numId w:val="73"/>
              </w:numPr>
              <w:autoSpaceDE w:val="0"/>
              <w:autoSpaceDN w:val="0"/>
              <w:spacing w:afterLines="50"/>
              <w:jc w:val="both"/>
              <w:rPr>
                <w:rFonts w:eastAsiaTheme="minorEastAsia"/>
                <w:b/>
                <w:sz w:val="20"/>
                <w:szCs w:val="20"/>
              </w:rPr>
            </w:pPr>
            <w:r>
              <w:rPr>
                <w:rFonts w:eastAsiaTheme="minorEastAsia"/>
                <w:b/>
                <w:sz w:val="20"/>
                <w:szCs w:val="20"/>
              </w:rPr>
              <w:t>For 6GR NTN, further consider the following for some of the aspects agreed at the RAN1#122bis meeting:</w:t>
            </w:r>
          </w:p>
          <w:p w14:paraId="7EA685D1">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55689258">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Duplexing: Focus on FDD</w:t>
            </w:r>
          </w:p>
          <w:p w14:paraId="27C317B5">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Capacity: OCC, Sub-PRB-level resource allocation</w:t>
            </w:r>
          </w:p>
          <w:p w14:paraId="1E679D81">
            <w:pPr>
              <w:pStyle w:val="63"/>
              <w:widowControl w:val="0"/>
              <w:numPr>
                <w:ilvl w:val="1"/>
                <w:numId w:val="73"/>
              </w:numPr>
              <w:autoSpaceDE w:val="0"/>
              <w:autoSpaceDN w:val="0"/>
              <w:spacing w:afterLines="50"/>
              <w:jc w:val="both"/>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14:paraId="5E08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D49F409">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2923D0AB">
            <w:pPr>
              <w:pStyle w:val="19"/>
              <w:widowControl w:val="0"/>
              <w:autoSpaceDE w:val="0"/>
              <w:autoSpaceDN w:val="0"/>
              <w:spacing w:afterLines="50"/>
              <w:jc w:val="both"/>
              <w:rPr>
                <w:rFonts w:eastAsiaTheme="minorEastAsia"/>
                <w:bCs/>
              </w:rPr>
            </w:pPr>
            <w:r>
              <w:rPr>
                <w:rFonts w:eastAsiaTheme="minorEastAsia"/>
                <w:b/>
                <w:bCs/>
                <w:i/>
                <w:iCs/>
              </w:rPr>
              <w:t>Proposal 40: 6GR NTN should consider both harmonized design with 6GR TN and NTN-specific features.</w:t>
            </w:r>
          </w:p>
        </w:tc>
      </w:tr>
      <w:tr w14:paraId="5F9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1DBDE77">
            <w:pPr>
              <w:widowControl w:val="0"/>
              <w:autoSpaceDE w:val="0"/>
              <w:autoSpaceDN w:val="0"/>
              <w:spacing w:afterLines="50"/>
              <w:jc w:val="both"/>
              <w:rPr>
                <w:rFonts w:eastAsia="宋体"/>
                <w:sz w:val="20"/>
                <w:szCs w:val="20"/>
              </w:rPr>
            </w:pPr>
            <w:r>
              <w:rPr>
                <w:rFonts w:eastAsia="宋体"/>
                <w:sz w:val="20"/>
                <w:szCs w:val="20"/>
              </w:rPr>
              <w:t>Panasonic</w:t>
            </w:r>
          </w:p>
        </w:tc>
        <w:tc>
          <w:tcPr>
            <w:tcW w:w="3829" w:type="pct"/>
          </w:tcPr>
          <w:p w14:paraId="4612B9CA">
            <w:pPr>
              <w:widowControl w:val="0"/>
              <w:autoSpaceDE w:val="0"/>
              <w:autoSpaceDN w:val="0"/>
              <w:spacing w:afterLines="50"/>
              <w:jc w:val="both"/>
              <w:rPr>
                <w:b/>
                <w:sz w:val="20"/>
                <w:szCs w:val="20"/>
                <w:lang w:eastAsia="ja-JP"/>
              </w:rPr>
            </w:pPr>
            <w:r>
              <w:rPr>
                <w:b/>
                <w:sz w:val="20"/>
                <w:szCs w:val="20"/>
                <w:lang w:eastAsia="ja-JP"/>
              </w:rPr>
              <w:t>Proposal 12: 8 to 10 dB coverage extension for all channels for single Rx device is applied also to NTN.</w:t>
            </w:r>
          </w:p>
          <w:p w14:paraId="1AF261CF">
            <w:pPr>
              <w:widowControl w:val="0"/>
              <w:autoSpaceDE w:val="0"/>
              <w:autoSpaceDN w:val="0"/>
              <w:spacing w:afterLines="50"/>
              <w:jc w:val="both"/>
              <w:rPr>
                <w:rFonts w:eastAsiaTheme="minorEastAsia"/>
                <w:b/>
                <w:sz w:val="20"/>
                <w:szCs w:val="20"/>
              </w:rPr>
            </w:pPr>
            <w:r>
              <w:rPr>
                <w:b/>
                <w:sz w:val="20"/>
                <w:szCs w:val="20"/>
                <w:lang w:eastAsia="ja-JP"/>
              </w:rPr>
              <w:t>Proposal 13: GNSS less operation should be supported in NTN.</w:t>
            </w:r>
          </w:p>
        </w:tc>
      </w:tr>
      <w:tr w14:paraId="56B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5CA681B5">
            <w:pPr>
              <w:widowControl w:val="0"/>
              <w:autoSpaceDE w:val="0"/>
              <w:autoSpaceDN w:val="0"/>
              <w:spacing w:afterLines="50"/>
              <w:jc w:val="both"/>
              <w:rPr>
                <w:rFonts w:eastAsia="宋体"/>
                <w:sz w:val="20"/>
                <w:szCs w:val="20"/>
              </w:rPr>
            </w:pPr>
            <w:r>
              <w:rPr>
                <w:rFonts w:eastAsia="宋体"/>
                <w:sz w:val="20"/>
                <w:szCs w:val="20"/>
              </w:rPr>
              <w:t>Rakuten</w:t>
            </w:r>
          </w:p>
        </w:tc>
        <w:tc>
          <w:tcPr>
            <w:tcW w:w="3829" w:type="pct"/>
          </w:tcPr>
          <w:p w14:paraId="3B98A633">
            <w:pPr>
              <w:widowControl w:val="0"/>
              <w:autoSpaceDE w:val="0"/>
              <w:autoSpaceDN w:val="0"/>
              <w:spacing w:afterLines="50"/>
              <w:jc w:val="both"/>
              <w:rPr>
                <w:i/>
                <w:iCs/>
                <w:sz w:val="20"/>
                <w:szCs w:val="20"/>
              </w:rPr>
            </w:pPr>
            <w:bookmarkStart w:id="27" w:name="Proposal_2"/>
            <w:r>
              <w:rPr>
                <w:b/>
                <w:bCs/>
                <w:i/>
                <w:iCs/>
                <w:sz w:val="20"/>
                <w:szCs w:val="20"/>
              </w:rPr>
              <w:t>Proposal 2:</w:t>
            </w:r>
            <w:r>
              <w:rPr>
                <w:i/>
                <w:iCs/>
                <w:sz w:val="20"/>
                <w:szCs w:val="20"/>
              </w:rPr>
              <w:t> Study unified air-interface principles to support TN/NTN harmonization, including:</w:t>
            </w:r>
          </w:p>
          <w:p w14:paraId="6A2CD6C7">
            <w:pPr>
              <w:pStyle w:val="63"/>
              <w:widowControl w:val="0"/>
              <w:numPr>
                <w:ilvl w:val="0"/>
                <w:numId w:val="120"/>
              </w:numPr>
              <w:autoSpaceDE w:val="0"/>
              <w:autoSpaceDN w:val="0"/>
              <w:spacing w:afterLines="50"/>
              <w:jc w:val="both"/>
              <w:rPr>
                <w:i/>
                <w:iCs/>
                <w:sz w:val="20"/>
                <w:szCs w:val="20"/>
                <w:lang w:val="en-GB"/>
              </w:rPr>
            </w:pPr>
            <w:r>
              <w:rPr>
                <w:i/>
                <w:iCs/>
                <w:sz w:val="20"/>
                <w:szCs w:val="20"/>
                <w:lang w:val="en-GB"/>
              </w:rPr>
              <w:t>common waveform and frame structure foundation,</w:t>
            </w:r>
          </w:p>
          <w:p w14:paraId="553891D8">
            <w:pPr>
              <w:pStyle w:val="63"/>
              <w:widowControl w:val="0"/>
              <w:numPr>
                <w:ilvl w:val="0"/>
                <w:numId w:val="120"/>
              </w:numPr>
              <w:autoSpaceDE w:val="0"/>
              <w:autoSpaceDN w:val="0"/>
              <w:spacing w:afterLines="50"/>
              <w:jc w:val="both"/>
              <w:rPr>
                <w:i/>
                <w:iCs/>
                <w:sz w:val="20"/>
                <w:szCs w:val="20"/>
                <w:lang w:val="en-GB"/>
              </w:rPr>
            </w:pPr>
            <w:r>
              <w:rPr>
                <w:i/>
                <w:iCs/>
                <w:sz w:val="20"/>
                <w:szCs w:val="20"/>
                <w:lang w:val="en-GB"/>
              </w:rPr>
              <w:t>maximization of reference signal and control channel commonality,</w:t>
            </w:r>
          </w:p>
          <w:p w14:paraId="763FE77A">
            <w:pPr>
              <w:pStyle w:val="63"/>
              <w:widowControl w:val="0"/>
              <w:numPr>
                <w:ilvl w:val="0"/>
                <w:numId w:val="120"/>
              </w:numPr>
              <w:autoSpaceDE w:val="0"/>
              <w:autoSpaceDN w:val="0"/>
              <w:spacing w:afterLines="50"/>
              <w:jc w:val="both"/>
              <w:rPr>
                <w:i/>
                <w:iCs/>
                <w:sz w:val="20"/>
                <w:szCs w:val="20"/>
                <w:lang w:val="en-GB"/>
              </w:rPr>
            </w:pPr>
            <w:r>
              <w:rPr>
                <w:i/>
                <w:iCs/>
                <w:sz w:val="20"/>
                <w:szCs w:val="20"/>
                <w:lang w:val="en-GB"/>
              </w:rPr>
              <w:t>harmonized beam management that that also accounts for NTN-specific characteristics,</w:t>
            </w:r>
          </w:p>
          <w:p w14:paraId="3A0176E4">
            <w:pPr>
              <w:widowControl w:val="0"/>
              <w:autoSpaceDE w:val="0"/>
              <w:autoSpaceDN w:val="0"/>
              <w:spacing w:afterLines="50"/>
              <w:jc w:val="both"/>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r>
            <w:r>
              <w:rPr>
                <w:i/>
                <w:iCs/>
                <w:sz w:val="20"/>
                <w:szCs w:val="20"/>
              </w:rPr>
              <w:t>interface.</w:t>
            </w:r>
            <w:bookmarkEnd w:id="27"/>
          </w:p>
          <w:p w14:paraId="486C88B6">
            <w:pPr>
              <w:widowControl w:val="0"/>
              <w:autoSpaceDE w:val="0"/>
              <w:autoSpaceDN w:val="0"/>
              <w:spacing w:afterLines="50"/>
              <w:jc w:val="both"/>
              <w:rPr>
                <w:i/>
                <w:iCs/>
                <w:sz w:val="20"/>
                <w:szCs w:val="20"/>
              </w:rPr>
            </w:pPr>
            <w:bookmarkStart w:id="28" w:name="Proposal_3"/>
            <w:r>
              <w:rPr>
                <w:b/>
                <w:bCs/>
                <w:i/>
                <w:iCs/>
                <w:sz w:val="20"/>
                <w:szCs w:val="20"/>
              </w:rPr>
              <w:t>Proposal 3</w:t>
            </w:r>
            <w:r>
              <w:rPr>
                <w:i/>
                <w:iCs/>
                <w:sz w:val="20"/>
                <w:szCs w:val="20"/>
              </w:rPr>
              <w:t>: Study a unified mobility management framework that</w:t>
            </w:r>
          </w:p>
          <w:p w14:paraId="06C58B2F">
            <w:pPr>
              <w:pStyle w:val="63"/>
              <w:widowControl w:val="0"/>
              <w:numPr>
                <w:ilvl w:val="0"/>
                <w:numId w:val="121"/>
              </w:numPr>
              <w:autoSpaceDE w:val="0"/>
              <w:autoSpaceDN w:val="0"/>
              <w:spacing w:afterLines="50"/>
              <w:jc w:val="both"/>
              <w:rPr>
                <w:i/>
                <w:iCs/>
                <w:sz w:val="20"/>
                <w:szCs w:val="20"/>
                <w:lang w:val="en-GB"/>
              </w:rPr>
            </w:pPr>
            <w:r>
              <w:rPr>
                <w:i/>
                <w:iCs/>
                <w:sz w:val="20"/>
                <w:szCs w:val="20"/>
                <w:lang w:val="en-GB"/>
              </w:rPr>
              <w:t>addresses seamless transitions between TN and NTN,</w:t>
            </w:r>
          </w:p>
          <w:p w14:paraId="63792E1D">
            <w:pPr>
              <w:pStyle w:val="63"/>
              <w:widowControl w:val="0"/>
              <w:numPr>
                <w:ilvl w:val="0"/>
                <w:numId w:val="121"/>
              </w:numPr>
              <w:autoSpaceDE w:val="0"/>
              <w:autoSpaceDN w:val="0"/>
              <w:spacing w:afterLines="50"/>
              <w:jc w:val="both"/>
              <w:rPr>
                <w:i/>
                <w:iCs/>
                <w:sz w:val="20"/>
                <w:szCs w:val="20"/>
                <w:lang w:val="en-GB"/>
              </w:rPr>
            </w:pPr>
            <w:r>
              <w:rPr>
                <w:i/>
                <w:iCs/>
                <w:sz w:val="20"/>
                <w:szCs w:val="20"/>
                <w:lang w:val="en-GB"/>
              </w:rPr>
              <w:t>enhances intra-TN and intra-NTN mobility performance,</w:t>
            </w:r>
          </w:p>
          <w:p w14:paraId="3AEAF689">
            <w:pPr>
              <w:pStyle w:val="63"/>
              <w:widowControl w:val="0"/>
              <w:numPr>
                <w:ilvl w:val="0"/>
                <w:numId w:val="121"/>
              </w:numPr>
              <w:autoSpaceDE w:val="0"/>
              <w:autoSpaceDN w:val="0"/>
              <w:spacing w:afterLines="50"/>
              <w:jc w:val="both"/>
              <w:rPr>
                <w:i/>
                <w:iCs/>
                <w:sz w:val="20"/>
                <w:szCs w:val="20"/>
                <w:lang w:val="en-GB"/>
              </w:rPr>
            </w:pPr>
            <w:r>
              <w:rPr>
                <w:i/>
                <w:iCs/>
                <w:sz w:val="20"/>
                <w:szCs w:val="20"/>
                <w:lang w:val="en-GB"/>
              </w:rPr>
              <w:t>incorporates principles for interference management between TN and NTN,</w:t>
            </w:r>
          </w:p>
          <w:p w14:paraId="7ACAF203">
            <w:pPr>
              <w:widowControl w:val="0"/>
              <w:autoSpaceDE w:val="0"/>
              <w:autoSpaceDN w:val="0"/>
              <w:spacing w:afterLines="50"/>
              <w:jc w:val="both"/>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r>
            <w:r>
              <w:rPr>
                <w:i/>
                <w:iCs/>
                <w:sz w:val="20"/>
                <w:szCs w:val="20"/>
              </w:rPr>
              <w:t>interface design.</w:t>
            </w:r>
            <w:bookmarkEnd w:id="28"/>
          </w:p>
        </w:tc>
      </w:tr>
      <w:tr w14:paraId="189B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A45A9F1">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14:paraId="35918C92">
            <w:pPr>
              <w:widowControl w:val="0"/>
              <w:autoSpaceDE w:val="0"/>
              <w:autoSpaceDN w:val="0"/>
              <w:spacing w:afterLines="50"/>
              <w:jc w:val="both"/>
              <w:rPr>
                <w:b/>
                <w:bCs/>
                <w:i/>
                <w:iCs/>
                <w:sz w:val="20"/>
                <w:szCs w:val="20"/>
                <w:lang w:val="en-GB"/>
              </w:rPr>
            </w:pPr>
            <w:r>
              <w:rPr>
                <w:b/>
                <w:bCs/>
                <w:i/>
                <w:iCs/>
                <w:sz w:val="20"/>
                <w:szCs w:val="20"/>
                <w:lang w:val="en-GB"/>
              </w:rPr>
              <w:t>Proposal #9.</w:t>
            </w:r>
            <w:r>
              <w:rPr>
                <w:b/>
                <w:bCs/>
                <w:i/>
                <w:iCs/>
                <w:sz w:val="20"/>
                <w:szCs w:val="20"/>
                <w:lang w:val="en-GB"/>
              </w:rPr>
              <w:tab/>
            </w:r>
            <w:r>
              <w:rPr>
                <w:b/>
                <w:bCs/>
                <w:i/>
                <w:iCs/>
                <w:sz w:val="20"/>
                <w:szCs w:val="20"/>
                <w:lang w:val="en-GB"/>
              </w:rPr>
              <w:t>Based on the "lessons learned" from NR/IoT NTN, we propose the principles for harmonization as follows:</w:t>
            </w:r>
          </w:p>
          <w:p w14:paraId="2BCA98E7">
            <w:pPr>
              <w:pStyle w:val="63"/>
              <w:widowControl w:val="0"/>
              <w:numPr>
                <w:ilvl w:val="0"/>
                <w:numId w:val="118"/>
              </w:numPr>
              <w:autoSpaceDE w:val="0"/>
              <w:autoSpaceDN w:val="0"/>
              <w:spacing w:afterLines="50"/>
              <w:jc w:val="both"/>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6768FEF">
            <w:pPr>
              <w:pStyle w:val="63"/>
              <w:widowControl w:val="0"/>
              <w:numPr>
                <w:ilvl w:val="0"/>
                <w:numId w:val="118"/>
              </w:numPr>
              <w:autoSpaceDE w:val="0"/>
              <w:autoSpaceDN w:val="0"/>
              <w:spacing w:afterLines="50"/>
              <w:jc w:val="both"/>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6D956D9F">
            <w:pPr>
              <w:pStyle w:val="63"/>
              <w:widowControl w:val="0"/>
              <w:numPr>
                <w:ilvl w:val="0"/>
                <w:numId w:val="118"/>
              </w:numPr>
              <w:autoSpaceDE w:val="0"/>
              <w:autoSpaceDN w:val="0"/>
              <w:spacing w:afterLines="50"/>
              <w:jc w:val="both"/>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14:paraId="255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014F4488">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14:paraId="6BA90409">
            <w:pPr>
              <w:widowControl w:val="0"/>
              <w:autoSpaceDE w:val="0"/>
              <w:autoSpaceDN w:val="0"/>
              <w:spacing w:afterLines="50"/>
              <w:jc w:val="both"/>
              <w:rPr>
                <w:rFonts w:eastAsiaTheme="minorEastAsia"/>
                <w:b/>
                <w:i/>
                <w:sz w:val="20"/>
                <w:szCs w:val="20"/>
              </w:rPr>
            </w:pPr>
            <w:bookmarkStart w:id="29" w:name="proposal17"/>
            <w:r>
              <w:rPr>
                <w:rFonts w:eastAsiaTheme="minorEastAsia"/>
                <w:b/>
                <w:i/>
                <w:sz w:val="20"/>
                <w:szCs w:val="20"/>
              </w:rPr>
              <w:t>Observation 4: Following lessons and experiences are learned from 5G NTN:</w:t>
            </w:r>
          </w:p>
          <w:p w14:paraId="4E0CAD07">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NTN is not considered in 5G day 1.</w:t>
            </w:r>
          </w:p>
          <w:p w14:paraId="6FF4B063">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Some NTN techniques can also be applicable for TN.</w:t>
            </w:r>
          </w:p>
          <w:p w14:paraId="5904B9AC">
            <w:pPr>
              <w:widowControl w:val="0"/>
              <w:autoSpaceDE w:val="0"/>
              <w:autoSpaceDN w:val="0"/>
              <w:spacing w:afterLines="50"/>
              <w:jc w:val="both"/>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29"/>
          </w:p>
        </w:tc>
      </w:tr>
      <w:tr w14:paraId="3468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AC75448">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14:paraId="28F808E9">
            <w:pPr>
              <w:pStyle w:val="19"/>
              <w:widowControl w:val="0"/>
              <w:autoSpaceDE w:val="0"/>
              <w:autoSpaceDN w:val="0"/>
              <w:spacing w:afterLines="50"/>
              <w:jc w:val="both"/>
            </w:pPr>
            <w:r>
              <w:rPr>
                <w:b/>
                <w:bCs/>
                <w:i/>
                <w:iCs/>
              </w:rPr>
              <w:t xml:space="preserve">Proposal 7: In 6GR, study the methods to couple signal procedures to improve the latency for NTN, considering the satellite’s long propagation delays and significant Doppler shift. </w:t>
            </w:r>
          </w:p>
          <w:p w14:paraId="4E7AAC09">
            <w:pPr>
              <w:pStyle w:val="19"/>
              <w:widowControl w:val="0"/>
              <w:autoSpaceDE w:val="0"/>
              <w:autoSpaceDN w:val="0"/>
              <w:spacing w:afterLines="50"/>
              <w:jc w:val="both"/>
              <w:rPr>
                <w:b/>
                <w:bCs/>
                <w:i/>
                <w:iCs/>
              </w:rPr>
            </w:pPr>
            <w:r>
              <w:rPr>
                <w:b/>
                <w:bCs/>
                <w:i/>
                <w:iCs/>
              </w:rPr>
              <w:t>Proposal 8: RAN1 should at least consider the following aspects when introducing GNSS-free operation into NTN of 6G:</w:t>
            </w:r>
          </w:p>
          <w:p w14:paraId="5326A37E">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Random access procedure</w:t>
            </w:r>
          </w:p>
          <w:p w14:paraId="0C5B0AE5">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Design of preamble</w:t>
            </w:r>
          </w:p>
          <w:p w14:paraId="1BBD98CF">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Mobility</w:t>
            </w:r>
          </w:p>
          <w:p w14:paraId="4BF94212">
            <w:pPr>
              <w:pStyle w:val="19"/>
              <w:widowControl w:val="0"/>
              <w:autoSpaceDE w:val="0"/>
              <w:autoSpaceDN w:val="0"/>
              <w:spacing w:afterLines="50"/>
              <w:jc w:val="both"/>
              <w:rPr>
                <w:rFonts w:eastAsiaTheme="minorEastAsia"/>
                <w:b/>
                <w:bCs/>
                <w:i/>
                <w:iCs/>
              </w:rPr>
            </w:pPr>
            <w:r>
              <w:rPr>
                <w:b/>
                <w:bCs/>
                <w:i/>
                <w:iCs/>
              </w:rPr>
              <w:t xml:space="preserve">Proposal 9: The impact of beam hopping on the random access procedure should be studied. </w:t>
            </w:r>
          </w:p>
        </w:tc>
      </w:tr>
      <w:tr w14:paraId="691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2703981">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14:paraId="4A985D92">
            <w:pPr>
              <w:pStyle w:val="19"/>
              <w:widowControl w:val="0"/>
              <w:autoSpaceDE w:val="0"/>
              <w:autoSpaceDN w:val="0"/>
              <w:spacing w:afterLines="50"/>
              <w:jc w:val="both"/>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pPr>
              <w:pStyle w:val="19"/>
              <w:widowControl w:val="0"/>
              <w:autoSpaceDE w:val="0"/>
              <w:autoSpaceDN w:val="0"/>
              <w:spacing w:afterLines="50"/>
              <w:jc w:val="both"/>
              <w:rPr>
                <w:b/>
                <w:bCs/>
                <w:i/>
                <w:iCs/>
              </w:rPr>
            </w:pPr>
            <w:r>
              <w:rPr>
                <w:b/>
                <w:bCs/>
                <w:i/>
                <w:iCs/>
              </w:rPr>
              <w:t>Proposal 23: NTN specific requirements, features and procedures can be discussed in agenda 10.7.1.</w:t>
            </w:r>
          </w:p>
        </w:tc>
      </w:tr>
      <w:tr w14:paraId="2B5F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C7FC0C1">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14:paraId="02347BC3">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75F20A56">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618381FF">
            <w:pPr>
              <w:widowControl w:val="0"/>
              <w:numPr>
                <w:ilvl w:val="0"/>
                <w:numId w:val="51"/>
              </w:numPr>
              <w:autoSpaceDE w:val="0"/>
              <w:autoSpaceDN w:val="0"/>
              <w:spacing w:afterLines="50"/>
              <w:ind w:left="420"/>
              <w:jc w:val="both"/>
              <w:rPr>
                <w:i/>
                <w:sz w:val="20"/>
                <w:szCs w:val="20"/>
              </w:rPr>
            </w:pPr>
            <w:r>
              <w:rPr>
                <w:i/>
                <w:sz w:val="20"/>
                <w:szCs w:val="20"/>
              </w:rPr>
              <w:t>Optimization for PAPR reduction can be considered, e.g., low-PAPR QAM based on constellation shaping</w:t>
            </w:r>
          </w:p>
          <w:p w14:paraId="2745C59E">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3ABAFADE">
            <w:pPr>
              <w:widowControl w:val="0"/>
              <w:numPr>
                <w:ilvl w:val="0"/>
                <w:numId w:val="51"/>
              </w:numPr>
              <w:autoSpaceDE w:val="0"/>
              <w:autoSpaceDN w:val="0"/>
              <w:spacing w:afterLines="50"/>
              <w:ind w:left="420"/>
              <w:jc w:val="both"/>
              <w:rPr>
                <w:i/>
                <w:sz w:val="20"/>
                <w:szCs w:val="20"/>
              </w:rPr>
            </w:pPr>
            <w:r>
              <w:rPr>
                <w:i/>
                <w:sz w:val="20"/>
                <w:szCs w:val="20"/>
              </w:rPr>
              <w:t>if so, when designing a unified frame structure, NTN factors (such as large RTT, beam hopping and high-mobility of NTN platform) should be taken into account.</w:t>
            </w:r>
          </w:p>
          <w:p w14:paraId="3236E087">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507759D7">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0DBE6261">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1B214DA">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pPr>
              <w:widowControl w:val="0"/>
              <w:autoSpaceDE w:val="0"/>
              <w:autoSpaceDN w:val="0"/>
              <w:spacing w:afterLines="50"/>
              <w:jc w:val="both"/>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36B67215">
      <w:pPr>
        <w:rPr>
          <w:rFonts w:eastAsiaTheme="minorEastAsia"/>
        </w:rPr>
      </w:pPr>
    </w:p>
    <w:p w14:paraId="79A79AF1">
      <w:pPr>
        <w:pStyle w:val="3"/>
        <w:spacing w:after="120"/>
        <w:rPr>
          <w:rFonts w:eastAsiaTheme="minorEastAsia"/>
        </w:rPr>
      </w:pPr>
      <w:r>
        <w:rPr>
          <w:rFonts w:hint="eastAsia" w:eastAsiaTheme="minorEastAsia"/>
        </w:rPr>
        <w:t>Issue#3: Bandwidth operations</w:t>
      </w:r>
    </w:p>
    <w:p w14:paraId="44401DBE">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BWP operation can be discussed in AI 10.5.1.3 and no specific agreement is needed in this agenda. </w:t>
      </w:r>
    </w:p>
    <w:p w14:paraId="2C4DFDEE">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3AF6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7135912">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C4CD790">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6A18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EECEF5C">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02A75FF0">
            <w:pPr>
              <w:pStyle w:val="63"/>
              <w:numPr>
                <w:ilvl w:val="0"/>
                <w:numId w:val="87"/>
              </w:numPr>
              <w:jc w:val="both"/>
              <w:rPr>
                <w:rFonts w:ascii="Times New Roman" w:hAnsi="Times New Roman" w:cs="Times New Roman" w:eastAsiaTheme="minorEastAsia"/>
                <w:bCs/>
                <w:szCs w:val="20"/>
              </w:rPr>
            </w:pPr>
          </w:p>
        </w:tc>
      </w:tr>
      <w:tr w14:paraId="29B8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AA59B11">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7E3A9D7C">
            <w:pPr>
              <w:widowControl w:val="0"/>
              <w:suppressAutoHyphens/>
              <w:spacing w:line="256" w:lineRule="auto"/>
              <w:jc w:val="both"/>
              <w:rPr>
                <w:rFonts w:ascii="Times New Roman" w:hAnsi="Times New Roman" w:eastAsia="宋体" w:cs="Times New Roman"/>
                <w:kern w:val="2"/>
                <w:szCs w:val="22"/>
                <w:lang w:val="en-GB" w:eastAsia="en-US"/>
              </w:rPr>
            </w:pPr>
          </w:p>
        </w:tc>
      </w:tr>
      <w:tr w14:paraId="2E4E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92EBF59">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016F8504">
            <w:pPr>
              <w:widowControl w:val="0"/>
              <w:suppressAutoHyphens/>
              <w:spacing w:line="256" w:lineRule="auto"/>
              <w:jc w:val="both"/>
              <w:rPr>
                <w:rFonts w:ascii="Times New Roman" w:hAnsi="Times New Roman" w:cs="Times New Roman"/>
                <w:sz w:val="20"/>
                <w:szCs w:val="20"/>
                <w:lang w:val="en-GB" w:eastAsia="en-US"/>
              </w:rPr>
            </w:pPr>
          </w:p>
        </w:tc>
      </w:tr>
    </w:tbl>
    <w:p w14:paraId="267C3183">
      <w:pPr>
        <w:rPr>
          <w:rFonts w:eastAsiaTheme="minorEastAsia"/>
        </w:rPr>
      </w:pPr>
    </w:p>
    <w:p w14:paraId="2DF010A7">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007F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346E9BFE">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12632496">
            <w:pPr>
              <w:widowControl w:val="0"/>
              <w:autoSpaceDE w:val="0"/>
              <w:autoSpaceDN w:val="0"/>
              <w:jc w:val="center"/>
            </w:pPr>
            <w:r>
              <w:rPr>
                <w:rFonts w:eastAsiaTheme="minorEastAsia"/>
                <w:b/>
                <w:bCs/>
                <w:lang w:eastAsia="ko-KR"/>
              </w:rPr>
              <w:t xml:space="preserve">Views/proposals </w:t>
            </w:r>
          </w:p>
        </w:tc>
      </w:tr>
      <w:tr w14:paraId="40FE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D2C779A">
            <w:pPr>
              <w:widowControl w:val="0"/>
              <w:autoSpaceDE w:val="0"/>
              <w:autoSpaceDN w:val="0"/>
              <w:spacing w:afterLines="50"/>
              <w:jc w:val="both"/>
              <w:rPr>
                <w:rFonts w:eastAsia="宋体"/>
                <w:sz w:val="20"/>
                <w:szCs w:val="20"/>
                <w:lang w:val="en-GB"/>
              </w:rPr>
            </w:pPr>
            <w:r>
              <w:rPr>
                <w:rFonts w:eastAsia="宋体"/>
                <w:sz w:val="20"/>
                <w:szCs w:val="20"/>
                <w:lang w:val="en-GB"/>
              </w:rPr>
              <w:t>Google</w:t>
            </w:r>
          </w:p>
        </w:tc>
        <w:tc>
          <w:tcPr>
            <w:tcW w:w="3829" w:type="pct"/>
          </w:tcPr>
          <w:p w14:paraId="46BEA75E">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r>
            <w:r>
              <w:rPr>
                <w:rFonts w:eastAsiaTheme="minorEastAsia"/>
                <w:b/>
                <w:bCs/>
                <w:i/>
                <w:iCs/>
                <w:sz w:val="20"/>
                <w:szCs w:val="20"/>
              </w:rPr>
              <w:t>6G BWP design should support a lean configuration framework where common parameters are cell-specific and BWP-specific configuration is limited to essential parameters (e.g., size, location) to minimize signaling overhead and facilitate faster switching.</w:t>
            </w:r>
          </w:p>
          <w:p w14:paraId="1B27996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14:paraId="5935504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r>
            <w:r>
              <w:rPr>
                <w:rFonts w:eastAsiaTheme="minorEastAsia"/>
                <w:b/>
                <w:bCs/>
                <w:i/>
                <w:iCs/>
                <w:sz w:val="20"/>
                <w:szCs w:val="20"/>
              </w:rPr>
              <w:t>Allow decoupled DL/UL BWP center frequencies to support flexible duplexing schemes and time-varying traffic requirements.</w:t>
            </w:r>
          </w:p>
          <w:p w14:paraId="6D5656D0">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pPr>
              <w:widowControl w:val="0"/>
              <w:autoSpaceDE w:val="0"/>
              <w:autoSpaceDN w:val="0"/>
              <w:spacing w:afterLines="50"/>
              <w:jc w:val="both"/>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14:paraId="2E1A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6EF153B">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7E5DFB79">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768543F8">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14:paraId="1E99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0000FF2">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0F48A4B2">
            <w:pPr>
              <w:widowControl w:val="0"/>
              <w:autoSpaceDE w:val="0"/>
              <w:autoSpaceDN w:val="0"/>
              <w:spacing w:afterLines="50"/>
              <w:ind w:left="1308" w:hanging="1309" w:hangingChars="654"/>
              <w:jc w:val="both"/>
              <w:rPr>
                <w:b/>
                <w:bCs/>
                <w:sz w:val="20"/>
                <w:szCs w:val="20"/>
                <w:lang w:eastAsia="ko-KR"/>
              </w:rPr>
            </w:pPr>
            <w:r>
              <w:rPr>
                <w:b/>
                <w:bCs/>
                <w:sz w:val="20"/>
                <w:szCs w:val="20"/>
                <w:lang w:eastAsia="ko-KR"/>
              </w:rPr>
              <w:t>Observation 1</w:t>
            </w:r>
            <w:r>
              <w:rPr>
                <w:b/>
                <w:bCs/>
                <w:sz w:val="20"/>
                <w:szCs w:val="20"/>
                <w:lang w:eastAsia="ko-KR"/>
              </w:rPr>
              <w:tab/>
            </w:r>
            <w:r>
              <w:rPr>
                <w:b/>
                <w:bCs/>
                <w:sz w:val="20"/>
                <w:szCs w:val="20"/>
                <w:lang w:eastAsia="ko-KR"/>
              </w:rPr>
              <w:t>The following aspects are observed as pain points of the BWP framework/operation in 5G NR.</w:t>
            </w:r>
          </w:p>
          <w:p w14:paraId="70E30239">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FD94270">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2F14C62B">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B03193E">
            <w:pPr>
              <w:widowControl w:val="0"/>
              <w:autoSpaceDE w:val="0"/>
              <w:autoSpaceDN w:val="0"/>
              <w:spacing w:afterLines="50"/>
              <w:ind w:left="1308" w:hanging="1309" w:hangingChars="654"/>
              <w:jc w:val="both"/>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50EC2D26">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Minimization of per-BWP parameters/configurations</w:t>
            </w:r>
          </w:p>
          <w:p w14:paraId="0F8CEB8A">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Reduction of BWP adaptation latency/complexity</w:t>
            </w:r>
          </w:p>
          <w:p w14:paraId="2C34D3B8">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Relaxation/extension of DL/UL BWP combination</w:t>
            </w:r>
          </w:p>
          <w:p w14:paraId="3D707734">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Non-contiguous frequency resource allocation</w:t>
            </w:r>
          </w:p>
        </w:tc>
      </w:tr>
      <w:tr w14:paraId="40AA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13F68B5">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60167021">
            <w:pPr>
              <w:widowControl w:val="0"/>
              <w:autoSpaceDE w:val="0"/>
              <w:autoSpaceDN w:val="0"/>
              <w:spacing w:afterLines="50"/>
              <w:ind w:left="1200" w:hanging="1201" w:hangingChars="600"/>
              <w:jc w:val="both"/>
              <w:rPr>
                <w:b/>
                <w:bCs/>
                <w:sz w:val="20"/>
                <w:szCs w:val="20"/>
                <w:lang w:eastAsia="ko-KR"/>
              </w:rPr>
            </w:pPr>
            <w:r>
              <w:rPr>
                <w:b/>
                <w:bCs/>
                <w:sz w:val="20"/>
                <w:szCs w:val="20"/>
                <w:lang w:eastAsia="ko-KR"/>
              </w:rPr>
              <w:t>Proposal 28</w:t>
            </w:r>
            <w:r>
              <w:rPr>
                <w:b/>
                <w:bCs/>
                <w:sz w:val="20"/>
                <w:szCs w:val="20"/>
                <w:lang w:eastAsia="ko-KR"/>
              </w:rPr>
              <w:tab/>
            </w:r>
            <w:r>
              <w:rPr>
                <w:b/>
                <w:bCs/>
                <w:sz w:val="20"/>
                <w:szCs w:val="20"/>
                <w:lang w:eastAsia="ko-KR"/>
              </w:rPr>
              <w:t>UCI transmission channel and UCI mapping format for different UCI types (including CSI, HARQ</w:t>
            </w:r>
            <w:r>
              <w:rPr>
                <w:b/>
                <w:bCs/>
                <w:sz w:val="20"/>
                <w:szCs w:val="20"/>
                <w:lang w:eastAsia="ko-KR"/>
              </w:rPr>
              <w:noBreakHyphen/>
            </w:r>
            <w:r>
              <w:rPr>
                <w:b/>
                <w:bCs/>
                <w:sz w:val="20"/>
                <w:szCs w:val="20"/>
                <w:lang w:eastAsia="ko-KR"/>
              </w:rPr>
              <w:t>ACK, SR) should be carefully studied for 6GR, with consideration of at least following aspects:</w:t>
            </w:r>
          </w:p>
          <w:p w14:paraId="57D88890">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UCI reliability requirements (e.g. target BLER performance)</w:t>
            </w:r>
          </w:p>
          <w:p w14:paraId="28FBEFB4">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r>
            <w:r>
              <w:rPr>
                <w:b/>
                <w:bCs/>
                <w:sz w:val="20"/>
                <w:szCs w:val="20"/>
                <w:lang w:eastAsia="ko-KR"/>
              </w:rPr>
              <w:t>critical nature of certain UCI types)</w:t>
            </w:r>
          </w:p>
          <w:p w14:paraId="64279BBD">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UL resource/header overhead (including signaling and transmission efficiency)</w:t>
            </w:r>
          </w:p>
          <w:p w14:paraId="5E8E8936">
            <w:pPr>
              <w:widowControl w:val="0"/>
              <w:numPr>
                <w:ilvl w:val="0"/>
                <w:numId w:val="118"/>
              </w:numPr>
              <w:overflowPunct w:val="0"/>
              <w:autoSpaceDE w:val="0"/>
              <w:autoSpaceDN w:val="0"/>
              <w:spacing w:afterLines="50"/>
              <w:jc w:val="both"/>
              <w:textAlignment w:val="baseline"/>
              <w:rPr>
                <w:b/>
                <w:bCs/>
                <w:sz w:val="20"/>
                <w:szCs w:val="20"/>
                <w:lang w:eastAsia="ko-KR"/>
              </w:rPr>
            </w:pPr>
            <w:r>
              <w:rPr>
                <w:b/>
                <w:bCs/>
                <w:sz w:val="20"/>
                <w:szCs w:val="20"/>
                <w:lang w:eastAsia="ko-KR"/>
              </w:rPr>
              <w:t>Standard impacts (e.g. HARQ</w:t>
            </w:r>
            <w:r>
              <w:rPr>
                <w:b/>
                <w:bCs/>
                <w:sz w:val="20"/>
                <w:szCs w:val="20"/>
                <w:lang w:eastAsia="ko-KR"/>
              </w:rPr>
              <w:noBreakHyphen/>
            </w:r>
            <w:r>
              <w:rPr>
                <w:b/>
                <w:bCs/>
                <w:sz w:val="20"/>
                <w:szCs w:val="20"/>
                <w:lang w:eastAsia="ko-KR"/>
              </w:rPr>
              <w:t>ACK feedback resource allocation and procedures)</w:t>
            </w:r>
          </w:p>
          <w:p w14:paraId="28A0ECD4">
            <w:pPr>
              <w:widowControl w:val="0"/>
              <w:autoSpaceDE w:val="0"/>
              <w:autoSpaceDN w:val="0"/>
              <w:spacing w:afterLines="50"/>
              <w:ind w:left="1200" w:hanging="1201" w:hangingChars="600"/>
              <w:jc w:val="both"/>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14:paraId="7364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566C7C1">
            <w:pPr>
              <w:widowControl w:val="0"/>
              <w:autoSpaceDE w:val="0"/>
              <w:autoSpaceDN w:val="0"/>
              <w:spacing w:afterLines="50"/>
              <w:jc w:val="both"/>
              <w:rPr>
                <w:rFonts w:eastAsia="宋体"/>
                <w:sz w:val="20"/>
                <w:szCs w:val="20"/>
                <w:lang w:val="en-GB"/>
              </w:rPr>
            </w:pPr>
            <w:r>
              <w:rPr>
                <w:rFonts w:eastAsia="宋体"/>
                <w:sz w:val="20"/>
                <w:szCs w:val="20"/>
                <w:lang w:val="en-GB"/>
              </w:rPr>
              <w:t>Ofinno</w:t>
            </w:r>
          </w:p>
        </w:tc>
        <w:tc>
          <w:tcPr>
            <w:tcW w:w="3829" w:type="pct"/>
          </w:tcPr>
          <w:p w14:paraId="430A0B68">
            <w:pPr>
              <w:widowControl/>
              <w:overflowPunct w:val="0"/>
              <w:autoSpaceDE w:val="0"/>
              <w:autoSpaceDN w:val="0"/>
              <w:spacing w:afterLines="50"/>
              <w:jc w:val="both"/>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14:paraId="66C6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E692093">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42E42444">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r>
            <w:r>
              <w:rPr>
                <w:rFonts w:eastAsia="宋体"/>
                <w:b/>
                <w:bCs/>
                <w:i/>
                <w:iCs/>
                <w:sz w:val="20"/>
                <w:szCs w:val="20"/>
                <w:lang w:val="en-GB" w:eastAsia="en-US"/>
              </w:rPr>
              <w:t>Over optimized BWP specific RRC configurations in NR results in heavy RRC signalling overhead, increased switching latency, and complicated specifications and implementation.</w:t>
            </w:r>
          </w:p>
          <w:p w14:paraId="45502C2E">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14:paraId="2FBBB4A2">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r>
            <w:r>
              <w:rPr>
                <w:rFonts w:eastAsia="宋体"/>
                <w:b/>
                <w:bCs/>
                <w:i/>
                <w:iCs/>
                <w:sz w:val="20"/>
                <w:szCs w:val="20"/>
                <w:lang w:val="en-GB" w:eastAsia="en-US"/>
              </w:rPr>
              <w:t>NR BWP switching results in unnecessary signalling overhead and increased latency for activating RRC-configured transmissions/receptions.</w:t>
            </w:r>
          </w:p>
          <w:p w14:paraId="4F0D6F1C">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r>
            <w:r>
              <w:rPr>
                <w:rFonts w:eastAsia="宋体"/>
                <w:b/>
                <w:bCs/>
                <w:i/>
                <w:iCs/>
                <w:sz w:val="20"/>
                <w:szCs w:val="20"/>
                <w:lang w:val="en-GB" w:eastAsia="en-US"/>
              </w:rPr>
              <w:t>NR BWP switching results in unnecessary HARQ-ACK dropping.</w:t>
            </w:r>
          </w:p>
          <w:p w14:paraId="516C7138">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r>
            <w:r>
              <w:rPr>
                <w:rFonts w:eastAsia="宋体"/>
                <w:b/>
                <w:bCs/>
                <w:i/>
                <w:iCs/>
                <w:sz w:val="20"/>
                <w:szCs w:val="20"/>
                <w:lang w:val="en-GB" w:eastAsia="en-US"/>
              </w:rPr>
              <w:t>Study the necessity of supporting BWP operation, in conjunction with other functionalities related to UE power savings, for 6GR.</w:t>
            </w:r>
          </w:p>
          <w:p w14:paraId="2213A5A9">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r>
            <w:r>
              <w:rPr>
                <w:rFonts w:eastAsia="宋体"/>
                <w:b/>
                <w:bCs/>
                <w:i/>
                <w:iCs/>
                <w:sz w:val="20"/>
                <w:szCs w:val="20"/>
                <w:lang w:val="en-GB" w:eastAsia="en-US"/>
              </w:rPr>
              <w:t>The design of 6GR BWP-based operation, if supported, should aim to avoid most/all shortcomings of BWP-based operation in NR.</w:t>
            </w:r>
          </w:p>
        </w:tc>
      </w:tr>
      <w:tr w14:paraId="1079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9262068">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25A225C6">
            <w:pPr>
              <w:widowControl w:val="0"/>
              <w:autoSpaceDE w:val="0"/>
              <w:autoSpaceDN w:val="0"/>
              <w:spacing w:afterLines="50"/>
              <w:jc w:val="both"/>
              <w:rPr>
                <w:b/>
                <w:i/>
                <w:iCs/>
                <w:color w:val="000000" w:themeColor="text1"/>
                <w:sz w:val="20"/>
                <w:szCs w:val="20"/>
                <w14:textFill>
                  <w14:solidFill>
                    <w14:schemeClr w14:val="tx1"/>
                  </w14:solidFill>
                </w14:textFill>
              </w:rPr>
            </w:pPr>
            <w:r>
              <w:rPr>
                <w:b/>
                <w:i/>
                <w:iCs/>
                <w:color w:val="000000" w:themeColor="text1"/>
                <w:sz w:val="20"/>
                <w:szCs w:val="20"/>
                <w14:textFill>
                  <w14:solidFill>
                    <w14:schemeClr w14:val="tx1"/>
                  </w14:solidFill>
                </w14:textFill>
              </w:rPr>
              <w:t>Proposal 5: Regarding the 6G bandwidth part, at least the following should be studied:</w:t>
            </w:r>
          </w:p>
          <w:p w14:paraId="588FEF0D">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BWP simplification</w:t>
            </w:r>
          </w:p>
          <w:p w14:paraId="24D2A290">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Discontinuous spectrum within a “virtual carrier”</w:t>
            </w:r>
          </w:p>
          <w:p w14:paraId="3FB323D0">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Rapid bandwidth switching</w:t>
            </w:r>
          </w:p>
          <w:p w14:paraId="06B608BB">
            <w:pPr>
              <w:pStyle w:val="63"/>
              <w:widowControl w:val="0"/>
              <w:numPr>
                <w:ilvl w:val="0"/>
                <w:numId w:val="122"/>
              </w:numPr>
              <w:autoSpaceDE w:val="0"/>
              <w:autoSpaceDN w:val="0"/>
              <w:spacing w:afterLines="50"/>
              <w:ind w:left="867" w:hanging="442"/>
              <w:jc w:val="both"/>
              <w:rPr>
                <w:b/>
                <w:bCs/>
                <w:i/>
                <w:iCs/>
                <w:sz w:val="20"/>
                <w:szCs w:val="20"/>
              </w:rPr>
            </w:pPr>
            <w:r>
              <w:rPr>
                <w:b/>
                <w:bCs/>
                <w:i/>
                <w:iCs/>
                <w:sz w:val="20"/>
                <w:szCs w:val="20"/>
              </w:rPr>
              <w:t>UE RF constraints</w:t>
            </w:r>
          </w:p>
        </w:tc>
      </w:tr>
    </w:tbl>
    <w:p w14:paraId="108A0F2C">
      <w:pPr>
        <w:rPr>
          <w:rFonts w:eastAsiaTheme="minorEastAsia"/>
        </w:rPr>
      </w:pPr>
    </w:p>
    <w:p w14:paraId="473F49AE">
      <w:pPr>
        <w:pStyle w:val="3"/>
        <w:spacing w:after="120"/>
        <w:rPr>
          <w:rFonts w:eastAsiaTheme="minorEastAsia"/>
        </w:rPr>
      </w:pPr>
      <w:r>
        <w:rPr>
          <w:rFonts w:hint="eastAsia" w:eastAsiaTheme="minorEastAsia"/>
        </w:rPr>
        <w:t>Issue#4: MIMO</w:t>
      </w:r>
    </w:p>
    <w:p w14:paraId="73941AC7">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respective agendas in AI 10.5.2 and no specific agreement is needed in this agenda. </w:t>
      </w:r>
    </w:p>
    <w:p w14:paraId="13D427A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5E4A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D01DFC0">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BF1976C">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53C7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E440EB8">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13F5B257">
            <w:pPr>
              <w:pStyle w:val="63"/>
              <w:numPr>
                <w:ilvl w:val="0"/>
                <w:numId w:val="87"/>
              </w:numPr>
              <w:jc w:val="both"/>
              <w:rPr>
                <w:rFonts w:ascii="Times New Roman" w:hAnsi="Times New Roman" w:cs="Times New Roman" w:eastAsiaTheme="minorEastAsia"/>
                <w:bCs/>
                <w:szCs w:val="20"/>
              </w:rPr>
            </w:pPr>
          </w:p>
        </w:tc>
      </w:tr>
      <w:tr w14:paraId="439B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5964D9C">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122C2BDF">
            <w:pPr>
              <w:widowControl w:val="0"/>
              <w:suppressAutoHyphens/>
              <w:spacing w:line="256" w:lineRule="auto"/>
              <w:jc w:val="both"/>
              <w:rPr>
                <w:rFonts w:ascii="Times New Roman" w:hAnsi="Times New Roman" w:eastAsia="宋体" w:cs="Times New Roman"/>
                <w:kern w:val="2"/>
                <w:szCs w:val="22"/>
                <w:lang w:val="en-GB" w:eastAsia="en-US"/>
              </w:rPr>
            </w:pPr>
          </w:p>
        </w:tc>
      </w:tr>
      <w:tr w14:paraId="14EE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A3F84E2">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01D9A07B">
            <w:pPr>
              <w:widowControl w:val="0"/>
              <w:suppressAutoHyphens/>
              <w:spacing w:line="256" w:lineRule="auto"/>
              <w:jc w:val="both"/>
              <w:rPr>
                <w:rFonts w:ascii="Times New Roman" w:hAnsi="Times New Roman" w:cs="Times New Roman"/>
                <w:sz w:val="20"/>
                <w:szCs w:val="20"/>
                <w:lang w:val="en-GB" w:eastAsia="en-US"/>
              </w:rPr>
            </w:pPr>
          </w:p>
        </w:tc>
      </w:tr>
    </w:tbl>
    <w:p w14:paraId="136730D5">
      <w:pPr>
        <w:rPr>
          <w:rFonts w:eastAsiaTheme="minorEastAsia"/>
        </w:rPr>
      </w:pPr>
    </w:p>
    <w:p w14:paraId="294208CA">
      <w:pPr>
        <w:rPr>
          <w:rFonts w:eastAsiaTheme="minorEastAsia"/>
        </w:rPr>
      </w:pPr>
    </w:p>
    <w:p w14:paraId="61FA64A3">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3786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5DF3A58B">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6722A7A6">
            <w:pPr>
              <w:widowControl w:val="0"/>
              <w:autoSpaceDE w:val="0"/>
              <w:autoSpaceDN w:val="0"/>
              <w:jc w:val="center"/>
            </w:pPr>
            <w:r>
              <w:rPr>
                <w:rFonts w:eastAsiaTheme="minorEastAsia"/>
                <w:b/>
                <w:bCs/>
                <w:lang w:eastAsia="ko-KR"/>
              </w:rPr>
              <w:t xml:space="preserve">Views/proposals </w:t>
            </w:r>
          </w:p>
        </w:tc>
      </w:tr>
      <w:tr w14:paraId="131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D0C1887">
            <w:pPr>
              <w:widowControl w:val="0"/>
              <w:autoSpaceDE w:val="0"/>
              <w:autoSpaceDN w:val="0"/>
              <w:spacing w:afterLines="50"/>
              <w:jc w:val="both"/>
              <w:rPr>
                <w:rFonts w:eastAsia="宋体"/>
                <w:sz w:val="20"/>
                <w:szCs w:val="20"/>
                <w:lang w:val="en-GB"/>
              </w:rPr>
            </w:pPr>
            <w:r>
              <w:rPr>
                <w:rFonts w:eastAsia="宋体"/>
                <w:sz w:val="20"/>
                <w:szCs w:val="20"/>
                <w:lang w:val="en-GB"/>
              </w:rPr>
              <w:t>CAICT</w:t>
            </w:r>
          </w:p>
        </w:tc>
        <w:tc>
          <w:tcPr>
            <w:tcW w:w="3829" w:type="pct"/>
          </w:tcPr>
          <w:p w14:paraId="390265FE">
            <w:pPr>
              <w:widowControl w:val="0"/>
              <w:autoSpaceDE w:val="0"/>
              <w:autoSpaceDN w:val="0"/>
              <w:spacing w:afterLines="50"/>
              <w:ind w:left="100" w:hanging="100" w:hangingChars="50"/>
              <w:jc w:val="both"/>
              <w:rPr>
                <w:b/>
                <w:i/>
                <w:sz w:val="20"/>
                <w:szCs w:val="20"/>
              </w:rPr>
            </w:pPr>
            <w:r>
              <w:rPr>
                <w:b/>
                <w:i/>
                <w:sz w:val="20"/>
                <w:szCs w:val="20"/>
              </w:rPr>
              <w:t>Observation 1: MIMO must support standalone deployment in the 7 GHz band as well as joint deployment with the 2–3 GHz low-frequency bands.</w:t>
            </w:r>
          </w:p>
          <w:p w14:paraId="2C0F87A2">
            <w:pPr>
              <w:widowControl w:val="0"/>
              <w:autoSpaceDE w:val="0"/>
              <w:autoSpaceDN w:val="0"/>
              <w:spacing w:afterLines="50"/>
              <w:ind w:left="100" w:hanging="100" w:hangingChars="50"/>
              <w:jc w:val="both"/>
              <w:rPr>
                <w:b/>
                <w:i/>
                <w:sz w:val="20"/>
                <w:szCs w:val="20"/>
              </w:rPr>
            </w:pPr>
            <w:r>
              <w:rPr>
                <w:b/>
                <w:i/>
                <w:sz w:val="20"/>
                <w:szCs w:val="20"/>
              </w:rPr>
              <w:t>Observation 2: MIMO must account for TDD, FDD, and potentially full-duplex operation in selected bands.</w:t>
            </w:r>
          </w:p>
          <w:p w14:paraId="6AD31AD4">
            <w:pPr>
              <w:widowControl w:val="0"/>
              <w:autoSpaceDE w:val="0"/>
              <w:autoSpaceDN w:val="0"/>
              <w:spacing w:afterLines="50"/>
              <w:ind w:left="100" w:hanging="100" w:hangingChars="50"/>
              <w:jc w:val="both"/>
              <w:rPr>
                <w:b/>
                <w:i/>
                <w:sz w:val="20"/>
                <w:szCs w:val="20"/>
              </w:rPr>
            </w:pPr>
            <w:r>
              <w:rPr>
                <w:b/>
                <w:i/>
                <w:sz w:val="20"/>
                <w:szCs w:val="20"/>
              </w:rPr>
              <w:t>Observation 3: MIMO should be integrated with carrier aggregation and SUL techniques.</w:t>
            </w:r>
          </w:p>
          <w:p w14:paraId="3FB93412">
            <w:pPr>
              <w:widowControl w:val="0"/>
              <w:autoSpaceDE w:val="0"/>
              <w:autoSpaceDN w:val="0"/>
              <w:spacing w:afterLines="50"/>
              <w:ind w:left="100" w:hanging="100" w:hangingChars="50"/>
              <w:jc w:val="both"/>
              <w:rPr>
                <w:b/>
                <w:i/>
                <w:sz w:val="20"/>
                <w:szCs w:val="20"/>
              </w:rPr>
            </w:pPr>
            <w:r>
              <w:rPr>
                <w:b/>
                <w:i/>
                <w:sz w:val="20"/>
                <w:szCs w:val="20"/>
              </w:rPr>
              <w:t>Observation 4: 6G can build upon the 5G MIMO design framework, enhancing it with increased antenna numbers, ports, and precise beam control.</w:t>
            </w:r>
          </w:p>
          <w:p w14:paraId="3F0F7686">
            <w:pPr>
              <w:widowControl w:val="0"/>
              <w:autoSpaceDE w:val="0"/>
              <w:autoSpaceDN w:val="0"/>
              <w:spacing w:afterLines="50"/>
              <w:ind w:left="100" w:hanging="100" w:hangingChars="50"/>
              <w:jc w:val="both"/>
              <w:rPr>
                <w:b/>
                <w:i/>
                <w:sz w:val="20"/>
                <w:szCs w:val="20"/>
              </w:rPr>
            </w:pPr>
            <w:r>
              <w:rPr>
                <w:b/>
                <w:i/>
                <w:sz w:val="20"/>
                <w:szCs w:val="20"/>
              </w:rPr>
              <w:t>Observation 5: 6G uplink must support more refined codebook designs to enhance coverage.</w:t>
            </w:r>
          </w:p>
          <w:p w14:paraId="4F42C04E">
            <w:pPr>
              <w:widowControl w:val="0"/>
              <w:autoSpaceDE w:val="0"/>
              <w:autoSpaceDN w:val="0"/>
              <w:spacing w:afterLines="50"/>
              <w:jc w:val="both"/>
              <w:rPr>
                <w:b/>
                <w:i/>
                <w:sz w:val="20"/>
                <w:szCs w:val="20"/>
              </w:rPr>
            </w:pPr>
            <w:r>
              <w:rPr>
                <w:b/>
                <w:i/>
                <w:sz w:val="20"/>
                <w:szCs w:val="20"/>
              </w:rPr>
              <w:t>Observation 6: 6G MIMO must incorporate dedicated energy-saving design features.</w:t>
            </w:r>
          </w:p>
          <w:p w14:paraId="4ED85111">
            <w:pPr>
              <w:widowControl w:val="0"/>
              <w:autoSpaceDE w:val="0"/>
              <w:autoSpaceDN w:val="0"/>
              <w:spacing w:afterLines="50"/>
              <w:ind w:left="100" w:hanging="100" w:hangingChars="50"/>
              <w:jc w:val="both"/>
              <w:rPr>
                <w:b/>
                <w:i/>
                <w:sz w:val="20"/>
                <w:szCs w:val="20"/>
              </w:rPr>
            </w:pPr>
            <w:r>
              <w:rPr>
                <w:b/>
                <w:i/>
                <w:sz w:val="20"/>
                <w:szCs w:val="20"/>
              </w:rPr>
              <w:t>Proposal 1: Conduct research on AI-based MIMO solutions concurrently with non-AI design efforts to enable integrated, co-optimized system architectures.</w:t>
            </w:r>
          </w:p>
          <w:p w14:paraId="5BAAE61F">
            <w:pPr>
              <w:widowControl w:val="0"/>
              <w:autoSpaceDE w:val="0"/>
              <w:autoSpaceDN w:val="0"/>
              <w:spacing w:afterLines="50"/>
              <w:ind w:left="100" w:hanging="100" w:hangingChars="50"/>
              <w:jc w:val="both"/>
              <w:rPr>
                <w:b/>
                <w:i/>
                <w:sz w:val="20"/>
                <w:szCs w:val="20"/>
              </w:rPr>
            </w:pPr>
            <w:r>
              <w:rPr>
                <w:b/>
                <w:i/>
                <w:sz w:val="20"/>
                <w:szCs w:val="20"/>
              </w:rPr>
              <w:t>Proposal 2: 6G MIMO should support AI-aware pilot design. Specifically, AI-based CSI prediction, CSI-RS overhead reduction, and AI-based DMRS design are strongly recommended.</w:t>
            </w:r>
          </w:p>
          <w:p w14:paraId="464B1126">
            <w:pPr>
              <w:widowControl w:val="0"/>
              <w:autoSpaceDE w:val="0"/>
              <w:autoSpaceDN w:val="0"/>
              <w:spacing w:afterLines="50"/>
              <w:ind w:left="100" w:hanging="100" w:hangingChars="50"/>
              <w:jc w:val="both"/>
              <w:rPr>
                <w:b/>
                <w:i/>
                <w:sz w:val="20"/>
                <w:szCs w:val="20"/>
              </w:rPr>
            </w:pPr>
            <w:r>
              <w:rPr>
                <w:b/>
                <w:i/>
                <w:sz w:val="20"/>
                <w:szCs w:val="20"/>
              </w:rPr>
              <w:t>Proposal 3: Continue research and standardization support for AI-based CSI compression and feedback, as well as AI for beam management and its extensions in 6G.</w:t>
            </w:r>
          </w:p>
          <w:p w14:paraId="4415CAEF">
            <w:pPr>
              <w:widowControl w:val="0"/>
              <w:autoSpaceDE w:val="0"/>
              <w:autoSpaceDN w:val="0"/>
              <w:spacing w:afterLines="50"/>
              <w:ind w:left="100" w:hanging="100" w:hangingChars="50"/>
              <w:jc w:val="both"/>
              <w:rPr>
                <w:rFonts w:eastAsiaTheme="minorEastAsia"/>
                <w:b/>
                <w:i/>
                <w:sz w:val="20"/>
                <w:szCs w:val="20"/>
              </w:rPr>
            </w:pPr>
            <w:r>
              <w:rPr>
                <w:b/>
                <w:i/>
                <w:sz w:val="20"/>
                <w:szCs w:val="20"/>
              </w:rPr>
              <w:t>Proposal 4: 6G MIMO design should not be modified or constrained to support sensing requirements.</w:t>
            </w:r>
          </w:p>
        </w:tc>
      </w:tr>
      <w:tr w14:paraId="4731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F580F43">
            <w:pPr>
              <w:widowControl w:val="0"/>
              <w:autoSpaceDE w:val="0"/>
              <w:autoSpaceDN w:val="0"/>
              <w:spacing w:afterLines="50"/>
              <w:jc w:val="both"/>
              <w:rPr>
                <w:rFonts w:eastAsia="宋体"/>
                <w:sz w:val="20"/>
                <w:szCs w:val="20"/>
                <w:lang w:val="en-GB"/>
              </w:rPr>
            </w:pPr>
            <w:r>
              <w:rPr>
                <w:rFonts w:eastAsia="宋体"/>
                <w:sz w:val="20"/>
                <w:szCs w:val="20"/>
                <w:lang w:val="en-GB"/>
              </w:rPr>
              <w:t>National Spectrum Consortium</w:t>
            </w:r>
          </w:p>
        </w:tc>
        <w:tc>
          <w:tcPr>
            <w:tcW w:w="3829" w:type="pct"/>
          </w:tcPr>
          <w:p w14:paraId="00436434">
            <w:pPr>
              <w:widowControl w:val="0"/>
              <w:autoSpaceDE w:val="0"/>
              <w:autoSpaceDN w:val="0"/>
              <w:spacing w:afterLines="50"/>
              <w:jc w:val="both"/>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pPr>
              <w:widowControl w:val="0"/>
              <w:autoSpaceDE w:val="0"/>
              <w:autoSpaceDN w:val="0"/>
              <w:spacing w:afterLines="50"/>
              <w:jc w:val="both"/>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0D7CD7A5">
            <w:pPr>
              <w:widowControl w:val="0"/>
              <w:autoSpaceDE w:val="0"/>
              <w:autoSpaceDN w:val="0"/>
              <w:spacing w:afterLines="50"/>
              <w:jc w:val="both"/>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pPr>
              <w:widowControl w:val="0"/>
              <w:autoSpaceDE w:val="0"/>
              <w:autoSpaceDN w:val="0"/>
              <w:spacing w:afterLines="50"/>
              <w:jc w:val="both"/>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14:paraId="499B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CE94281">
            <w:pPr>
              <w:widowControl w:val="0"/>
              <w:autoSpaceDE w:val="0"/>
              <w:autoSpaceDN w:val="0"/>
              <w:spacing w:afterLines="50"/>
              <w:jc w:val="both"/>
              <w:rPr>
                <w:rFonts w:eastAsia="宋体"/>
                <w:sz w:val="20"/>
                <w:szCs w:val="20"/>
                <w:lang w:val="en-GB"/>
              </w:rPr>
            </w:pPr>
            <w:r>
              <w:rPr>
                <w:rFonts w:eastAsia="宋体"/>
                <w:sz w:val="20"/>
                <w:szCs w:val="20"/>
                <w:lang w:val="en-GB"/>
              </w:rPr>
              <w:t>Nvidia</w:t>
            </w:r>
          </w:p>
        </w:tc>
        <w:tc>
          <w:tcPr>
            <w:tcW w:w="3829" w:type="pct"/>
          </w:tcPr>
          <w:p w14:paraId="6F88A307">
            <w:pPr>
              <w:widowControl w:val="0"/>
              <w:autoSpaceDE w:val="0"/>
              <w:autoSpaceDN w:val="0"/>
              <w:spacing w:afterLines="50"/>
              <w:jc w:val="both"/>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7E33E80">
            <w:pPr>
              <w:widowControl w:val="0"/>
              <w:autoSpaceDE w:val="0"/>
              <w:autoSpaceDN w:val="0"/>
              <w:spacing w:afterLines="50"/>
              <w:jc w:val="both"/>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F8BAC5D">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3C604207">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58C8D8F">
            <w:pPr>
              <w:widowControl w:val="0"/>
              <w:autoSpaceDE w:val="0"/>
              <w:autoSpaceDN w:val="0"/>
              <w:spacing w:afterLines="50"/>
              <w:jc w:val="both"/>
              <w:rPr>
                <w:b/>
                <w:bCs/>
                <w:i/>
                <w:iCs/>
                <w:sz w:val="20"/>
                <w:szCs w:val="20"/>
              </w:rPr>
            </w:pPr>
            <w:r>
              <w:rPr>
                <w:b/>
                <w:bCs/>
                <w:i/>
                <w:iCs/>
                <w:sz w:val="20"/>
                <w:szCs w:val="20"/>
              </w:rPr>
              <w:t>Proposal 5: Study MIMO enhancements for 6G, considering-</w:t>
            </w:r>
          </w:p>
          <w:p w14:paraId="6C1F85CE">
            <w:pPr>
              <w:pStyle w:val="63"/>
              <w:widowControl w:val="0"/>
              <w:numPr>
                <w:ilvl w:val="0"/>
                <w:numId w:val="123"/>
              </w:numPr>
              <w:autoSpaceDE w:val="0"/>
              <w:autoSpaceDN w:val="0"/>
              <w:spacing w:afterLines="50"/>
              <w:jc w:val="both"/>
              <w:rPr>
                <w:b/>
                <w:bCs/>
                <w:i/>
                <w:iCs/>
                <w:sz w:val="20"/>
                <w:szCs w:val="20"/>
              </w:rPr>
            </w:pPr>
            <w:r>
              <w:rPr>
                <w:b/>
                <w:bCs/>
                <w:i/>
                <w:iCs/>
                <w:sz w:val="20"/>
                <w:szCs w:val="20"/>
              </w:rPr>
              <w:t>Centralized, partially distributed and distributed antenna deployment scenarios,</w:t>
            </w:r>
          </w:p>
          <w:p w14:paraId="105D2E65">
            <w:pPr>
              <w:pStyle w:val="63"/>
              <w:widowControl w:val="0"/>
              <w:numPr>
                <w:ilvl w:val="0"/>
                <w:numId w:val="123"/>
              </w:numPr>
              <w:autoSpaceDE w:val="0"/>
              <w:autoSpaceDN w:val="0"/>
              <w:spacing w:afterLines="50"/>
              <w:jc w:val="both"/>
              <w:rPr>
                <w:b/>
                <w:bCs/>
                <w:i/>
                <w:iCs/>
                <w:sz w:val="20"/>
                <w:szCs w:val="20"/>
              </w:rPr>
            </w:pPr>
            <w:r>
              <w:rPr>
                <w:b/>
                <w:bCs/>
                <w:i/>
                <w:iCs/>
                <w:sz w:val="20"/>
                <w:szCs w:val="20"/>
              </w:rPr>
              <w:t>Heterogeneous UE distribution spreading across near-field and/or far-field regions, and switching between near-field and far-field regions (e.g., in FR3).</w:t>
            </w:r>
          </w:p>
          <w:p w14:paraId="61C98439">
            <w:pPr>
              <w:widowControl w:val="0"/>
              <w:autoSpaceDE w:val="0"/>
              <w:autoSpaceDN w:val="0"/>
              <w:spacing w:afterLines="50"/>
              <w:jc w:val="both"/>
              <w:rPr>
                <w:b/>
                <w:bCs/>
                <w:i/>
                <w:iCs/>
                <w:sz w:val="20"/>
                <w:szCs w:val="20"/>
              </w:rPr>
            </w:pPr>
            <w:r>
              <w:rPr>
                <w:b/>
                <w:bCs/>
                <w:i/>
                <w:iCs/>
                <w:sz w:val="20"/>
                <w:szCs w:val="20"/>
              </w:rPr>
              <w:t>Proposal 6: Study MIMO reference signal design for 6G considering the following aspects:</w:t>
            </w:r>
          </w:p>
          <w:p w14:paraId="0AE26D01">
            <w:pPr>
              <w:pStyle w:val="63"/>
              <w:widowControl w:val="0"/>
              <w:numPr>
                <w:ilvl w:val="0"/>
                <w:numId w:val="124"/>
              </w:numPr>
              <w:overflowPunct w:val="0"/>
              <w:autoSpaceDE w:val="0"/>
              <w:autoSpaceDN w:val="0"/>
              <w:spacing w:afterLines="50"/>
              <w:jc w:val="both"/>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2B7C813A">
            <w:pPr>
              <w:pStyle w:val="63"/>
              <w:widowControl w:val="0"/>
              <w:numPr>
                <w:ilvl w:val="0"/>
                <w:numId w:val="124"/>
              </w:numPr>
              <w:overflowPunct w:val="0"/>
              <w:autoSpaceDE w:val="0"/>
              <w:autoSpaceDN w:val="0"/>
              <w:spacing w:afterLines="50"/>
              <w:jc w:val="both"/>
              <w:textAlignment w:val="baseline"/>
              <w:rPr>
                <w:bCs/>
                <w:sz w:val="20"/>
                <w:szCs w:val="20"/>
                <w:lang w:eastAsia="en-GB"/>
              </w:rPr>
            </w:pPr>
            <w:r>
              <w:rPr>
                <w:b/>
                <w:bCs/>
                <w:i/>
                <w:iCs/>
                <w:sz w:val="20"/>
                <w:szCs w:val="20"/>
              </w:rPr>
              <w:t>Joint optimization of communication and sensing objectives enabling ISAC,</w:t>
            </w:r>
          </w:p>
          <w:p w14:paraId="62765AF2">
            <w:pPr>
              <w:pStyle w:val="63"/>
              <w:widowControl w:val="0"/>
              <w:numPr>
                <w:ilvl w:val="0"/>
                <w:numId w:val="124"/>
              </w:numPr>
              <w:overflowPunct w:val="0"/>
              <w:autoSpaceDE w:val="0"/>
              <w:autoSpaceDN w:val="0"/>
              <w:spacing w:afterLines="50"/>
              <w:jc w:val="both"/>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718BDDB0">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1DC498BC">
            <w:pPr>
              <w:pStyle w:val="63"/>
              <w:widowControl w:val="0"/>
              <w:numPr>
                <w:ilvl w:val="0"/>
                <w:numId w:val="124"/>
              </w:numPr>
              <w:overflowPunct w:val="0"/>
              <w:autoSpaceDE w:val="0"/>
              <w:autoSpaceDN w:val="0"/>
              <w:spacing w:afterLines="50"/>
              <w:jc w:val="both"/>
              <w:textAlignment w:val="baseline"/>
              <w:rPr>
                <w:b/>
                <w:i/>
                <w:iCs/>
                <w:sz w:val="20"/>
                <w:szCs w:val="20"/>
                <w:lang w:eastAsia="en-GB"/>
              </w:rPr>
            </w:pPr>
            <w:r>
              <w:rPr>
                <w:b/>
                <w:i/>
                <w:iCs/>
                <w:sz w:val="20"/>
                <w:szCs w:val="20"/>
                <w:lang w:eastAsia="en-GB"/>
              </w:rPr>
              <w:t>High mobility,</w:t>
            </w:r>
          </w:p>
          <w:p w14:paraId="1A241813">
            <w:pPr>
              <w:pStyle w:val="63"/>
              <w:widowControl w:val="0"/>
              <w:numPr>
                <w:ilvl w:val="0"/>
                <w:numId w:val="124"/>
              </w:numPr>
              <w:overflowPunct w:val="0"/>
              <w:autoSpaceDE w:val="0"/>
              <w:autoSpaceDN w:val="0"/>
              <w:spacing w:afterLines="50"/>
              <w:jc w:val="both"/>
              <w:textAlignment w:val="baseline"/>
              <w:rPr>
                <w:b/>
                <w:i/>
                <w:iCs/>
                <w:sz w:val="20"/>
                <w:szCs w:val="20"/>
                <w:lang w:eastAsia="en-GB"/>
              </w:rPr>
            </w:pPr>
            <w:r>
              <w:rPr>
                <w:b/>
                <w:i/>
                <w:iCs/>
                <w:sz w:val="20"/>
                <w:szCs w:val="20"/>
                <w:lang w:eastAsia="en-GB"/>
              </w:rPr>
              <w:t>High connection density,</w:t>
            </w:r>
          </w:p>
          <w:p w14:paraId="75BC5815">
            <w:pPr>
              <w:pStyle w:val="63"/>
              <w:widowControl w:val="0"/>
              <w:numPr>
                <w:ilvl w:val="0"/>
                <w:numId w:val="124"/>
              </w:numPr>
              <w:overflowPunct w:val="0"/>
              <w:autoSpaceDE w:val="0"/>
              <w:autoSpaceDN w:val="0"/>
              <w:spacing w:afterLines="50"/>
              <w:jc w:val="both"/>
              <w:textAlignment w:val="baseline"/>
              <w:rPr>
                <w:b/>
                <w:i/>
                <w:iCs/>
                <w:sz w:val="20"/>
                <w:szCs w:val="20"/>
                <w:lang w:eastAsia="en-GB"/>
              </w:rPr>
            </w:pPr>
            <w:r>
              <w:rPr>
                <w:b/>
                <w:i/>
                <w:iCs/>
                <w:sz w:val="20"/>
                <w:szCs w:val="20"/>
                <w:lang w:eastAsia="en-GB"/>
              </w:rPr>
              <w:t>Large number of antenna elements.</w:t>
            </w:r>
          </w:p>
          <w:p w14:paraId="558C0CE5">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78D7A35A">
            <w:pPr>
              <w:pStyle w:val="63"/>
              <w:widowControl w:val="0"/>
              <w:numPr>
                <w:ilvl w:val="0"/>
                <w:numId w:val="125"/>
              </w:numPr>
              <w:overflowPunct w:val="0"/>
              <w:autoSpaceDE w:val="0"/>
              <w:autoSpaceDN w:val="0"/>
              <w:spacing w:afterLines="50"/>
              <w:jc w:val="both"/>
              <w:textAlignment w:val="baseline"/>
              <w:rPr>
                <w:b/>
                <w:i/>
                <w:iCs/>
                <w:sz w:val="20"/>
                <w:szCs w:val="20"/>
                <w:lang w:eastAsia="en-GB"/>
              </w:rPr>
            </w:pPr>
            <w:r>
              <w:rPr>
                <w:b/>
                <w:i/>
                <w:iCs/>
                <w:sz w:val="20"/>
                <w:szCs w:val="20"/>
                <w:lang w:eastAsia="en-GB"/>
              </w:rPr>
              <w:t>Sparser SRS design using blind-multi-coset sampling,</w:t>
            </w:r>
          </w:p>
          <w:p w14:paraId="03A29EB2">
            <w:pPr>
              <w:pStyle w:val="63"/>
              <w:widowControl w:val="0"/>
              <w:numPr>
                <w:ilvl w:val="0"/>
                <w:numId w:val="125"/>
              </w:numPr>
              <w:overflowPunct w:val="0"/>
              <w:autoSpaceDE w:val="0"/>
              <w:autoSpaceDN w:val="0"/>
              <w:spacing w:afterLines="50"/>
              <w:jc w:val="both"/>
              <w:textAlignment w:val="baseline"/>
              <w:rPr>
                <w:b/>
                <w:i/>
                <w:iCs/>
                <w:sz w:val="20"/>
                <w:szCs w:val="20"/>
                <w:lang w:eastAsia="en-GB"/>
              </w:rPr>
            </w:pPr>
            <w:r>
              <w:rPr>
                <w:b/>
                <w:i/>
                <w:iCs/>
                <w:sz w:val="20"/>
                <w:szCs w:val="20"/>
                <w:lang w:eastAsia="en-GB"/>
              </w:rPr>
              <w:t>Sparser CSI-RS across antenna port and/or frequency with learned channel reconstruction,</w:t>
            </w:r>
          </w:p>
          <w:p w14:paraId="10AED4D4">
            <w:pPr>
              <w:pStyle w:val="63"/>
              <w:widowControl w:val="0"/>
              <w:numPr>
                <w:ilvl w:val="0"/>
                <w:numId w:val="125"/>
              </w:numPr>
              <w:overflowPunct w:val="0"/>
              <w:autoSpaceDE w:val="0"/>
              <w:autoSpaceDN w:val="0"/>
              <w:spacing w:afterLines="50"/>
              <w:jc w:val="both"/>
              <w:textAlignment w:val="baseline"/>
              <w:rPr>
                <w:b/>
                <w:i/>
                <w:iCs/>
                <w:sz w:val="20"/>
                <w:szCs w:val="20"/>
                <w:lang w:eastAsia="en-GB"/>
              </w:rPr>
            </w:pPr>
            <w:r>
              <w:rPr>
                <w:b/>
                <w:i/>
                <w:iCs/>
                <w:sz w:val="20"/>
                <w:szCs w:val="20"/>
                <w:lang w:eastAsia="en-GB"/>
              </w:rPr>
              <w:t>Sparser DM-RS with AI receiver (e.g., neural receiver) based channel tracking and inference,</w:t>
            </w:r>
          </w:p>
          <w:p w14:paraId="1E278B68">
            <w:pPr>
              <w:pStyle w:val="63"/>
              <w:widowControl w:val="0"/>
              <w:numPr>
                <w:ilvl w:val="0"/>
                <w:numId w:val="125"/>
              </w:numPr>
              <w:overflowPunct w:val="0"/>
              <w:autoSpaceDE w:val="0"/>
              <w:autoSpaceDN w:val="0"/>
              <w:spacing w:afterLines="50"/>
              <w:jc w:val="both"/>
              <w:textAlignment w:val="baseline"/>
              <w:rPr>
                <w:bCs/>
                <w:sz w:val="20"/>
                <w:szCs w:val="20"/>
                <w:lang w:eastAsia="en-GB"/>
              </w:rPr>
            </w:pPr>
            <w:r>
              <w:rPr>
                <w:b/>
                <w:i/>
                <w:iCs/>
                <w:sz w:val="20"/>
                <w:szCs w:val="20"/>
                <w:lang w:eastAsia="en-GB"/>
              </w:rPr>
              <w:t>DM-RS less uplink and downlink shared channels transmission.</w:t>
            </w:r>
          </w:p>
          <w:p w14:paraId="6E1BC5B5">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A7CA20C">
            <w:pPr>
              <w:pStyle w:val="63"/>
              <w:widowControl w:val="0"/>
              <w:numPr>
                <w:ilvl w:val="0"/>
                <w:numId w:val="125"/>
              </w:numPr>
              <w:overflowPunct w:val="0"/>
              <w:autoSpaceDE w:val="0"/>
              <w:autoSpaceDN w:val="0"/>
              <w:spacing w:afterLines="50"/>
              <w:jc w:val="both"/>
              <w:textAlignment w:val="baseline"/>
              <w:rPr>
                <w:b/>
                <w:i/>
                <w:iCs/>
                <w:sz w:val="20"/>
                <w:szCs w:val="20"/>
                <w:lang w:eastAsia="en-GB"/>
              </w:rPr>
            </w:pPr>
            <w:r>
              <w:rPr>
                <w:b/>
                <w:i/>
                <w:iCs/>
                <w:sz w:val="20"/>
                <w:szCs w:val="20"/>
                <w:lang w:eastAsia="en-GB"/>
              </w:rPr>
              <w:t>AI/ML based channel and mobility predictions,</w:t>
            </w:r>
          </w:p>
          <w:p w14:paraId="1BA9512B">
            <w:pPr>
              <w:widowControl w:val="0"/>
              <w:autoSpaceDE w:val="0"/>
              <w:autoSpaceDN w:val="0"/>
              <w:spacing w:afterLines="50"/>
              <w:jc w:val="both"/>
              <w:rPr>
                <w:b/>
                <w:bCs/>
                <w:sz w:val="20"/>
                <w:szCs w:val="20"/>
              </w:rPr>
            </w:pPr>
            <w:r>
              <w:rPr>
                <w:b/>
                <w:bCs/>
                <w:i/>
                <w:iCs/>
                <w:sz w:val="20"/>
                <w:szCs w:val="20"/>
              </w:rPr>
              <w:t>Adaptive periodicity of broadcast signals (e.g., SSB)</w:t>
            </w:r>
          </w:p>
        </w:tc>
      </w:tr>
      <w:tr w14:paraId="4D52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6BECF036">
            <w:pPr>
              <w:widowControl w:val="0"/>
              <w:autoSpaceDE w:val="0"/>
              <w:autoSpaceDN w:val="0"/>
              <w:spacing w:afterLines="50"/>
              <w:jc w:val="both"/>
              <w:rPr>
                <w:rFonts w:eastAsia="宋体"/>
                <w:sz w:val="20"/>
                <w:szCs w:val="20"/>
                <w:lang w:val="en-GB"/>
              </w:rPr>
            </w:pPr>
            <w:r>
              <w:rPr>
                <w:rFonts w:eastAsia="宋体"/>
                <w:sz w:val="20"/>
                <w:szCs w:val="20"/>
                <w:lang w:val="en-GB"/>
              </w:rPr>
              <w:t>PML</w:t>
            </w:r>
          </w:p>
        </w:tc>
        <w:tc>
          <w:tcPr>
            <w:tcW w:w="3829" w:type="pct"/>
          </w:tcPr>
          <w:p w14:paraId="793B59FE">
            <w:pPr>
              <w:pStyle w:val="63"/>
              <w:widowControl w:val="0"/>
              <w:numPr>
                <w:ilvl w:val="0"/>
                <w:numId w:val="126"/>
              </w:numPr>
              <w:autoSpaceDE w:val="0"/>
              <w:autoSpaceDN w:val="0"/>
              <w:spacing w:afterLines="50"/>
              <w:jc w:val="both"/>
              <w:rPr>
                <w:i/>
                <w:iCs/>
                <w:sz w:val="20"/>
                <w:szCs w:val="20"/>
              </w:rPr>
            </w:pPr>
            <w:r>
              <w:rPr>
                <w:i/>
                <w:iCs/>
                <w:sz w:val="20"/>
                <w:szCs w:val="20"/>
              </w:rPr>
              <w:t>High-level views on 6GR MIMO</w:t>
            </w:r>
          </w:p>
          <w:p w14:paraId="74F853B7">
            <w:pPr>
              <w:widowControl w:val="0"/>
              <w:autoSpaceDE w:val="0"/>
              <w:autoSpaceDN w:val="0"/>
              <w:spacing w:afterLines="50"/>
              <w:jc w:val="both"/>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pPr>
              <w:widowControl w:val="0"/>
              <w:autoSpaceDE w:val="0"/>
              <w:autoSpaceDN w:val="0"/>
              <w:spacing w:afterLines="50"/>
              <w:jc w:val="both"/>
              <w:rPr>
                <w:b/>
                <w:bCs/>
                <w:i/>
                <w:iCs/>
                <w:sz w:val="20"/>
                <w:szCs w:val="20"/>
              </w:rPr>
            </w:pPr>
            <w:r>
              <w:rPr>
                <w:b/>
                <w:bCs/>
                <w:i/>
                <w:iCs/>
                <w:sz w:val="20"/>
                <w:szCs w:val="20"/>
              </w:rPr>
              <w:t xml:space="preserve">Proposal 1: RAN1 initiates the design of UL/DL MIMO from a cell-free perspective. </w:t>
            </w:r>
          </w:p>
          <w:p w14:paraId="10A30365">
            <w:pPr>
              <w:widowControl w:val="0"/>
              <w:autoSpaceDE w:val="0"/>
              <w:autoSpaceDN w:val="0"/>
              <w:spacing w:afterLines="50"/>
              <w:jc w:val="both"/>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pPr>
              <w:widowControl w:val="0"/>
              <w:autoSpaceDE w:val="0"/>
              <w:autoSpaceDN w:val="0"/>
              <w:spacing w:afterLines="50"/>
              <w:jc w:val="both"/>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pPr>
              <w:widowControl w:val="0"/>
              <w:autoSpaceDE w:val="0"/>
              <w:autoSpaceDN w:val="0"/>
              <w:spacing w:afterLines="50"/>
              <w:jc w:val="both"/>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CEBF6F4">
            <w:pPr>
              <w:pStyle w:val="63"/>
              <w:widowControl w:val="0"/>
              <w:numPr>
                <w:ilvl w:val="0"/>
                <w:numId w:val="127"/>
              </w:numPr>
              <w:autoSpaceDE w:val="0"/>
              <w:autoSpaceDN w:val="0"/>
              <w:spacing w:afterLines="50"/>
              <w:jc w:val="both"/>
              <w:rPr>
                <w:i/>
                <w:iCs/>
                <w:sz w:val="20"/>
                <w:szCs w:val="20"/>
              </w:rPr>
            </w:pPr>
            <w:r>
              <w:rPr>
                <w:i/>
                <w:iCs/>
                <w:sz w:val="20"/>
                <w:szCs w:val="20"/>
              </w:rPr>
              <w:t>Deployment of 6GR MIMO</w:t>
            </w:r>
          </w:p>
          <w:p w14:paraId="284EAA39">
            <w:pPr>
              <w:widowControl w:val="0"/>
              <w:autoSpaceDE w:val="0"/>
              <w:autoSpaceDN w:val="0"/>
              <w:spacing w:afterLines="50"/>
              <w:jc w:val="both"/>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pPr>
              <w:widowControl w:val="0"/>
              <w:autoSpaceDE w:val="0"/>
              <w:autoSpaceDN w:val="0"/>
              <w:spacing w:afterLines="50"/>
              <w:jc w:val="both"/>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2DC83D40">
            <w:pPr>
              <w:pStyle w:val="63"/>
              <w:widowControl w:val="0"/>
              <w:numPr>
                <w:ilvl w:val="0"/>
                <w:numId w:val="128"/>
              </w:numPr>
              <w:autoSpaceDE w:val="0"/>
              <w:autoSpaceDN w:val="0"/>
              <w:spacing w:afterLines="50"/>
              <w:jc w:val="both"/>
              <w:rPr>
                <w:i/>
                <w:iCs/>
                <w:sz w:val="20"/>
                <w:szCs w:val="20"/>
              </w:rPr>
            </w:pPr>
            <w:r>
              <w:rPr>
                <w:i/>
                <w:iCs/>
                <w:sz w:val="20"/>
                <w:szCs w:val="20"/>
              </w:rPr>
              <w:t>Transmission schemes of 6GR MIMO</w:t>
            </w:r>
          </w:p>
          <w:p w14:paraId="75E27D2A">
            <w:pPr>
              <w:widowControl w:val="0"/>
              <w:autoSpaceDE w:val="0"/>
              <w:autoSpaceDN w:val="0"/>
              <w:spacing w:afterLines="50"/>
              <w:jc w:val="both"/>
              <w:rPr>
                <w:b/>
                <w:bCs/>
                <w:i/>
                <w:iCs/>
                <w:sz w:val="20"/>
                <w:szCs w:val="20"/>
              </w:rPr>
            </w:pPr>
            <w:r>
              <w:rPr>
                <w:b/>
                <w:bCs/>
                <w:i/>
                <w:iCs/>
                <w:sz w:val="20"/>
                <w:szCs w:val="20"/>
              </w:rPr>
              <w:t>Observation 4: Single-TRP is a special case of multi-TRP. With time-frequency synchronization, DPS and SFN can be regarded as special cases of CJT.</w:t>
            </w:r>
          </w:p>
          <w:p w14:paraId="0CE8A7F3">
            <w:pPr>
              <w:widowControl w:val="0"/>
              <w:autoSpaceDE w:val="0"/>
              <w:autoSpaceDN w:val="0"/>
              <w:spacing w:afterLines="50"/>
              <w:jc w:val="both"/>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547FDA23">
            <w:pPr>
              <w:pStyle w:val="63"/>
              <w:widowControl w:val="0"/>
              <w:numPr>
                <w:ilvl w:val="0"/>
                <w:numId w:val="128"/>
              </w:numPr>
              <w:autoSpaceDE w:val="0"/>
              <w:autoSpaceDN w:val="0"/>
              <w:spacing w:afterLines="50"/>
              <w:jc w:val="both"/>
              <w:rPr>
                <w:i/>
                <w:iCs/>
                <w:sz w:val="20"/>
                <w:szCs w:val="20"/>
              </w:rPr>
            </w:pPr>
            <w:r>
              <w:rPr>
                <w:i/>
                <w:iCs/>
                <w:sz w:val="20"/>
                <w:szCs w:val="20"/>
              </w:rPr>
              <w:t>Reference signal design of 6GR MIMO</w:t>
            </w:r>
          </w:p>
          <w:p w14:paraId="47E047C8">
            <w:pPr>
              <w:widowControl w:val="0"/>
              <w:autoSpaceDE w:val="0"/>
              <w:autoSpaceDN w:val="0"/>
              <w:spacing w:afterLines="50"/>
              <w:jc w:val="both"/>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022EA00C">
            <w:pPr>
              <w:widowControl w:val="0"/>
              <w:autoSpaceDE w:val="0"/>
              <w:autoSpaceDN w:val="0"/>
              <w:spacing w:afterLines="50"/>
              <w:jc w:val="both"/>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1BE9E69">
            <w:pPr>
              <w:widowControl w:val="0"/>
              <w:autoSpaceDE w:val="0"/>
              <w:autoSpaceDN w:val="0"/>
              <w:spacing w:afterLines="50"/>
              <w:jc w:val="both"/>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pPr>
              <w:widowControl w:val="0"/>
              <w:autoSpaceDE w:val="0"/>
              <w:autoSpaceDN w:val="0"/>
              <w:spacing w:afterLines="50"/>
              <w:jc w:val="both"/>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7FF144F9">
            <w:pPr>
              <w:widowControl w:val="0"/>
              <w:autoSpaceDE w:val="0"/>
              <w:autoSpaceDN w:val="0"/>
              <w:spacing w:afterLines="50"/>
              <w:jc w:val="both"/>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pPr>
              <w:widowControl w:val="0"/>
              <w:autoSpaceDE w:val="0"/>
              <w:autoSpaceDN w:val="0"/>
              <w:spacing w:afterLines="50"/>
              <w:jc w:val="both"/>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pPr>
              <w:widowControl w:val="0"/>
              <w:autoSpaceDE w:val="0"/>
              <w:autoSpaceDN w:val="0"/>
              <w:spacing w:afterLines="50"/>
              <w:jc w:val="both"/>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pPr>
              <w:widowControl w:val="0"/>
              <w:autoSpaceDE w:val="0"/>
              <w:autoSpaceDN w:val="0"/>
              <w:spacing w:afterLines="50"/>
              <w:jc w:val="both"/>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6BD4877D">
            <w:pPr>
              <w:widowControl w:val="0"/>
              <w:autoSpaceDE w:val="0"/>
              <w:autoSpaceDN w:val="0"/>
              <w:spacing w:afterLines="50"/>
              <w:jc w:val="both"/>
              <w:rPr>
                <w:b/>
                <w:bCs/>
                <w:i/>
                <w:iCs/>
                <w:sz w:val="20"/>
                <w:szCs w:val="20"/>
              </w:rPr>
            </w:pPr>
            <w:r>
              <w:rPr>
                <w:b/>
                <w:bCs/>
                <w:i/>
                <w:iCs/>
                <w:sz w:val="20"/>
                <w:szCs w:val="20"/>
              </w:rPr>
              <w:t>Observation 9: pCSI-RS provides the fundamental capability for reciprocity calibration of multiple RF chains of a UE and between multiple UEs.</w:t>
            </w:r>
          </w:p>
          <w:p w14:paraId="535EBAB3">
            <w:pPr>
              <w:widowControl w:val="0"/>
              <w:autoSpaceDE w:val="0"/>
              <w:autoSpaceDN w:val="0"/>
              <w:spacing w:afterLines="50"/>
              <w:jc w:val="both"/>
              <w:rPr>
                <w:b/>
                <w:bCs/>
                <w:i/>
                <w:iCs/>
                <w:sz w:val="20"/>
                <w:szCs w:val="20"/>
              </w:rPr>
            </w:pPr>
            <w:r>
              <w:rPr>
                <w:b/>
                <w:bCs/>
                <w:i/>
                <w:iCs/>
                <w:sz w:val="20"/>
                <w:szCs w:val="20"/>
              </w:rPr>
              <w:t>Proposal 9: It is recommended that RAN1 jointly with RAN2 study the reciprocity calibration for multiple antennas of a UE and across multiple UEs.</w:t>
            </w:r>
          </w:p>
          <w:p w14:paraId="742D3B44">
            <w:pPr>
              <w:widowControl w:val="0"/>
              <w:autoSpaceDE w:val="0"/>
              <w:autoSpaceDN w:val="0"/>
              <w:spacing w:afterLines="50"/>
              <w:jc w:val="both"/>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pPr>
              <w:widowControl w:val="0"/>
              <w:autoSpaceDE w:val="0"/>
              <w:autoSpaceDN w:val="0"/>
              <w:spacing w:afterLines="50"/>
              <w:jc w:val="both"/>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pPr>
              <w:pStyle w:val="63"/>
              <w:widowControl w:val="0"/>
              <w:numPr>
                <w:ilvl w:val="0"/>
                <w:numId w:val="128"/>
              </w:numPr>
              <w:autoSpaceDE w:val="0"/>
              <w:autoSpaceDN w:val="0"/>
              <w:spacing w:afterLines="50"/>
              <w:jc w:val="both"/>
              <w:rPr>
                <w:i/>
                <w:iCs/>
                <w:sz w:val="20"/>
                <w:szCs w:val="20"/>
              </w:rPr>
            </w:pPr>
            <w:r>
              <w:rPr>
                <w:i/>
                <w:iCs/>
                <w:sz w:val="20"/>
                <w:szCs w:val="20"/>
              </w:rPr>
              <w:t>UL MIMO</w:t>
            </w:r>
          </w:p>
          <w:p w14:paraId="0EDD9BF3">
            <w:pPr>
              <w:widowControl w:val="0"/>
              <w:autoSpaceDE w:val="0"/>
              <w:autoSpaceDN w:val="0"/>
              <w:spacing w:afterLines="50"/>
              <w:jc w:val="both"/>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pPr>
              <w:widowControl w:val="0"/>
              <w:autoSpaceDE w:val="0"/>
              <w:autoSpaceDN w:val="0"/>
              <w:spacing w:afterLines="50"/>
              <w:jc w:val="both"/>
              <w:rPr>
                <w:b/>
                <w:bCs/>
                <w:i/>
                <w:iCs/>
                <w:sz w:val="20"/>
                <w:szCs w:val="20"/>
              </w:rPr>
            </w:pPr>
            <w:r>
              <w:rPr>
                <w:b/>
                <w:bCs/>
                <w:i/>
                <w:iCs/>
                <w:sz w:val="20"/>
                <w:szCs w:val="20"/>
              </w:rPr>
              <w:t>Proposal 11: It is recommended that RAN1 study multi-UE UL CJT transmission and frequency-selective precoding for UL SU-MIMO.</w:t>
            </w:r>
          </w:p>
          <w:p w14:paraId="31BA456D">
            <w:pPr>
              <w:pStyle w:val="63"/>
              <w:widowControl w:val="0"/>
              <w:numPr>
                <w:ilvl w:val="0"/>
                <w:numId w:val="128"/>
              </w:numPr>
              <w:autoSpaceDE w:val="0"/>
              <w:autoSpaceDN w:val="0"/>
              <w:spacing w:afterLines="50"/>
              <w:jc w:val="both"/>
              <w:rPr>
                <w:i/>
                <w:iCs/>
                <w:sz w:val="20"/>
                <w:szCs w:val="20"/>
              </w:rPr>
            </w:pPr>
            <w:r>
              <w:rPr>
                <w:i/>
                <w:iCs/>
                <w:sz w:val="20"/>
                <w:szCs w:val="20"/>
              </w:rPr>
              <w:t>Views on multi-TRP and duplex/spectrum fusion</w:t>
            </w:r>
          </w:p>
          <w:p w14:paraId="52063340">
            <w:pPr>
              <w:widowControl w:val="0"/>
              <w:autoSpaceDE w:val="0"/>
              <w:autoSpaceDN w:val="0"/>
              <w:spacing w:afterLines="50"/>
              <w:jc w:val="both"/>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7BC846D8">
            <w:pPr>
              <w:widowControl w:val="0"/>
              <w:autoSpaceDE w:val="0"/>
              <w:autoSpaceDN w:val="0"/>
              <w:spacing w:afterLines="50"/>
              <w:jc w:val="both"/>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14:paraId="3B84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B322AFD">
            <w:pPr>
              <w:widowControl w:val="0"/>
              <w:autoSpaceDE w:val="0"/>
              <w:autoSpaceDN w:val="0"/>
              <w:spacing w:afterLines="50"/>
              <w:jc w:val="both"/>
              <w:rPr>
                <w:rFonts w:eastAsia="宋体"/>
                <w:sz w:val="20"/>
                <w:szCs w:val="20"/>
                <w:lang w:val="en-GB"/>
              </w:rPr>
            </w:pPr>
            <w:r>
              <w:rPr>
                <w:rFonts w:eastAsia="宋体"/>
                <w:sz w:val="20"/>
                <w:szCs w:val="20"/>
                <w:lang w:val="en-GB"/>
              </w:rPr>
              <w:t>Rakuten</w:t>
            </w:r>
          </w:p>
        </w:tc>
        <w:tc>
          <w:tcPr>
            <w:tcW w:w="3829" w:type="pct"/>
          </w:tcPr>
          <w:p w14:paraId="11E9905B">
            <w:pPr>
              <w:widowControl w:val="0"/>
              <w:autoSpaceDE w:val="0"/>
              <w:autoSpaceDN w:val="0"/>
              <w:spacing w:afterLines="50"/>
              <w:jc w:val="both"/>
              <w:rPr>
                <w:sz w:val="20"/>
                <w:szCs w:val="20"/>
              </w:rPr>
            </w:pPr>
            <w:bookmarkStart w:id="30" w:name="Proposal_1"/>
            <w:r>
              <w:rPr>
                <w:b/>
                <w:bCs/>
                <w:i/>
                <w:iCs/>
                <w:sz w:val="20"/>
                <w:szCs w:val="20"/>
              </w:rPr>
              <w:t>Proposal 1:</w:t>
            </w:r>
            <w:r>
              <w:rPr>
                <w:i/>
                <w:iCs/>
                <w:sz w:val="20"/>
                <w:szCs w:val="20"/>
              </w:rPr>
              <w:t> Study the development of a harmonized and unified MIMO framework that natively incorporates:</w:t>
            </w:r>
          </w:p>
          <w:p w14:paraId="4853A509">
            <w:pPr>
              <w:pStyle w:val="63"/>
              <w:widowControl w:val="0"/>
              <w:numPr>
                <w:ilvl w:val="0"/>
                <w:numId w:val="129"/>
              </w:numPr>
              <w:autoSpaceDE w:val="0"/>
              <w:autoSpaceDN w:val="0"/>
              <w:spacing w:afterLines="50"/>
              <w:jc w:val="both"/>
              <w:rPr>
                <w:i/>
                <w:iCs/>
                <w:sz w:val="20"/>
                <w:szCs w:val="20"/>
              </w:rPr>
            </w:pPr>
            <w:r>
              <w:rPr>
                <w:i/>
                <w:iCs/>
                <w:sz w:val="20"/>
                <w:szCs w:val="20"/>
              </w:rPr>
              <w:t>multi-TRP operations,</w:t>
            </w:r>
          </w:p>
          <w:p w14:paraId="4BEF2A07">
            <w:pPr>
              <w:pStyle w:val="63"/>
              <w:widowControl w:val="0"/>
              <w:numPr>
                <w:ilvl w:val="0"/>
                <w:numId w:val="129"/>
              </w:numPr>
              <w:autoSpaceDE w:val="0"/>
              <w:autoSpaceDN w:val="0"/>
              <w:spacing w:afterLines="50"/>
              <w:jc w:val="both"/>
              <w:rPr>
                <w:i/>
                <w:iCs/>
                <w:sz w:val="20"/>
                <w:szCs w:val="20"/>
              </w:rPr>
            </w:pPr>
            <w:r>
              <w:rPr>
                <w:i/>
                <w:iCs/>
                <w:sz w:val="20"/>
                <w:szCs w:val="20"/>
              </w:rPr>
              <w:t xml:space="preserve">advanced beamforming capabilities, </w:t>
            </w:r>
          </w:p>
          <w:p w14:paraId="312C2DA1">
            <w:pPr>
              <w:pStyle w:val="63"/>
              <w:widowControl w:val="0"/>
              <w:numPr>
                <w:ilvl w:val="0"/>
                <w:numId w:val="129"/>
              </w:numPr>
              <w:autoSpaceDE w:val="0"/>
              <w:autoSpaceDN w:val="0"/>
              <w:spacing w:afterLines="50"/>
              <w:jc w:val="both"/>
              <w:rPr>
                <w:i/>
                <w:iCs/>
                <w:sz w:val="20"/>
                <w:szCs w:val="20"/>
                <w:lang w:val="en-GB"/>
              </w:rPr>
            </w:pPr>
            <w:r>
              <w:rPr>
                <w:i/>
                <w:iCs/>
                <w:sz w:val="20"/>
                <w:szCs w:val="20"/>
                <w:lang w:val="en-GB"/>
              </w:rPr>
              <w:t>AI/ML-driven physical layer optimizations,</w:t>
            </w:r>
          </w:p>
          <w:p w14:paraId="6EA7EEE5">
            <w:pPr>
              <w:widowControl w:val="0"/>
              <w:autoSpaceDE w:val="0"/>
              <w:autoSpaceDN w:val="0"/>
              <w:spacing w:afterLines="50"/>
              <w:jc w:val="both"/>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0"/>
          </w:p>
        </w:tc>
      </w:tr>
    </w:tbl>
    <w:p w14:paraId="08208AFA">
      <w:pPr>
        <w:rPr>
          <w:rFonts w:eastAsiaTheme="minorEastAsia"/>
        </w:rPr>
      </w:pPr>
    </w:p>
    <w:p w14:paraId="3F4E1530">
      <w:pPr>
        <w:pStyle w:val="3"/>
        <w:spacing w:after="120"/>
        <w:rPr>
          <w:rFonts w:eastAsiaTheme="minorEastAsia"/>
        </w:rPr>
      </w:pPr>
      <w:r>
        <w:rPr>
          <w:rFonts w:hint="eastAsia" w:eastAsiaTheme="minorEastAsia"/>
        </w:rPr>
        <w:t>Issue#5: Sensing</w:t>
      </w:r>
    </w:p>
    <w:p w14:paraId="2D6F8FA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AI 10.8 and no specific agreement is needed in this agenda. </w:t>
      </w:r>
    </w:p>
    <w:p w14:paraId="2BE68DAD">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713E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6D5EC6E">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17DC15D9">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643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69035EE">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3571A7A1">
            <w:pPr>
              <w:pStyle w:val="63"/>
              <w:numPr>
                <w:ilvl w:val="0"/>
                <w:numId w:val="87"/>
              </w:numPr>
              <w:jc w:val="both"/>
              <w:rPr>
                <w:rFonts w:ascii="Times New Roman" w:hAnsi="Times New Roman" w:cs="Times New Roman" w:eastAsiaTheme="minorEastAsia"/>
                <w:bCs/>
                <w:szCs w:val="20"/>
              </w:rPr>
            </w:pPr>
          </w:p>
        </w:tc>
      </w:tr>
      <w:tr w14:paraId="4FEB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B5982A0">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63F52DCF">
            <w:pPr>
              <w:widowControl w:val="0"/>
              <w:suppressAutoHyphens/>
              <w:spacing w:line="256" w:lineRule="auto"/>
              <w:jc w:val="both"/>
              <w:rPr>
                <w:rFonts w:ascii="Times New Roman" w:hAnsi="Times New Roman" w:eastAsia="宋体" w:cs="Times New Roman"/>
                <w:kern w:val="2"/>
                <w:szCs w:val="22"/>
                <w:lang w:val="en-GB" w:eastAsia="en-US"/>
              </w:rPr>
            </w:pPr>
          </w:p>
        </w:tc>
      </w:tr>
      <w:tr w14:paraId="3768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DBAAA58">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D259F99">
            <w:pPr>
              <w:widowControl w:val="0"/>
              <w:suppressAutoHyphens/>
              <w:spacing w:line="256" w:lineRule="auto"/>
              <w:jc w:val="both"/>
              <w:rPr>
                <w:rFonts w:ascii="Times New Roman" w:hAnsi="Times New Roman" w:cs="Times New Roman"/>
                <w:sz w:val="20"/>
                <w:szCs w:val="20"/>
                <w:lang w:val="en-GB" w:eastAsia="en-US"/>
              </w:rPr>
            </w:pPr>
          </w:p>
        </w:tc>
      </w:tr>
    </w:tbl>
    <w:p w14:paraId="379573F1">
      <w:pPr>
        <w:rPr>
          <w:rFonts w:eastAsiaTheme="minorEastAsia"/>
        </w:rPr>
      </w:pPr>
    </w:p>
    <w:p w14:paraId="318F9ECA">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0D6F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6DCB88BE">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3449C74D">
            <w:pPr>
              <w:widowControl w:val="0"/>
              <w:autoSpaceDE w:val="0"/>
              <w:autoSpaceDN w:val="0"/>
              <w:jc w:val="center"/>
            </w:pPr>
            <w:r>
              <w:rPr>
                <w:rFonts w:eastAsiaTheme="minorEastAsia"/>
                <w:b/>
                <w:bCs/>
                <w:lang w:eastAsia="ko-KR"/>
              </w:rPr>
              <w:t xml:space="preserve">Views/proposals </w:t>
            </w:r>
          </w:p>
        </w:tc>
      </w:tr>
      <w:tr w14:paraId="4308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3BA6BF99">
            <w:pPr>
              <w:widowControl w:val="0"/>
              <w:autoSpaceDE w:val="0"/>
              <w:autoSpaceDN w:val="0"/>
              <w:spacing w:afterLines="50"/>
              <w:jc w:val="both"/>
              <w:rPr>
                <w:rFonts w:eastAsia="宋体"/>
                <w:sz w:val="20"/>
                <w:szCs w:val="20"/>
                <w:lang w:val="en-GB"/>
              </w:rPr>
            </w:pPr>
            <w:r>
              <w:rPr>
                <w:rFonts w:hint="eastAsia" w:eastAsia="宋体"/>
                <w:sz w:val="20"/>
                <w:szCs w:val="20"/>
                <w:lang w:val="en-GB"/>
              </w:rPr>
              <w:t>OPPO</w:t>
            </w:r>
          </w:p>
        </w:tc>
        <w:tc>
          <w:tcPr>
            <w:tcW w:w="3829" w:type="pct"/>
          </w:tcPr>
          <w:p w14:paraId="0711366A">
            <w:pPr>
              <w:widowControl w:val="0"/>
              <w:autoSpaceDE w:val="0"/>
              <w:autoSpaceDN w:val="0"/>
              <w:spacing w:afterLines="50"/>
              <w:jc w:val="both"/>
              <w:rPr>
                <w:b/>
                <w:i/>
                <w:sz w:val="20"/>
                <w:szCs w:val="20"/>
              </w:rPr>
            </w:pPr>
            <w:r>
              <w:rPr>
                <w:b/>
                <w:i/>
                <w:sz w:val="20"/>
                <w:szCs w:val="20"/>
              </w:rPr>
              <w:t>Proposal 41: For 6G sensing study, consider the need of sharing common hardware for 6G communication and 6G sensing.</w:t>
            </w:r>
          </w:p>
          <w:p w14:paraId="3A612E37">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Reuse 6G communication HW for 6G sensing is preferred. </w:t>
            </w:r>
          </w:p>
          <w:p w14:paraId="3D36C62D">
            <w:pPr>
              <w:pStyle w:val="19"/>
              <w:widowControl w:val="0"/>
              <w:autoSpaceDE w:val="0"/>
              <w:autoSpaceDN w:val="0"/>
              <w:spacing w:afterLines="50"/>
              <w:jc w:val="both"/>
              <w:rPr>
                <w:b/>
                <w:i/>
              </w:rPr>
            </w:pPr>
            <w:r>
              <w:rPr>
                <w:b/>
                <w:i/>
              </w:rPr>
              <w:t>Proposal 42: To ensure ​​coexistence of communication and sensing, strive to reduce impact on 6G communication from 6G sensing signal.</w:t>
            </w:r>
          </w:p>
          <w:p w14:paraId="795D9026">
            <w:pPr>
              <w:pStyle w:val="19"/>
              <w:widowControl w:val="0"/>
              <w:autoSpaceDE w:val="0"/>
              <w:autoSpaceDN w:val="0"/>
              <w:spacing w:afterLines="50"/>
              <w:jc w:val="both"/>
              <w:rPr>
                <w:rFonts w:eastAsiaTheme="minorEastAsia"/>
                <w:b/>
                <w:i/>
              </w:rPr>
            </w:pPr>
            <w:r>
              <w:rPr>
                <w:b/>
                <w:i/>
              </w:rPr>
              <w:t>Proposal 43: Study at least followings on physical layer design for ISAC:</w:t>
            </w:r>
          </w:p>
          <w:p w14:paraId="156FFFE9">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560EE560">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148279DB">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6C898233">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pPr>
              <w:widowControl w:val="0"/>
              <w:autoSpaceDE w:val="0"/>
              <w:autoSpaceDN w:val="0"/>
              <w:spacing w:afterLines="50"/>
              <w:jc w:val="both"/>
              <w:rPr>
                <w:rFonts w:eastAsiaTheme="minorEastAsia"/>
                <w:b/>
                <w:i/>
                <w:sz w:val="20"/>
                <w:szCs w:val="20"/>
              </w:rPr>
            </w:pPr>
            <w:r>
              <w:rPr>
                <w:rFonts w:eastAsiaTheme="minorEastAsia"/>
                <w:b/>
                <w:i/>
                <w:sz w:val="20"/>
                <w:szCs w:val="20"/>
              </w:rPr>
              <w:t>Proposal 44: Reuse the frame/slot structure designed for communication for 6G Sensing.</w:t>
            </w:r>
          </w:p>
          <w:p w14:paraId="3A901919">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51FABD3">
            <w:pPr>
              <w:widowControl w:val="0"/>
              <w:numPr>
                <w:ilvl w:val="1"/>
                <w:numId w:val="46"/>
              </w:numPr>
              <w:autoSpaceDE w:val="0"/>
              <w:autoSpaceDN w:val="0"/>
              <w:spacing w:afterLines="50"/>
              <w:jc w:val="both"/>
              <w:rPr>
                <w:rFonts w:eastAsiaTheme="minorEastAsia"/>
                <w:b/>
                <w:i/>
                <w:sz w:val="20"/>
                <w:szCs w:val="20"/>
              </w:rPr>
            </w:pPr>
            <w:r>
              <w:rPr>
                <w:rFonts w:eastAsiaTheme="minorEastAsia"/>
                <w:b/>
                <w:i/>
                <w:sz w:val="20"/>
                <w:szCs w:val="20"/>
              </w:rPr>
              <w:t>Multiplexing of communication and sensing on this symbol is not precluded.</w:t>
            </w:r>
          </w:p>
          <w:p w14:paraId="6B0F8C06">
            <w:pPr>
              <w:widowControl w:val="0"/>
              <w:autoSpaceDE w:val="0"/>
              <w:autoSpaceDN w:val="0"/>
              <w:spacing w:afterLines="50"/>
              <w:jc w:val="both"/>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E7BC23B">
            <w:pPr>
              <w:widowControl w:val="0"/>
              <w:autoSpaceDE w:val="0"/>
              <w:autoSpaceDN w:val="0"/>
              <w:spacing w:afterLines="50"/>
              <w:jc w:val="both"/>
              <w:rPr>
                <w:rFonts w:eastAsiaTheme="minorEastAsia"/>
                <w:b/>
                <w:i/>
                <w:sz w:val="20"/>
                <w:szCs w:val="20"/>
              </w:rPr>
            </w:pPr>
            <w:r>
              <w:rPr>
                <w:rFonts w:eastAsiaTheme="minorEastAsia"/>
                <w:b/>
                <w:i/>
                <w:sz w:val="20"/>
                <w:szCs w:val="20"/>
              </w:rPr>
              <w:t>Observation 13: Sensing may need a longer CP than communication, due to the following reasons:</w:t>
            </w:r>
          </w:p>
          <w:p w14:paraId="7CD73B9B">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of mono-static sensing, a longer CP may be needed to cover the absolute round-trip time.</w:t>
            </w:r>
          </w:p>
          <w:p w14:paraId="681691E8">
            <w:pPr>
              <w:pStyle w:val="63"/>
              <w:widowControl w:val="0"/>
              <w:numPr>
                <w:ilvl w:val="1"/>
                <w:numId w:val="8"/>
              </w:numPr>
              <w:autoSpaceDE w:val="0"/>
              <w:autoSpaceDN w:val="0"/>
              <w:spacing w:afterLines="50"/>
              <w:ind w:hanging="442"/>
              <w:jc w:val="both"/>
              <w:rPr>
                <w:rFonts w:eastAsiaTheme="minorEastAsia"/>
                <w:b/>
                <w:i/>
                <w:sz w:val="20"/>
                <w:szCs w:val="20"/>
              </w:rPr>
            </w:pPr>
            <w:r>
              <w:rPr>
                <w:rFonts w:hint="eastAsia" w:eastAsiaTheme="minor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hint="eastAsia" w:eastAsiaTheme="minorEastAsia"/>
                <w:b/>
                <w:i/>
                <w:sz w:val="20"/>
                <w:szCs w:val="20"/>
              </w:rPr>
              <w:t>.</w:t>
            </w:r>
          </w:p>
          <w:p w14:paraId="44E86100">
            <w:pPr>
              <w:widowControl w:val="0"/>
              <w:autoSpaceDE w:val="0"/>
              <w:autoSpaceDN w:val="0"/>
              <w:spacing w:afterLines="50"/>
              <w:jc w:val="both"/>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1DE102C">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A single-symbol based method, where the comb-like frequency pattern enables longer CP.</w:t>
            </w:r>
          </w:p>
          <w:p w14:paraId="4AFF666A">
            <w:pPr>
              <w:pStyle w:val="63"/>
              <w:widowControl w:val="0"/>
              <w:numPr>
                <w:ilvl w:val="1"/>
                <w:numId w:val="8"/>
              </w:numPr>
              <w:autoSpaceDE w:val="0"/>
              <w:autoSpaceDN w:val="0"/>
              <w:spacing w:afterLines="50"/>
              <w:ind w:hanging="442"/>
              <w:jc w:val="both"/>
              <w:rPr>
                <w:rFonts w:eastAsiaTheme="minorEastAsia"/>
                <w:b/>
                <w:bCs/>
                <w:i/>
                <w:iCs/>
                <w:sz w:val="20"/>
                <w:szCs w:val="20"/>
              </w:rPr>
            </w:pPr>
            <w:r>
              <w:rPr>
                <w:rFonts w:hint="eastAsia" w:eastAsiaTheme="minorEastAsia"/>
                <w:b/>
                <w:i/>
                <w:sz w:val="20"/>
                <w:szCs w:val="20"/>
              </w:rPr>
              <w:t>A</w:t>
            </w:r>
            <w:r>
              <w:rPr>
                <w:rFonts w:eastAsiaTheme="minorEastAsia"/>
                <w:b/>
                <w:i/>
                <w:sz w:val="20"/>
                <w:szCs w:val="20"/>
              </w:rPr>
              <w:t xml:space="preserve"> double-symbol based method, where the first symbol helps to form longer CP</w:t>
            </w:r>
            <w:r>
              <w:rPr>
                <w:rFonts w:hint="eastAsia" w:eastAsiaTheme="minorEastAsia"/>
                <w:b/>
                <w:i/>
                <w:sz w:val="20"/>
                <w:szCs w:val="20"/>
              </w:rPr>
              <w:t>.</w:t>
            </w:r>
          </w:p>
        </w:tc>
      </w:tr>
      <w:tr w14:paraId="7D44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CE52D8F">
            <w:pPr>
              <w:widowControl w:val="0"/>
              <w:autoSpaceDE w:val="0"/>
              <w:autoSpaceDN w:val="0"/>
              <w:spacing w:afterLines="50"/>
              <w:jc w:val="both"/>
              <w:rPr>
                <w:rFonts w:eastAsia="宋体"/>
                <w:sz w:val="20"/>
                <w:szCs w:val="20"/>
                <w:lang w:val="en-GB"/>
              </w:rPr>
            </w:pPr>
            <w:r>
              <w:rPr>
                <w:rFonts w:hint="eastAsia" w:eastAsia="宋体"/>
                <w:sz w:val="20"/>
                <w:szCs w:val="20"/>
                <w:lang w:val="en-GB"/>
              </w:rPr>
              <w:t>Samsung</w:t>
            </w:r>
          </w:p>
        </w:tc>
        <w:tc>
          <w:tcPr>
            <w:tcW w:w="3829" w:type="pct"/>
          </w:tcPr>
          <w:p w14:paraId="7FE84465">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#23.</w:t>
            </w:r>
            <w:r>
              <w:rPr>
                <w:b/>
                <w:i/>
                <w:lang w:val="en-US"/>
              </w:rPr>
              <w:tab/>
            </w:r>
            <w:r>
              <w:rPr>
                <w:b/>
                <w:i/>
                <w:lang w:val="en-US"/>
              </w:rPr>
              <w:t>6GR to study all six sensing modes, and identify clear use cases, target scenarios, and key assumptions for each mode.</w:t>
            </w:r>
          </w:p>
          <w:p w14:paraId="0C94E4E9">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#24.</w:t>
            </w:r>
            <w:r>
              <w:rPr>
                <w:b/>
                <w:i/>
                <w:lang w:val="en-US"/>
              </w:rPr>
              <w:tab/>
            </w:r>
            <w:r>
              <w:rPr>
                <w:b/>
                <w:i/>
                <w:lang w:val="en-US"/>
              </w:rPr>
              <w:t>6GR to study sensing RS design with CP-OFDM as the baseline waveform and prioritize dual-functional RS supporting both sensing and communication.</w:t>
            </w:r>
          </w:p>
          <w:p w14:paraId="471E68D4">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#25.</w:t>
            </w:r>
            <w:r>
              <w:rPr>
                <w:b/>
                <w:i/>
                <w:lang w:val="en-US"/>
              </w:rPr>
              <w:tab/>
            </w:r>
            <w:r>
              <w:rPr>
                <w:b/>
                <w:i/>
                <w:lang w:val="en-US"/>
              </w:rPr>
              <w:t>6GR to study common frame structure for sensing and communication.</w:t>
            </w:r>
          </w:p>
          <w:p w14:paraId="1F117F13">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#26.</w:t>
            </w:r>
            <w:r>
              <w:rPr>
                <w:b/>
                <w:i/>
                <w:lang w:val="en-US"/>
              </w:rPr>
              <w:tab/>
            </w:r>
            <w:r>
              <w:rPr>
                <w:b/>
                <w:i/>
                <w:lang w:val="en-US"/>
              </w:rPr>
              <w:t>6GR to study a unified measurement and reporting framework for sensing and other measurement-based features (e.g., positioning), with affordable signaling overhead.</w:t>
            </w:r>
          </w:p>
        </w:tc>
      </w:tr>
    </w:tbl>
    <w:p w14:paraId="7FECED07">
      <w:pPr>
        <w:rPr>
          <w:rFonts w:eastAsiaTheme="minorEastAsia"/>
        </w:rPr>
      </w:pPr>
    </w:p>
    <w:p w14:paraId="71665061">
      <w:pPr>
        <w:pStyle w:val="3"/>
        <w:spacing w:after="120"/>
        <w:rPr>
          <w:rFonts w:eastAsiaTheme="minorEastAsia"/>
        </w:rPr>
      </w:pPr>
      <w:r>
        <w:rPr>
          <w:rFonts w:hint="eastAsia" w:eastAsiaTheme="minorEastAsia"/>
        </w:rPr>
        <w:t xml:space="preserve">Issue#6: </w:t>
      </w:r>
      <w:r>
        <w:t>Cell DRX/DTX</w:t>
      </w:r>
      <w:r>
        <w:rPr>
          <w:rFonts w:hint="eastAsia" w:eastAsiaTheme="minorEastAsia"/>
        </w:rPr>
        <w:t xml:space="preserve"> for energy saving</w:t>
      </w:r>
    </w:p>
    <w:p w14:paraId="77D1B4A3">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Cell DTX/DRX in relation with DL WUS, cell-common/group common/UE dedicated signals/channels can be discussed in AI 10.6.1, 10.5.1.1, and etc. No specific agreement is needed in this agenda. </w:t>
      </w:r>
    </w:p>
    <w:p w14:paraId="430BD0A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D8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75108E9">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ACFB5DA">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5C4F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A203A91">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5173A35E">
            <w:pPr>
              <w:pStyle w:val="63"/>
              <w:numPr>
                <w:ilvl w:val="0"/>
                <w:numId w:val="87"/>
              </w:numPr>
              <w:jc w:val="both"/>
              <w:rPr>
                <w:rFonts w:ascii="Times New Roman" w:hAnsi="Times New Roman" w:cs="Times New Roman" w:eastAsiaTheme="minorEastAsia"/>
                <w:bCs/>
                <w:szCs w:val="20"/>
              </w:rPr>
            </w:pPr>
          </w:p>
        </w:tc>
      </w:tr>
      <w:tr w14:paraId="03DB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4805F1B">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2BCD73AA">
            <w:pPr>
              <w:widowControl w:val="0"/>
              <w:suppressAutoHyphens/>
              <w:spacing w:line="256" w:lineRule="auto"/>
              <w:jc w:val="both"/>
              <w:rPr>
                <w:rFonts w:ascii="Times New Roman" w:hAnsi="Times New Roman" w:eastAsia="宋体" w:cs="Times New Roman"/>
                <w:kern w:val="2"/>
                <w:szCs w:val="22"/>
                <w:lang w:val="en-GB" w:eastAsia="en-US"/>
              </w:rPr>
            </w:pPr>
          </w:p>
        </w:tc>
      </w:tr>
      <w:tr w14:paraId="4E3D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04A71324">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189604A7">
            <w:pPr>
              <w:widowControl w:val="0"/>
              <w:suppressAutoHyphens/>
              <w:spacing w:line="256" w:lineRule="auto"/>
              <w:jc w:val="both"/>
              <w:rPr>
                <w:rFonts w:ascii="Times New Roman" w:hAnsi="Times New Roman" w:cs="Times New Roman"/>
                <w:sz w:val="20"/>
                <w:szCs w:val="20"/>
                <w:lang w:val="en-GB" w:eastAsia="en-US"/>
              </w:rPr>
            </w:pPr>
          </w:p>
        </w:tc>
      </w:tr>
    </w:tbl>
    <w:p w14:paraId="1CEC29EF">
      <w:pPr>
        <w:rPr>
          <w:rFonts w:eastAsiaTheme="minorEastAsia"/>
        </w:rPr>
      </w:pPr>
    </w:p>
    <w:p w14:paraId="5A0F52AF">
      <w:pPr>
        <w:rPr>
          <w:rFonts w:eastAsiaTheme="minorEastAsia"/>
        </w:rPr>
      </w:pPr>
    </w:p>
    <w:p w14:paraId="7D26971D">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DB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C8039BB">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6E33A10F">
            <w:pPr>
              <w:widowControl w:val="0"/>
              <w:autoSpaceDE w:val="0"/>
              <w:autoSpaceDN w:val="0"/>
              <w:jc w:val="center"/>
            </w:pPr>
            <w:r>
              <w:rPr>
                <w:rFonts w:eastAsiaTheme="minorEastAsia"/>
                <w:b/>
                <w:bCs/>
                <w:lang w:eastAsia="ko-KR"/>
              </w:rPr>
              <w:t xml:space="preserve">Views/proposals </w:t>
            </w:r>
          </w:p>
        </w:tc>
      </w:tr>
      <w:tr w14:paraId="00A3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7400608D">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D84F476">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14:paraId="68A2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113551E">
            <w:pPr>
              <w:widowControl w:val="0"/>
              <w:autoSpaceDE w:val="0"/>
              <w:autoSpaceDN w:val="0"/>
              <w:jc w:val="both"/>
              <w:rPr>
                <w:rFonts w:eastAsia="宋体"/>
                <w:sz w:val="20"/>
                <w:szCs w:val="20"/>
                <w:lang w:val="en-GB"/>
              </w:rPr>
            </w:pPr>
            <w:r>
              <w:rPr>
                <w:rFonts w:hint="eastAsia" w:eastAsia="宋体"/>
                <w:sz w:val="20"/>
                <w:szCs w:val="20"/>
                <w:lang w:val="en-GB"/>
              </w:rPr>
              <w:t>Samsung</w:t>
            </w:r>
          </w:p>
        </w:tc>
        <w:tc>
          <w:tcPr>
            <w:tcW w:w="3829" w:type="pct"/>
          </w:tcPr>
          <w:p w14:paraId="2DB50B6F">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Observation #20.</w:t>
            </w:r>
            <w:r>
              <w:rPr>
                <w:rFonts w:eastAsiaTheme="minorEastAsia"/>
                <w:b/>
                <w:bCs/>
              </w:rPr>
              <w:tab/>
            </w:r>
            <w:r>
              <w:rPr>
                <w:rFonts w:eastAsiaTheme="minorEastAsia"/>
                <w:b/>
                <w:bCs/>
              </w:rPr>
              <w:t>Network energy savings gain for NR cell DTX/DRX operation is limited due to the transmissions and receptions of channels/signals with relatively short periodicities, such as SS/PBCH blocks every 20 msec, which do not allow the gNB to be in deep sleep mode.</w:t>
            </w:r>
          </w:p>
          <w:p w14:paraId="158474C3">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Proposal #8.</w:t>
            </w:r>
            <w:r>
              <w:rPr>
                <w:rFonts w:eastAsiaTheme="minorEastAsia"/>
                <w:b/>
                <w:bCs/>
              </w:rPr>
              <w:tab/>
            </w:r>
            <w:r>
              <w:rPr>
                <w:rFonts w:eastAsiaTheme="minorEastAsia"/>
                <w:b/>
                <w:bCs/>
              </w:rPr>
              <w:t>Study cell DTX/DRX operation, at least including,</w:t>
            </w:r>
          </w:p>
          <w:p w14:paraId="158006FD">
            <w:pPr>
              <w:pStyle w:val="63"/>
              <w:widowControl w:val="0"/>
              <w:numPr>
                <w:ilvl w:val="0"/>
                <w:numId w:val="118"/>
              </w:numPr>
              <w:autoSpaceDE w:val="0"/>
              <w:autoSpaceDN w:val="0"/>
              <w:jc w:val="both"/>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6B98E532">
            <w:pPr>
              <w:pStyle w:val="63"/>
              <w:widowControl w:val="0"/>
              <w:numPr>
                <w:ilvl w:val="1"/>
                <w:numId w:val="118"/>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639DAA15">
            <w:pPr>
              <w:pStyle w:val="63"/>
              <w:widowControl w:val="0"/>
              <w:numPr>
                <w:ilvl w:val="0"/>
                <w:numId w:val="118"/>
              </w:numPr>
              <w:autoSpaceDE w:val="0"/>
              <w:autoSpaceDN w:val="0"/>
              <w:jc w:val="both"/>
              <w:rPr>
                <w:rFonts w:eastAsiaTheme="minorEastAsia"/>
                <w:b/>
                <w:bCs/>
                <w:sz w:val="20"/>
                <w:szCs w:val="20"/>
                <w:lang w:val="en-GB"/>
              </w:rPr>
            </w:pPr>
            <w:r>
              <w:rPr>
                <w:rFonts w:eastAsiaTheme="minorEastAsia"/>
                <w:b/>
                <w:bCs/>
                <w:sz w:val="20"/>
                <w:szCs w:val="20"/>
                <w:lang w:val="en-GB"/>
              </w:rPr>
              <w:t>Consider both RRC_IDLE/INACTIVE and RRC_CONNECTED states;</w:t>
            </w:r>
          </w:p>
          <w:p w14:paraId="3292D40D">
            <w:pPr>
              <w:pStyle w:val="63"/>
              <w:widowControl w:val="0"/>
              <w:numPr>
                <w:ilvl w:val="0"/>
                <w:numId w:val="118"/>
              </w:numPr>
              <w:autoSpaceDE w:val="0"/>
              <w:autoSpaceDN w:val="0"/>
              <w:jc w:val="both"/>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5DDCA31">
            <w:pPr>
              <w:pStyle w:val="63"/>
              <w:widowControl w:val="0"/>
              <w:numPr>
                <w:ilvl w:val="0"/>
                <w:numId w:val="118"/>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UE DTX/DRX.</w:t>
            </w:r>
          </w:p>
        </w:tc>
      </w:tr>
    </w:tbl>
    <w:p w14:paraId="56E6DAD7">
      <w:pPr>
        <w:rPr>
          <w:rFonts w:eastAsiaTheme="minorEastAsia"/>
        </w:rPr>
      </w:pPr>
    </w:p>
    <w:p w14:paraId="01AA3686">
      <w:pPr>
        <w:pStyle w:val="3"/>
        <w:spacing w:before="120" w:after="120"/>
        <w:rPr>
          <w:rFonts w:eastAsiaTheme="minorEastAsia"/>
        </w:rPr>
      </w:pPr>
      <w:r>
        <w:rPr>
          <w:rFonts w:hint="eastAsia" w:eastAsiaTheme="minorEastAsia"/>
        </w:rPr>
        <w:t xml:space="preserve">Issue#7: </w:t>
      </w:r>
      <w:r>
        <w:rPr>
          <w:rFonts w:eastAsiaTheme="minorEastAsia"/>
        </w:rPr>
        <w:t xml:space="preserve">Initial Access Design Directions </w:t>
      </w:r>
    </w:p>
    <w:p w14:paraId="46D1B004">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potential decoupling of SS and PBCH, the </w:t>
      </w:r>
      <w:r>
        <w:rPr>
          <w:rFonts w:eastAsiaTheme="minorEastAsia"/>
        </w:rPr>
        <w:t>necessity</w:t>
      </w:r>
      <w:r>
        <w:rPr>
          <w:rFonts w:hint="eastAsia" w:eastAsiaTheme="minorEastAsia"/>
        </w:rPr>
        <w:t xml:space="preserve"> of on-demand SSB/MIB/SIB1/PRACH can be discussed in AI 10.5.1.1 and 10.5.1.2. No specific agreement is needed in this agenda. </w:t>
      </w:r>
    </w:p>
    <w:p w14:paraId="755A54E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01E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5781EC0">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C4076E8">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29FC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7DDD8DD">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24D567CF">
            <w:pPr>
              <w:jc w:val="both"/>
              <w:rPr>
                <w:rFonts w:ascii="Calibri" w:hAnsi="Calibri" w:cs="Arial" w:eastAsiaTheme="minorEastAsia"/>
                <w:bCs/>
                <w:szCs w:val="20"/>
              </w:rPr>
            </w:pPr>
          </w:p>
        </w:tc>
      </w:tr>
      <w:tr w14:paraId="46F4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C894C23">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A3AA5B8">
            <w:pPr>
              <w:widowControl w:val="0"/>
              <w:suppressAutoHyphens/>
              <w:spacing w:line="256" w:lineRule="auto"/>
              <w:jc w:val="both"/>
              <w:rPr>
                <w:rFonts w:ascii="Times New Roman" w:hAnsi="Times New Roman" w:eastAsia="宋体" w:cs="Times New Roman"/>
                <w:kern w:val="2"/>
                <w:szCs w:val="22"/>
                <w:lang w:val="en-GB" w:eastAsia="en-US"/>
              </w:rPr>
            </w:pPr>
          </w:p>
        </w:tc>
      </w:tr>
      <w:tr w14:paraId="6140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26B54004">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1265AA3B">
            <w:pPr>
              <w:widowControl w:val="0"/>
              <w:suppressAutoHyphens/>
              <w:spacing w:line="256" w:lineRule="auto"/>
              <w:jc w:val="both"/>
              <w:rPr>
                <w:rFonts w:ascii="Times New Roman" w:hAnsi="Times New Roman" w:cs="Times New Roman"/>
                <w:sz w:val="20"/>
                <w:szCs w:val="20"/>
                <w:lang w:val="en-GB" w:eastAsia="en-US"/>
              </w:rPr>
            </w:pPr>
          </w:p>
        </w:tc>
      </w:tr>
    </w:tbl>
    <w:p w14:paraId="51791171">
      <w:pPr>
        <w:rPr>
          <w:rFonts w:eastAsiaTheme="minorEastAsia"/>
        </w:rPr>
      </w:pPr>
    </w:p>
    <w:p w14:paraId="79FA6BB2">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60A2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170294A3">
            <w:pPr>
              <w:widowControl w:val="0"/>
              <w:autoSpaceDE w:val="0"/>
              <w:autoSpaceDN w:val="0"/>
              <w:spacing w:before="120"/>
              <w:jc w:val="both"/>
            </w:pPr>
            <w:r>
              <w:rPr>
                <w:rFonts w:eastAsiaTheme="minorEastAsia"/>
                <w:b/>
                <w:bCs/>
                <w:lang w:eastAsia="ko-KR"/>
              </w:rPr>
              <w:t>Company</w:t>
            </w:r>
          </w:p>
        </w:tc>
        <w:tc>
          <w:tcPr>
            <w:tcW w:w="3829" w:type="pct"/>
            <w:shd w:val="clear" w:color="auto" w:fill="DBE5F1" w:themeFill="accent1" w:themeFillTint="33"/>
          </w:tcPr>
          <w:p w14:paraId="590CF1BA">
            <w:pPr>
              <w:widowControl w:val="0"/>
              <w:autoSpaceDE w:val="0"/>
              <w:autoSpaceDN w:val="0"/>
              <w:spacing w:before="120"/>
              <w:jc w:val="center"/>
            </w:pPr>
            <w:r>
              <w:rPr>
                <w:rFonts w:eastAsiaTheme="minorEastAsia"/>
                <w:b/>
                <w:bCs/>
                <w:lang w:eastAsia="ko-KR"/>
              </w:rPr>
              <w:t xml:space="preserve">Views/proposals </w:t>
            </w:r>
          </w:p>
        </w:tc>
      </w:tr>
      <w:tr w14:paraId="5BF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EB5C1D2">
            <w:pPr>
              <w:widowControl w:val="0"/>
              <w:autoSpaceDE w:val="0"/>
              <w:autoSpaceDN w:val="0"/>
              <w:jc w:val="both"/>
              <w:rPr>
                <w:rFonts w:eastAsia="宋体"/>
                <w:sz w:val="20"/>
                <w:szCs w:val="20"/>
                <w:lang w:val="en-GB"/>
              </w:rPr>
            </w:pPr>
            <w:r>
              <w:rPr>
                <w:rFonts w:hint="eastAsia" w:eastAsia="宋体"/>
                <w:sz w:val="20"/>
                <w:szCs w:val="20"/>
                <w:lang w:val="en-GB"/>
              </w:rPr>
              <w:t>Futurewei</w:t>
            </w:r>
          </w:p>
        </w:tc>
        <w:tc>
          <w:tcPr>
            <w:tcW w:w="3829" w:type="pct"/>
          </w:tcPr>
          <w:p w14:paraId="2DD97E57">
            <w:pPr>
              <w:widowControl w:val="0"/>
              <w:autoSpaceDE w:val="0"/>
              <w:autoSpaceDN w:val="0"/>
              <w:jc w:val="both"/>
              <w:rPr>
                <w:sz w:val="20"/>
                <w:szCs w:val="20"/>
              </w:rPr>
            </w:pPr>
            <w:r>
              <w:rPr>
                <w:sz w:val="20"/>
                <w:szCs w:val="20"/>
              </w:rPr>
              <w:t>Proposal 16: Support transmission of MIB (PBCH) and SIB1 with larger periodicities than the synchronization signals and/or MIB (PBCH) and SIB1 per on-demand basis.</w:t>
            </w:r>
          </w:p>
          <w:p w14:paraId="0BD09C69">
            <w:pPr>
              <w:widowControl w:val="0"/>
              <w:autoSpaceDE w:val="0"/>
              <w:autoSpaceDN w:val="0"/>
              <w:jc w:val="both"/>
              <w:rPr>
                <w:sz w:val="20"/>
                <w:szCs w:val="20"/>
              </w:rPr>
            </w:pPr>
            <w:r>
              <w:rPr>
                <w:sz w:val="20"/>
                <w:szCs w:val="20"/>
              </w:rPr>
              <w:t>Proposal 17: To improve energy efficiency during initial access consider supporting on-demand SSB, on-demand SIB1 and time adaptation of control signaling.</w:t>
            </w:r>
          </w:p>
          <w:p w14:paraId="5D0D2296">
            <w:pPr>
              <w:widowControl w:val="0"/>
              <w:autoSpaceDE w:val="0"/>
              <w:autoSpaceDN w:val="0"/>
              <w:jc w:val="both"/>
              <w:rPr>
                <w:rFonts w:eastAsiaTheme="minorEastAsia"/>
                <w:b/>
                <w:bCs/>
                <w:sz w:val="20"/>
                <w:szCs w:val="20"/>
              </w:rPr>
            </w:pPr>
            <w:r>
              <w:rPr>
                <w:sz w:val="20"/>
                <w:szCs w:val="20"/>
              </w:rPr>
              <w:t>Proposal 18: Support time adaptation and the flexible scalable design of PRACH from Day 1.</w:t>
            </w:r>
          </w:p>
        </w:tc>
      </w:tr>
    </w:tbl>
    <w:p w14:paraId="58B9178B">
      <w:pPr>
        <w:rPr>
          <w:rFonts w:eastAsiaTheme="minorEastAsia"/>
        </w:rPr>
      </w:pPr>
    </w:p>
    <w:p w14:paraId="4FC92090">
      <w:pPr>
        <w:pStyle w:val="3"/>
        <w:spacing w:after="120"/>
        <w:rPr>
          <w:rFonts w:eastAsiaTheme="minorEastAsia"/>
        </w:rPr>
      </w:pPr>
      <w:r>
        <w:rPr>
          <w:rFonts w:hint="eastAsia" w:eastAsiaTheme="minorEastAsia"/>
        </w:rPr>
        <w:t>Issue#8: UCI transmission</w:t>
      </w:r>
    </w:p>
    <w:p w14:paraId="5E1D431F">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UCI transmission and mapping can be discussed in AI 10.5.2.3. No specific agreement is needed in this agenda. </w:t>
      </w:r>
    </w:p>
    <w:p w14:paraId="23A4E89C">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2DB9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87C752D">
            <w:pPr>
              <w:widowControl w:val="0"/>
              <w:suppressAutoHyphens/>
              <w:spacing w:line="256" w:lineRule="auto"/>
              <w:rPr>
                <w:rFonts w:ascii="Times New Roman" w:hAnsi="Times New Roman" w:cs="Times New Roman"/>
                <w:szCs w:val="22"/>
                <w:lang w:val="en-GB"/>
              </w:rPr>
            </w:pPr>
            <w:r>
              <w:rPr>
                <w:rFonts w:ascii="Times New Roman" w:hAnsi="Times New Roman" w:eastAsia="宋体" w:cs="Times New Roman"/>
                <w:b/>
                <w:szCs w:val="22"/>
                <w:lang w:eastAsia="en-US"/>
              </w:rPr>
              <w:t>Compan</w:t>
            </w:r>
            <w:r>
              <w:rPr>
                <w:rFonts w:hint="eastAsia" w:ascii="Times New Roman" w:hAnsi="Times New Roman" w:eastAsia="宋体" w:cs="Times New Roman"/>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9A80449">
            <w:pPr>
              <w:widowControl w:val="0"/>
              <w:suppressAutoHyphens/>
              <w:spacing w:line="256" w:lineRule="auto"/>
              <w:ind w:firstLine="402"/>
              <w:jc w:val="center"/>
              <w:rPr>
                <w:rFonts w:ascii="Times New Roman" w:hAnsi="Times New Roman" w:cs="Times New Roman" w:eastAsiaTheme="minorEastAsia"/>
                <w:b/>
                <w:bCs/>
                <w:szCs w:val="22"/>
                <w:lang w:val="en-GB"/>
              </w:rPr>
            </w:pPr>
            <w:r>
              <w:rPr>
                <w:rFonts w:hint="eastAsia" w:ascii="Times New Roman" w:hAnsi="Times New Roman" w:cs="Times New Roman" w:eastAsiaTheme="minorEastAsia"/>
                <w:b/>
                <w:bCs/>
                <w:szCs w:val="22"/>
                <w:lang w:val="en-GB"/>
              </w:rPr>
              <w:t>Comments</w:t>
            </w:r>
          </w:p>
        </w:tc>
      </w:tr>
      <w:tr w14:paraId="4968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17B5C11">
            <w:pPr>
              <w:widowControl w:val="0"/>
              <w:suppressAutoHyphens/>
              <w:spacing w:line="256" w:lineRule="auto"/>
              <w:jc w:val="both"/>
              <w:rPr>
                <w:rFonts w:ascii="Times New Roman" w:hAnsi="Times New Roman" w:eastAsia="宋体" w:cs="Times New Roman"/>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6487D0F7">
            <w:pPr>
              <w:jc w:val="both"/>
              <w:rPr>
                <w:rFonts w:ascii="Calibri" w:hAnsi="Calibri" w:cs="Arial" w:eastAsiaTheme="minorEastAsia"/>
                <w:bCs/>
                <w:szCs w:val="20"/>
              </w:rPr>
            </w:pPr>
          </w:p>
        </w:tc>
      </w:tr>
      <w:tr w14:paraId="1E6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7A79B8C">
            <w:pPr>
              <w:widowControl w:val="0"/>
              <w:suppressAutoHyphens/>
              <w:spacing w:line="256" w:lineRule="auto"/>
              <w:jc w:val="both"/>
              <w:rPr>
                <w:rFonts w:ascii="Times New Roman" w:hAnsi="Times New Roman" w:eastAsia="宋体" w:cs="Times New Roman"/>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040712D8">
            <w:pPr>
              <w:widowControl w:val="0"/>
              <w:suppressAutoHyphens/>
              <w:spacing w:line="256" w:lineRule="auto"/>
              <w:jc w:val="both"/>
              <w:rPr>
                <w:rFonts w:ascii="Times New Roman" w:hAnsi="Times New Roman" w:eastAsia="宋体" w:cs="Times New Roman"/>
                <w:kern w:val="2"/>
                <w:szCs w:val="22"/>
                <w:lang w:val="en-GB" w:eastAsia="en-US"/>
              </w:rPr>
            </w:pPr>
          </w:p>
        </w:tc>
      </w:tr>
      <w:tr w14:paraId="0E0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A74AA04">
            <w:pPr>
              <w:widowControl w:val="0"/>
              <w:suppressAutoHyphens/>
              <w:spacing w:line="256" w:lineRule="auto"/>
              <w:jc w:val="both"/>
              <w:rPr>
                <w:rFonts w:ascii="Times New Roman" w:hAnsi="Times New Roman" w:eastAsia="宋体" w:cs="Times New Roman"/>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68AB4879">
            <w:pPr>
              <w:widowControl w:val="0"/>
              <w:suppressAutoHyphens/>
              <w:spacing w:line="256" w:lineRule="auto"/>
              <w:jc w:val="both"/>
              <w:rPr>
                <w:rFonts w:ascii="Times New Roman" w:hAnsi="Times New Roman" w:cs="Times New Roman"/>
                <w:sz w:val="20"/>
                <w:szCs w:val="20"/>
                <w:lang w:val="en-GB" w:eastAsia="en-US"/>
              </w:rPr>
            </w:pPr>
          </w:p>
        </w:tc>
      </w:tr>
    </w:tbl>
    <w:p w14:paraId="6AFB87A4">
      <w:pPr>
        <w:rPr>
          <w:rFonts w:eastAsiaTheme="minorEastAsia"/>
        </w:rPr>
      </w:pPr>
    </w:p>
    <w:p w14:paraId="71F311D2">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12BE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14FF9981">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2CB0B937">
            <w:pPr>
              <w:widowControl w:val="0"/>
              <w:autoSpaceDE w:val="0"/>
              <w:autoSpaceDN w:val="0"/>
              <w:jc w:val="center"/>
            </w:pPr>
            <w:r>
              <w:rPr>
                <w:rFonts w:eastAsiaTheme="minorEastAsia"/>
                <w:b/>
                <w:bCs/>
                <w:lang w:eastAsia="ko-KR"/>
              </w:rPr>
              <w:t xml:space="preserve">Views/proposals </w:t>
            </w:r>
          </w:p>
        </w:tc>
      </w:tr>
      <w:tr w14:paraId="311C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25E43083">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3E25D1BB">
            <w:pPr>
              <w:widowControl w:val="0"/>
              <w:autoSpaceDE w:val="0"/>
              <w:autoSpaceDN w:val="0"/>
              <w:ind w:left="1200" w:hanging="1201" w:hangingChars="600"/>
              <w:jc w:val="both"/>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r>
            <w:r>
              <w:rPr>
                <w:b/>
                <w:bCs/>
                <w:sz w:val="20"/>
                <w:szCs w:val="20"/>
                <w:lang w:eastAsia="ko-KR"/>
              </w:rPr>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r>
            <w:r>
              <w:rPr>
                <w:b/>
                <w:bCs/>
                <w:sz w:val="20"/>
                <w:szCs w:val="20"/>
                <w:lang w:eastAsia="ko-KR"/>
              </w:rPr>
              <w:t>ACK, SR</w:t>
            </w:r>
            <w:r>
              <w:rPr>
                <w:rFonts w:hint="eastAsia"/>
                <w:b/>
                <w:bCs/>
                <w:sz w:val="20"/>
                <w:szCs w:val="20"/>
                <w:lang w:eastAsia="ko-KR"/>
              </w:rPr>
              <w:t>) should be carefully studied for 6GR, with consideration of at least following aspects:</w:t>
            </w:r>
          </w:p>
          <w:p w14:paraId="4BEBB8FE">
            <w:pPr>
              <w:widowControl w:val="0"/>
              <w:numPr>
                <w:ilvl w:val="0"/>
                <w:numId w:val="118"/>
              </w:numPr>
              <w:overflowPunct w:val="0"/>
              <w:autoSpaceDE w:val="0"/>
              <w:autoSpaceDN w:val="0"/>
              <w:jc w:val="both"/>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2D24BBBF">
            <w:pPr>
              <w:widowControl w:val="0"/>
              <w:numPr>
                <w:ilvl w:val="0"/>
                <w:numId w:val="118"/>
              </w:numPr>
              <w:overflowPunct w:val="0"/>
              <w:autoSpaceDE w:val="0"/>
              <w:autoSpaceDN w:val="0"/>
              <w:jc w:val="both"/>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r>
            <w:r>
              <w:rPr>
                <w:b/>
                <w:bCs/>
                <w:sz w:val="20"/>
                <w:szCs w:val="20"/>
                <w:lang w:eastAsia="ko-KR"/>
              </w:rPr>
              <w:t>critical nature of certain UCI types</w:t>
            </w:r>
            <w:r>
              <w:rPr>
                <w:rFonts w:hint="eastAsia"/>
                <w:b/>
                <w:bCs/>
                <w:sz w:val="20"/>
                <w:szCs w:val="20"/>
                <w:lang w:eastAsia="ko-KR"/>
              </w:rPr>
              <w:t>)</w:t>
            </w:r>
          </w:p>
          <w:p w14:paraId="75434F32">
            <w:pPr>
              <w:widowControl w:val="0"/>
              <w:numPr>
                <w:ilvl w:val="0"/>
                <w:numId w:val="118"/>
              </w:numPr>
              <w:overflowPunct w:val="0"/>
              <w:autoSpaceDE w:val="0"/>
              <w:autoSpaceDN w:val="0"/>
              <w:jc w:val="both"/>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324235F0">
            <w:pPr>
              <w:widowControl w:val="0"/>
              <w:numPr>
                <w:ilvl w:val="0"/>
                <w:numId w:val="118"/>
              </w:numPr>
              <w:overflowPunct w:val="0"/>
              <w:autoSpaceDE w:val="0"/>
              <w:autoSpaceDN w:val="0"/>
              <w:jc w:val="both"/>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r>
            <w:r>
              <w:rPr>
                <w:b/>
                <w:bCs/>
                <w:sz w:val="20"/>
                <w:szCs w:val="20"/>
                <w:lang w:eastAsia="ko-KR"/>
              </w:rPr>
              <w:t>ACK feedback resource allocation and procedures</w:t>
            </w:r>
            <w:r>
              <w:rPr>
                <w:rFonts w:hint="eastAsia"/>
                <w:b/>
                <w:bCs/>
                <w:sz w:val="20"/>
                <w:szCs w:val="20"/>
                <w:lang w:eastAsia="ko-KR"/>
              </w:rPr>
              <w:t>)</w:t>
            </w:r>
          </w:p>
        </w:tc>
      </w:tr>
      <w:tr w14:paraId="094E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1C28F103">
            <w:pPr>
              <w:widowControl w:val="0"/>
              <w:autoSpaceDE w:val="0"/>
              <w:autoSpaceDN w:val="0"/>
              <w:jc w:val="both"/>
              <w:rPr>
                <w:rFonts w:eastAsia="宋体"/>
                <w:szCs w:val="22"/>
                <w:lang w:val="en-GB"/>
              </w:rPr>
            </w:pPr>
          </w:p>
        </w:tc>
        <w:tc>
          <w:tcPr>
            <w:tcW w:w="3829" w:type="pct"/>
          </w:tcPr>
          <w:p w14:paraId="69B2BECD">
            <w:pPr>
              <w:widowControl w:val="0"/>
              <w:autoSpaceDE w:val="0"/>
              <w:autoSpaceDN w:val="0"/>
              <w:ind w:left="1320" w:hanging="1321" w:hangingChars="600"/>
              <w:jc w:val="both"/>
              <w:rPr>
                <w:b/>
                <w:bCs/>
                <w:lang w:eastAsia="ko-KR"/>
              </w:rPr>
            </w:pPr>
          </w:p>
        </w:tc>
      </w:tr>
    </w:tbl>
    <w:p w14:paraId="2D26A253">
      <w:pPr>
        <w:rPr>
          <w:rFonts w:eastAsiaTheme="minorEastAsia"/>
        </w:rPr>
      </w:pPr>
    </w:p>
    <w:p w14:paraId="6C5B326B">
      <w:pPr>
        <w:rPr>
          <w:rFonts w:eastAsiaTheme="minorEastAsia"/>
        </w:rPr>
      </w:pPr>
    </w:p>
    <w:p w14:paraId="642E638C">
      <w:pPr>
        <w:rPr>
          <w:rFonts w:eastAsiaTheme="minorEastAsia"/>
        </w:rPr>
      </w:pPr>
    </w:p>
    <w:p w14:paraId="3EF9DD2C">
      <w:pPr>
        <w:pStyle w:val="2"/>
        <w:spacing w:before="120" w:after="120"/>
      </w:pPr>
      <w:r>
        <w:t>Contact person</w:t>
      </w:r>
    </w:p>
    <w:p w14:paraId="12A6BB0D">
      <w:pPr>
        <w:spacing w:before="120"/>
        <w:jc w:val="both"/>
      </w:pPr>
      <w:r>
        <w:t>Please provide the information of the contact person in the following table to facilitate the discussions.</w:t>
      </w: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14:paraId="2B94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5382FC6">
            <w:pPr>
              <w:widowControl w:val="0"/>
              <w:autoSpaceDE w:val="0"/>
              <w:autoSpaceDN w:val="0"/>
              <w:spacing w:after="0" w:line="360" w:lineRule="auto"/>
              <w:jc w:val="both"/>
              <w:rPr>
                <w:b/>
                <w:szCs w:val="22"/>
                <w:lang w:val="zh-CN"/>
              </w:rPr>
            </w:pPr>
            <w:r>
              <w:rPr>
                <w:b/>
                <w:szCs w:val="22"/>
                <w:lang w:val="zh-CN"/>
              </w:rPr>
              <w:t>Company</w:t>
            </w:r>
          </w:p>
        </w:tc>
        <w:tc>
          <w:tcPr>
            <w:tcW w:w="2475" w:type="dxa"/>
          </w:tcPr>
          <w:p w14:paraId="178DA429">
            <w:pPr>
              <w:widowControl w:val="0"/>
              <w:autoSpaceDE w:val="0"/>
              <w:autoSpaceDN w:val="0"/>
              <w:spacing w:after="0" w:line="360" w:lineRule="auto"/>
              <w:jc w:val="both"/>
              <w:rPr>
                <w:b/>
                <w:szCs w:val="22"/>
                <w:lang w:val="zh-CN"/>
              </w:rPr>
            </w:pPr>
            <w:r>
              <w:rPr>
                <w:b/>
                <w:szCs w:val="22"/>
                <w:lang w:val="zh-CN"/>
              </w:rPr>
              <w:t>Name</w:t>
            </w:r>
          </w:p>
        </w:tc>
        <w:tc>
          <w:tcPr>
            <w:tcW w:w="4812" w:type="dxa"/>
          </w:tcPr>
          <w:p w14:paraId="2FDF7B95">
            <w:pPr>
              <w:widowControl w:val="0"/>
              <w:autoSpaceDE w:val="0"/>
              <w:autoSpaceDN w:val="0"/>
              <w:spacing w:after="0" w:line="360" w:lineRule="auto"/>
              <w:jc w:val="both"/>
              <w:rPr>
                <w:b/>
                <w:szCs w:val="22"/>
                <w:lang w:val="zh-CN"/>
              </w:rPr>
            </w:pPr>
            <w:r>
              <w:rPr>
                <w:b/>
                <w:szCs w:val="22"/>
                <w:lang w:val="zh-CN"/>
              </w:rPr>
              <w:t>Email address</w:t>
            </w:r>
          </w:p>
        </w:tc>
      </w:tr>
      <w:tr w14:paraId="7372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6F9BE46">
            <w:pPr>
              <w:widowControl w:val="0"/>
              <w:autoSpaceDE w:val="0"/>
              <w:autoSpaceDN w:val="0"/>
              <w:spacing w:after="0" w:line="360" w:lineRule="auto"/>
              <w:jc w:val="both"/>
              <w:rPr>
                <w:rFonts w:eastAsiaTheme="minorEastAsia"/>
                <w:szCs w:val="22"/>
              </w:rPr>
            </w:pPr>
            <w:r>
              <w:rPr>
                <w:rFonts w:eastAsiaTheme="minorEastAsia"/>
                <w:szCs w:val="22"/>
              </w:rPr>
              <w:t>Ericsson</w:t>
            </w:r>
          </w:p>
        </w:tc>
        <w:tc>
          <w:tcPr>
            <w:tcW w:w="2475" w:type="dxa"/>
          </w:tcPr>
          <w:p w14:paraId="36052A9E">
            <w:pPr>
              <w:widowControl w:val="0"/>
              <w:autoSpaceDE w:val="0"/>
              <w:autoSpaceDN w:val="0"/>
              <w:spacing w:after="0" w:line="360" w:lineRule="auto"/>
              <w:jc w:val="both"/>
              <w:rPr>
                <w:rFonts w:eastAsiaTheme="minorEastAsia"/>
                <w:szCs w:val="22"/>
              </w:rPr>
            </w:pPr>
            <w:r>
              <w:rPr>
                <w:rFonts w:eastAsiaTheme="minorEastAsia"/>
                <w:szCs w:val="22"/>
              </w:rPr>
              <w:t>Stefan Parkvall</w:t>
            </w:r>
          </w:p>
        </w:tc>
        <w:tc>
          <w:tcPr>
            <w:tcW w:w="4812" w:type="dxa"/>
          </w:tcPr>
          <w:p w14:paraId="7F40C929">
            <w:pPr>
              <w:widowControl w:val="0"/>
              <w:autoSpaceDE w:val="0"/>
              <w:autoSpaceDN w:val="0"/>
              <w:spacing w:after="0" w:line="360" w:lineRule="auto"/>
              <w:jc w:val="both"/>
              <w:rPr>
                <w:rFonts w:eastAsiaTheme="minorEastAsia"/>
                <w:szCs w:val="22"/>
              </w:rPr>
            </w:pPr>
            <w:r>
              <w:rPr>
                <w:rFonts w:eastAsiaTheme="minorEastAsia"/>
                <w:szCs w:val="22"/>
              </w:rPr>
              <w:t>stefan.parkvall@ericsson.com</w:t>
            </w:r>
          </w:p>
        </w:tc>
      </w:tr>
      <w:tr w14:paraId="063F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C09ED3B">
            <w:pPr>
              <w:widowControl w:val="0"/>
              <w:autoSpaceDE w:val="0"/>
              <w:autoSpaceDN w:val="0"/>
              <w:spacing w:after="0" w:line="360" w:lineRule="auto"/>
              <w:jc w:val="both"/>
              <w:rPr>
                <w:rFonts w:eastAsiaTheme="minorEastAsia"/>
                <w:szCs w:val="22"/>
              </w:rPr>
            </w:pPr>
            <w:r>
              <w:rPr>
                <w:rFonts w:eastAsiaTheme="minorEastAsia"/>
                <w:szCs w:val="20"/>
              </w:rPr>
              <w:t>Spreadtrum</w:t>
            </w:r>
          </w:p>
        </w:tc>
        <w:tc>
          <w:tcPr>
            <w:tcW w:w="2475" w:type="dxa"/>
          </w:tcPr>
          <w:p w14:paraId="6A248BDE">
            <w:pPr>
              <w:widowControl w:val="0"/>
              <w:autoSpaceDE w:val="0"/>
              <w:autoSpaceDN w:val="0"/>
              <w:spacing w:after="0"/>
              <w:jc w:val="left"/>
              <w:rPr>
                <w:rFonts w:eastAsiaTheme="minorEastAsia"/>
                <w:szCs w:val="20"/>
              </w:rPr>
            </w:pPr>
            <w:r>
              <w:rPr>
                <w:rFonts w:eastAsiaTheme="minorEastAsia"/>
                <w:szCs w:val="20"/>
              </w:rPr>
              <w:t>Yu Ding</w:t>
            </w:r>
          </w:p>
          <w:p w14:paraId="73DEADA6">
            <w:pPr>
              <w:widowControl w:val="0"/>
              <w:autoSpaceDE w:val="0"/>
              <w:autoSpaceDN w:val="0"/>
              <w:spacing w:after="0" w:line="360" w:lineRule="auto"/>
              <w:jc w:val="both"/>
              <w:rPr>
                <w:rFonts w:eastAsiaTheme="minorEastAsia"/>
                <w:szCs w:val="22"/>
              </w:rPr>
            </w:pPr>
            <w:r>
              <w:rPr>
                <w:rFonts w:eastAsiaTheme="minorEastAsia"/>
                <w:szCs w:val="20"/>
              </w:rPr>
              <w:t>Huan Zhou</w:t>
            </w:r>
          </w:p>
        </w:tc>
        <w:tc>
          <w:tcPr>
            <w:tcW w:w="4812" w:type="dxa"/>
          </w:tcPr>
          <w:p w14:paraId="5A766CA4">
            <w:pPr>
              <w:widowControl w:val="0"/>
              <w:autoSpaceDE w:val="0"/>
              <w:autoSpaceDN w:val="0"/>
              <w:spacing w:after="0"/>
              <w:jc w:val="left"/>
              <w:rPr>
                <w:rFonts w:eastAsiaTheme="minorEastAsia"/>
                <w:szCs w:val="20"/>
              </w:rPr>
            </w:pPr>
            <w:r>
              <w:fldChar w:fldCharType="begin"/>
            </w:r>
            <w:r>
              <w:instrText xml:space="preserve"> HYPERLINK "mailto:Yu.Ding@unisoc.com" </w:instrText>
            </w:r>
            <w:r>
              <w:fldChar w:fldCharType="separate"/>
            </w:r>
            <w:r>
              <w:rPr>
                <w:rFonts w:eastAsiaTheme="minorEastAsia"/>
                <w:szCs w:val="20"/>
              </w:rPr>
              <w:t>Yu.Ding@unisoc.com</w:t>
            </w:r>
            <w:r>
              <w:rPr>
                <w:rFonts w:eastAsiaTheme="minorEastAsia"/>
                <w:szCs w:val="20"/>
              </w:rPr>
              <w:fldChar w:fldCharType="end"/>
            </w:r>
          </w:p>
          <w:p w14:paraId="40B8A281">
            <w:pPr>
              <w:widowControl w:val="0"/>
              <w:autoSpaceDE w:val="0"/>
              <w:autoSpaceDN w:val="0"/>
              <w:spacing w:after="0" w:line="360" w:lineRule="auto"/>
              <w:jc w:val="both"/>
              <w:rPr>
                <w:rFonts w:eastAsiaTheme="minorEastAsia"/>
                <w:szCs w:val="22"/>
              </w:rPr>
            </w:pPr>
            <w:r>
              <w:rPr>
                <w:rFonts w:eastAsiaTheme="minorEastAsia"/>
                <w:szCs w:val="20"/>
              </w:rPr>
              <w:t>Huan.Zhou@unisoc.com</w:t>
            </w:r>
          </w:p>
        </w:tc>
      </w:tr>
      <w:tr w14:paraId="2DC4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7B812CF3">
            <w:pPr>
              <w:widowControl w:val="0"/>
              <w:autoSpaceDE w:val="0"/>
              <w:autoSpaceDN w:val="0"/>
              <w:spacing w:after="0" w:line="360" w:lineRule="auto"/>
              <w:jc w:val="both"/>
              <w:rPr>
                <w:rFonts w:eastAsiaTheme="minorEastAsia"/>
                <w:szCs w:val="22"/>
              </w:rPr>
            </w:pPr>
            <w:r>
              <w:rPr>
                <w:rFonts w:eastAsiaTheme="minorEastAsia"/>
                <w:szCs w:val="22"/>
              </w:rPr>
              <w:t>CEWiT</w:t>
            </w:r>
          </w:p>
        </w:tc>
        <w:tc>
          <w:tcPr>
            <w:tcW w:w="2475" w:type="dxa"/>
          </w:tcPr>
          <w:p w14:paraId="25A66189">
            <w:pPr>
              <w:widowControl w:val="0"/>
              <w:autoSpaceDE w:val="0"/>
              <w:autoSpaceDN w:val="0"/>
              <w:spacing w:after="0" w:line="360" w:lineRule="auto"/>
              <w:jc w:val="both"/>
              <w:rPr>
                <w:rFonts w:eastAsiaTheme="minorEastAsia"/>
                <w:szCs w:val="22"/>
              </w:rPr>
            </w:pPr>
            <w:r>
              <w:rPr>
                <w:rFonts w:eastAsiaTheme="minorEastAsia"/>
                <w:szCs w:val="22"/>
              </w:rPr>
              <w:t>Deepak P M</w:t>
            </w:r>
          </w:p>
        </w:tc>
        <w:tc>
          <w:tcPr>
            <w:tcW w:w="4812" w:type="dxa"/>
          </w:tcPr>
          <w:p w14:paraId="7AF896F6">
            <w:pPr>
              <w:widowControl w:val="0"/>
              <w:autoSpaceDE w:val="0"/>
              <w:autoSpaceDN w:val="0"/>
              <w:spacing w:after="0" w:line="360" w:lineRule="auto"/>
              <w:jc w:val="both"/>
              <w:rPr>
                <w:szCs w:val="22"/>
              </w:rPr>
            </w:pPr>
            <w:r>
              <w:rPr>
                <w:rFonts w:eastAsiaTheme="minorEastAsia"/>
                <w:szCs w:val="22"/>
              </w:rPr>
              <w:t>deepakpm@cewit.org.in</w:t>
            </w:r>
          </w:p>
        </w:tc>
      </w:tr>
      <w:tr w14:paraId="5B4A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62781082">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Sharp</w:t>
            </w:r>
          </w:p>
        </w:tc>
        <w:tc>
          <w:tcPr>
            <w:tcW w:w="2475" w:type="dxa"/>
          </w:tcPr>
          <w:p w14:paraId="331E3FF7">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Tomoki Yoshimura</w:t>
            </w:r>
          </w:p>
        </w:tc>
        <w:tc>
          <w:tcPr>
            <w:tcW w:w="4812" w:type="dxa"/>
          </w:tcPr>
          <w:p w14:paraId="2A88C06C">
            <w:pPr>
              <w:widowControl w:val="0"/>
              <w:autoSpaceDE w:val="0"/>
              <w:autoSpaceDN w:val="0"/>
              <w:spacing w:after="0" w:line="360" w:lineRule="auto"/>
              <w:jc w:val="both"/>
              <w:rPr>
                <w:rFonts w:eastAsia="MS Mincho"/>
                <w:szCs w:val="22"/>
                <w:lang w:eastAsia="ja-JP"/>
              </w:rPr>
            </w:pPr>
            <w:r>
              <w:rPr>
                <w:rFonts w:eastAsia="MS Mincho"/>
                <w:szCs w:val="22"/>
                <w:lang w:eastAsia="ja-JP"/>
              </w:rPr>
              <w:t>Tomoki</w:t>
            </w:r>
            <w:r>
              <w:rPr>
                <w:rFonts w:hint="eastAsia" w:eastAsia="MS Mincho"/>
                <w:szCs w:val="22"/>
                <w:lang w:eastAsia="ja-JP"/>
              </w:rPr>
              <w:t>_yoshimura@mail.sharp</w:t>
            </w:r>
          </w:p>
        </w:tc>
      </w:tr>
      <w:tr w14:paraId="0FD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BC0B5B9">
            <w:pPr>
              <w:widowControl w:val="0"/>
              <w:autoSpaceDE w:val="0"/>
              <w:autoSpaceDN w:val="0"/>
              <w:spacing w:after="0" w:line="360" w:lineRule="auto"/>
              <w:jc w:val="both"/>
              <w:rPr>
                <w:szCs w:val="22"/>
              </w:rPr>
            </w:pPr>
          </w:p>
        </w:tc>
        <w:tc>
          <w:tcPr>
            <w:tcW w:w="2475" w:type="dxa"/>
          </w:tcPr>
          <w:p w14:paraId="0B086E0D">
            <w:pPr>
              <w:widowControl w:val="0"/>
              <w:autoSpaceDE w:val="0"/>
              <w:autoSpaceDN w:val="0"/>
              <w:spacing w:after="0" w:line="360" w:lineRule="auto"/>
              <w:jc w:val="both"/>
              <w:rPr>
                <w:szCs w:val="22"/>
              </w:rPr>
            </w:pPr>
          </w:p>
        </w:tc>
        <w:tc>
          <w:tcPr>
            <w:tcW w:w="4812" w:type="dxa"/>
          </w:tcPr>
          <w:p w14:paraId="5D729527">
            <w:pPr>
              <w:widowControl w:val="0"/>
              <w:autoSpaceDE w:val="0"/>
              <w:autoSpaceDN w:val="0"/>
              <w:spacing w:after="0" w:line="360" w:lineRule="auto"/>
              <w:jc w:val="both"/>
              <w:rPr>
                <w:szCs w:val="22"/>
              </w:rPr>
            </w:pPr>
          </w:p>
        </w:tc>
      </w:tr>
      <w:tr w14:paraId="1349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D54F631">
            <w:pPr>
              <w:widowControl w:val="0"/>
              <w:autoSpaceDE w:val="0"/>
              <w:autoSpaceDN w:val="0"/>
              <w:spacing w:after="0" w:line="360" w:lineRule="auto"/>
              <w:jc w:val="both"/>
              <w:rPr>
                <w:szCs w:val="22"/>
              </w:rPr>
            </w:pPr>
          </w:p>
        </w:tc>
        <w:tc>
          <w:tcPr>
            <w:tcW w:w="2475" w:type="dxa"/>
          </w:tcPr>
          <w:p w14:paraId="1F75AD8A">
            <w:pPr>
              <w:widowControl w:val="0"/>
              <w:autoSpaceDE w:val="0"/>
              <w:autoSpaceDN w:val="0"/>
              <w:spacing w:after="0" w:line="360" w:lineRule="auto"/>
              <w:jc w:val="both"/>
              <w:rPr>
                <w:szCs w:val="22"/>
              </w:rPr>
            </w:pPr>
          </w:p>
        </w:tc>
        <w:tc>
          <w:tcPr>
            <w:tcW w:w="4812" w:type="dxa"/>
          </w:tcPr>
          <w:p w14:paraId="008F44A7">
            <w:pPr>
              <w:widowControl w:val="0"/>
              <w:autoSpaceDE w:val="0"/>
              <w:autoSpaceDN w:val="0"/>
              <w:spacing w:after="0" w:line="360" w:lineRule="auto"/>
              <w:jc w:val="both"/>
              <w:rPr>
                <w:szCs w:val="22"/>
              </w:rPr>
            </w:pPr>
          </w:p>
        </w:tc>
      </w:tr>
      <w:tr w14:paraId="266D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3CE2AB6">
            <w:pPr>
              <w:widowControl w:val="0"/>
              <w:autoSpaceDE w:val="0"/>
              <w:autoSpaceDN w:val="0"/>
              <w:spacing w:after="0" w:line="360" w:lineRule="auto"/>
              <w:jc w:val="both"/>
              <w:rPr>
                <w:szCs w:val="22"/>
              </w:rPr>
            </w:pPr>
          </w:p>
        </w:tc>
        <w:tc>
          <w:tcPr>
            <w:tcW w:w="2475" w:type="dxa"/>
          </w:tcPr>
          <w:p w14:paraId="7141E3A6">
            <w:pPr>
              <w:widowControl w:val="0"/>
              <w:autoSpaceDE w:val="0"/>
              <w:autoSpaceDN w:val="0"/>
              <w:spacing w:after="0" w:line="360" w:lineRule="auto"/>
              <w:jc w:val="both"/>
              <w:rPr>
                <w:szCs w:val="22"/>
              </w:rPr>
            </w:pPr>
          </w:p>
        </w:tc>
        <w:tc>
          <w:tcPr>
            <w:tcW w:w="4812" w:type="dxa"/>
          </w:tcPr>
          <w:p w14:paraId="03992D58">
            <w:pPr>
              <w:widowControl w:val="0"/>
              <w:autoSpaceDE w:val="0"/>
              <w:autoSpaceDN w:val="0"/>
              <w:spacing w:after="0" w:line="360" w:lineRule="auto"/>
              <w:jc w:val="both"/>
              <w:rPr>
                <w:szCs w:val="22"/>
              </w:rPr>
            </w:pPr>
          </w:p>
        </w:tc>
      </w:tr>
      <w:tr w14:paraId="0637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6E2DC87">
            <w:pPr>
              <w:widowControl w:val="0"/>
              <w:autoSpaceDE w:val="0"/>
              <w:autoSpaceDN w:val="0"/>
              <w:spacing w:after="0" w:line="360" w:lineRule="auto"/>
              <w:jc w:val="both"/>
              <w:rPr>
                <w:szCs w:val="22"/>
              </w:rPr>
            </w:pPr>
          </w:p>
        </w:tc>
        <w:tc>
          <w:tcPr>
            <w:tcW w:w="2475" w:type="dxa"/>
          </w:tcPr>
          <w:p w14:paraId="0832FA5E">
            <w:pPr>
              <w:widowControl w:val="0"/>
              <w:autoSpaceDE w:val="0"/>
              <w:autoSpaceDN w:val="0"/>
              <w:spacing w:after="0" w:line="360" w:lineRule="auto"/>
              <w:jc w:val="both"/>
              <w:rPr>
                <w:szCs w:val="22"/>
              </w:rPr>
            </w:pPr>
          </w:p>
        </w:tc>
        <w:tc>
          <w:tcPr>
            <w:tcW w:w="4812" w:type="dxa"/>
          </w:tcPr>
          <w:p w14:paraId="26BB9B07">
            <w:pPr>
              <w:widowControl w:val="0"/>
              <w:autoSpaceDE w:val="0"/>
              <w:autoSpaceDN w:val="0"/>
              <w:spacing w:after="0" w:line="360" w:lineRule="auto"/>
              <w:jc w:val="both"/>
              <w:rPr>
                <w:szCs w:val="22"/>
              </w:rPr>
            </w:pPr>
          </w:p>
        </w:tc>
      </w:tr>
      <w:tr w14:paraId="22E2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B338E61">
            <w:pPr>
              <w:widowControl w:val="0"/>
              <w:autoSpaceDE w:val="0"/>
              <w:autoSpaceDN w:val="0"/>
              <w:spacing w:after="0" w:line="360" w:lineRule="auto"/>
              <w:jc w:val="both"/>
              <w:rPr>
                <w:szCs w:val="22"/>
              </w:rPr>
            </w:pPr>
          </w:p>
        </w:tc>
        <w:tc>
          <w:tcPr>
            <w:tcW w:w="2475" w:type="dxa"/>
          </w:tcPr>
          <w:p w14:paraId="53E9C41A">
            <w:pPr>
              <w:widowControl w:val="0"/>
              <w:autoSpaceDE w:val="0"/>
              <w:autoSpaceDN w:val="0"/>
              <w:spacing w:after="0" w:line="360" w:lineRule="auto"/>
              <w:jc w:val="both"/>
              <w:rPr>
                <w:szCs w:val="22"/>
              </w:rPr>
            </w:pPr>
          </w:p>
        </w:tc>
        <w:tc>
          <w:tcPr>
            <w:tcW w:w="4812" w:type="dxa"/>
          </w:tcPr>
          <w:p w14:paraId="4A15015F">
            <w:pPr>
              <w:widowControl w:val="0"/>
              <w:autoSpaceDE w:val="0"/>
              <w:autoSpaceDN w:val="0"/>
              <w:spacing w:after="0" w:line="360" w:lineRule="auto"/>
              <w:jc w:val="both"/>
              <w:rPr>
                <w:szCs w:val="22"/>
              </w:rPr>
            </w:pPr>
          </w:p>
        </w:tc>
      </w:tr>
      <w:tr w14:paraId="6521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41139A2">
            <w:pPr>
              <w:widowControl w:val="0"/>
              <w:autoSpaceDE w:val="0"/>
              <w:autoSpaceDN w:val="0"/>
              <w:spacing w:after="0" w:line="360" w:lineRule="auto"/>
              <w:jc w:val="both"/>
              <w:rPr>
                <w:szCs w:val="22"/>
              </w:rPr>
            </w:pPr>
          </w:p>
        </w:tc>
        <w:tc>
          <w:tcPr>
            <w:tcW w:w="2475" w:type="dxa"/>
            <w:vAlign w:val="center"/>
          </w:tcPr>
          <w:p w14:paraId="03DCEA26">
            <w:pPr>
              <w:widowControl w:val="0"/>
              <w:autoSpaceDE w:val="0"/>
              <w:autoSpaceDN w:val="0"/>
              <w:spacing w:after="0" w:line="360" w:lineRule="auto"/>
              <w:jc w:val="both"/>
              <w:rPr>
                <w:szCs w:val="22"/>
              </w:rPr>
            </w:pPr>
          </w:p>
        </w:tc>
        <w:tc>
          <w:tcPr>
            <w:tcW w:w="4812" w:type="dxa"/>
            <w:vAlign w:val="center"/>
          </w:tcPr>
          <w:p w14:paraId="4D0F75AB">
            <w:pPr>
              <w:widowControl w:val="0"/>
              <w:autoSpaceDE w:val="0"/>
              <w:autoSpaceDN w:val="0"/>
              <w:spacing w:after="0" w:line="360" w:lineRule="auto"/>
              <w:jc w:val="both"/>
              <w:rPr>
                <w:szCs w:val="22"/>
              </w:rPr>
            </w:pPr>
          </w:p>
        </w:tc>
      </w:tr>
      <w:tr w14:paraId="4C19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1B43769">
            <w:pPr>
              <w:widowControl w:val="0"/>
              <w:autoSpaceDE w:val="0"/>
              <w:autoSpaceDN w:val="0"/>
              <w:spacing w:after="0" w:line="360" w:lineRule="auto"/>
              <w:jc w:val="both"/>
              <w:rPr>
                <w:szCs w:val="22"/>
              </w:rPr>
            </w:pPr>
          </w:p>
        </w:tc>
        <w:tc>
          <w:tcPr>
            <w:tcW w:w="2475" w:type="dxa"/>
            <w:vAlign w:val="center"/>
          </w:tcPr>
          <w:p w14:paraId="59BEA6F0">
            <w:pPr>
              <w:widowControl w:val="0"/>
              <w:autoSpaceDE w:val="0"/>
              <w:autoSpaceDN w:val="0"/>
              <w:spacing w:after="0" w:line="360" w:lineRule="auto"/>
              <w:jc w:val="both"/>
              <w:rPr>
                <w:szCs w:val="22"/>
              </w:rPr>
            </w:pPr>
          </w:p>
        </w:tc>
        <w:tc>
          <w:tcPr>
            <w:tcW w:w="4812" w:type="dxa"/>
            <w:vAlign w:val="center"/>
          </w:tcPr>
          <w:p w14:paraId="02171F55">
            <w:pPr>
              <w:widowControl w:val="0"/>
              <w:autoSpaceDE w:val="0"/>
              <w:autoSpaceDN w:val="0"/>
              <w:spacing w:after="0" w:line="360" w:lineRule="auto"/>
              <w:jc w:val="both"/>
              <w:rPr>
                <w:szCs w:val="22"/>
              </w:rPr>
            </w:pPr>
          </w:p>
        </w:tc>
      </w:tr>
      <w:tr w14:paraId="0558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0E36BBF0">
            <w:pPr>
              <w:widowControl w:val="0"/>
              <w:autoSpaceDE w:val="0"/>
              <w:autoSpaceDN w:val="0"/>
              <w:spacing w:after="0" w:line="360" w:lineRule="auto"/>
              <w:jc w:val="both"/>
              <w:rPr>
                <w:szCs w:val="22"/>
              </w:rPr>
            </w:pPr>
          </w:p>
        </w:tc>
        <w:tc>
          <w:tcPr>
            <w:tcW w:w="2475" w:type="dxa"/>
            <w:vAlign w:val="center"/>
          </w:tcPr>
          <w:p w14:paraId="64D4A68D">
            <w:pPr>
              <w:widowControl w:val="0"/>
              <w:autoSpaceDE w:val="0"/>
              <w:autoSpaceDN w:val="0"/>
              <w:spacing w:after="0" w:line="360" w:lineRule="auto"/>
              <w:jc w:val="both"/>
              <w:rPr>
                <w:szCs w:val="22"/>
              </w:rPr>
            </w:pPr>
          </w:p>
        </w:tc>
        <w:tc>
          <w:tcPr>
            <w:tcW w:w="4812" w:type="dxa"/>
            <w:vAlign w:val="center"/>
          </w:tcPr>
          <w:p w14:paraId="4D064A2F">
            <w:pPr>
              <w:widowControl w:val="0"/>
              <w:autoSpaceDE w:val="0"/>
              <w:autoSpaceDN w:val="0"/>
              <w:spacing w:after="0" w:line="360" w:lineRule="auto"/>
              <w:jc w:val="both"/>
              <w:rPr>
                <w:szCs w:val="22"/>
              </w:rPr>
            </w:pPr>
          </w:p>
        </w:tc>
      </w:tr>
      <w:tr w14:paraId="19E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3CC4EECC">
            <w:pPr>
              <w:widowControl w:val="0"/>
              <w:autoSpaceDE w:val="0"/>
              <w:autoSpaceDN w:val="0"/>
              <w:spacing w:after="0" w:line="360" w:lineRule="auto"/>
              <w:jc w:val="both"/>
              <w:rPr>
                <w:szCs w:val="22"/>
              </w:rPr>
            </w:pPr>
          </w:p>
        </w:tc>
        <w:tc>
          <w:tcPr>
            <w:tcW w:w="2475" w:type="dxa"/>
          </w:tcPr>
          <w:p w14:paraId="1748034C">
            <w:pPr>
              <w:widowControl w:val="0"/>
              <w:autoSpaceDE w:val="0"/>
              <w:autoSpaceDN w:val="0"/>
              <w:spacing w:after="0" w:line="360" w:lineRule="auto"/>
              <w:jc w:val="both"/>
              <w:rPr>
                <w:szCs w:val="22"/>
              </w:rPr>
            </w:pPr>
          </w:p>
        </w:tc>
        <w:tc>
          <w:tcPr>
            <w:tcW w:w="4812" w:type="dxa"/>
          </w:tcPr>
          <w:p w14:paraId="38546D20">
            <w:pPr>
              <w:widowControl w:val="0"/>
              <w:autoSpaceDE w:val="0"/>
              <w:autoSpaceDN w:val="0"/>
              <w:spacing w:after="0" w:line="360" w:lineRule="auto"/>
              <w:jc w:val="both"/>
              <w:rPr>
                <w:szCs w:val="22"/>
              </w:rPr>
            </w:pPr>
          </w:p>
        </w:tc>
      </w:tr>
      <w:tr w14:paraId="525C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70A5AE74">
            <w:pPr>
              <w:widowControl w:val="0"/>
              <w:autoSpaceDE w:val="0"/>
              <w:autoSpaceDN w:val="0"/>
              <w:spacing w:after="0" w:line="360" w:lineRule="auto"/>
              <w:jc w:val="both"/>
              <w:rPr>
                <w:szCs w:val="22"/>
              </w:rPr>
            </w:pPr>
          </w:p>
        </w:tc>
        <w:tc>
          <w:tcPr>
            <w:tcW w:w="2475" w:type="dxa"/>
          </w:tcPr>
          <w:p w14:paraId="1F227C9F">
            <w:pPr>
              <w:widowControl w:val="0"/>
              <w:autoSpaceDE w:val="0"/>
              <w:autoSpaceDN w:val="0"/>
              <w:spacing w:after="0" w:line="360" w:lineRule="auto"/>
              <w:jc w:val="both"/>
              <w:rPr>
                <w:szCs w:val="22"/>
              </w:rPr>
            </w:pPr>
          </w:p>
        </w:tc>
        <w:tc>
          <w:tcPr>
            <w:tcW w:w="4812" w:type="dxa"/>
          </w:tcPr>
          <w:p w14:paraId="0913A992">
            <w:pPr>
              <w:widowControl w:val="0"/>
              <w:autoSpaceDE w:val="0"/>
              <w:autoSpaceDN w:val="0"/>
              <w:spacing w:after="0" w:line="360" w:lineRule="auto"/>
              <w:jc w:val="both"/>
              <w:rPr>
                <w:szCs w:val="22"/>
              </w:rPr>
            </w:pPr>
          </w:p>
        </w:tc>
      </w:tr>
      <w:tr w14:paraId="7C1B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361742F">
            <w:pPr>
              <w:widowControl w:val="0"/>
              <w:autoSpaceDE w:val="0"/>
              <w:autoSpaceDN w:val="0"/>
              <w:spacing w:after="0" w:line="360" w:lineRule="auto"/>
              <w:jc w:val="both"/>
              <w:rPr>
                <w:szCs w:val="22"/>
              </w:rPr>
            </w:pPr>
          </w:p>
        </w:tc>
        <w:tc>
          <w:tcPr>
            <w:tcW w:w="2475" w:type="dxa"/>
          </w:tcPr>
          <w:p w14:paraId="5CB32037">
            <w:pPr>
              <w:widowControl w:val="0"/>
              <w:autoSpaceDE w:val="0"/>
              <w:autoSpaceDN w:val="0"/>
              <w:spacing w:after="0" w:line="360" w:lineRule="auto"/>
              <w:jc w:val="both"/>
              <w:rPr>
                <w:szCs w:val="22"/>
              </w:rPr>
            </w:pPr>
          </w:p>
        </w:tc>
        <w:tc>
          <w:tcPr>
            <w:tcW w:w="4812" w:type="dxa"/>
          </w:tcPr>
          <w:p w14:paraId="5EE7C275">
            <w:pPr>
              <w:widowControl w:val="0"/>
              <w:autoSpaceDE w:val="0"/>
              <w:autoSpaceDN w:val="0"/>
              <w:spacing w:after="0" w:line="360" w:lineRule="auto"/>
              <w:jc w:val="both"/>
              <w:rPr>
                <w:szCs w:val="22"/>
              </w:rPr>
            </w:pPr>
          </w:p>
        </w:tc>
      </w:tr>
      <w:tr w14:paraId="3E9A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736A73B">
            <w:pPr>
              <w:widowControl w:val="0"/>
              <w:autoSpaceDE w:val="0"/>
              <w:autoSpaceDN w:val="0"/>
              <w:spacing w:after="0" w:line="360" w:lineRule="auto"/>
              <w:jc w:val="both"/>
              <w:rPr>
                <w:szCs w:val="22"/>
              </w:rPr>
            </w:pPr>
          </w:p>
        </w:tc>
        <w:tc>
          <w:tcPr>
            <w:tcW w:w="2475" w:type="dxa"/>
          </w:tcPr>
          <w:p w14:paraId="66BA5F91">
            <w:pPr>
              <w:widowControl w:val="0"/>
              <w:autoSpaceDE w:val="0"/>
              <w:autoSpaceDN w:val="0"/>
              <w:spacing w:after="0" w:line="360" w:lineRule="auto"/>
              <w:jc w:val="both"/>
              <w:rPr>
                <w:szCs w:val="22"/>
              </w:rPr>
            </w:pPr>
          </w:p>
        </w:tc>
        <w:tc>
          <w:tcPr>
            <w:tcW w:w="4812" w:type="dxa"/>
          </w:tcPr>
          <w:p w14:paraId="16F1356A">
            <w:pPr>
              <w:widowControl w:val="0"/>
              <w:autoSpaceDE w:val="0"/>
              <w:autoSpaceDN w:val="0"/>
              <w:spacing w:after="0" w:line="360" w:lineRule="auto"/>
              <w:jc w:val="both"/>
              <w:rPr>
                <w:szCs w:val="22"/>
              </w:rPr>
            </w:pPr>
          </w:p>
        </w:tc>
      </w:tr>
      <w:tr w14:paraId="7EE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56B781E3">
            <w:pPr>
              <w:widowControl w:val="0"/>
              <w:autoSpaceDE w:val="0"/>
              <w:autoSpaceDN w:val="0"/>
              <w:spacing w:after="0" w:line="360" w:lineRule="auto"/>
              <w:jc w:val="both"/>
              <w:rPr>
                <w:szCs w:val="22"/>
              </w:rPr>
            </w:pPr>
          </w:p>
        </w:tc>
        <w:tc>
          <w:tcPr>
            <w:tcW w:w="2475" w:type="dxa"/>
          </w:tcPr>
          <w:p w14:paraId="58FED215">
            <w:pPr>
              <w:widowControl w:val="0"/>
              <w:autoSpaceDE w:val="0"/>
              <w:autoSpaceDN w:val="0"/>
              <w:spacing w:after="0" w:line="360" w:lineRule="auto"/>
              <w:jc w:val="both"/>
              <w:rPr>
                <w:szCs w:val="22"/>
              </w:rPr>
            </w:pPr>
          </w:p>
        </w:tc>
        <w:tc>
          <w:tcPr>
            <w:tcW w:w="4812" w:type="dxa"/>
          </w:tcPr>
          <w:p w14:paraId="42CE49B1">
            <w:pPr>
              <w:widowControl w:val="0"/>
              <w:autoSpaceDE w:val="0"/>
              <w:autoSpaceDN w:val="0"/>
              <w:spacing w:after="0" w:line="360" w:lineRule="auto"/>
              <w:jc w:val="both"/>
              <w:rPr>
                <w:szCs w:val="22"/>
              </w:rPr>
            </w:pPr>
          </w:p>
        </w:tc>
      </w:tr>
      <w:tr w14:paraId="750C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96511C5">
            <w:pPr>
              <w:widowControl w:val="0"/>
              <w:autoSpaceDE w:val="0"/>
              <w:autoSpaceDN w:val="0"/>
              <w:spacing w:after="0" w:line="360" w:lineRule="auto"/>
              <w:jc w:val="both"/>
              <w:rPr>
                <w:szCs w:val="22"/>
              </w:rPr>
            </w:pPr>
          </w:p>
        </w:tc>
        <w:tc>
          <w:tcPr>
            <w:tcW w:w="2475" w:type="dxa"/>
          </w:tcPr>
          <w:p w14:paraId="05675B8E">
            <w:pPr>
              <w:widowControl w:val="0"/>
              <w:autoSpaceDE w:val="0"/>
              <w:autoSpaceDN w:val="0"/>
              <w:spacing w:after="0" w:line="360" w:lineRule="auto"/>
              <w:jc w:val="both"/>
              <w:rPr>
                <w:szCs w:val="22"/>
              </w:rPr>
            </w:pPr>
          </w:p>
        </w:tc>
        <w:tc>
          <w:tcPr>
            <w:tcW w:w="4812" w:type="dxa"/>
          </w:tcPr>
          <w:p w14:paraId="693017C5">
            <w:pPr>
              <w:widowControl w:val="0"/>
              <w:autoSpaceDE w:val="0"/>
              <w:autoSpaceDN w:val="0"/>
              <w:spacing w:after="0" w:line="360" w:lineRule="auto"/>
              <w:jc w:val="both"/>
              <w:rPr>
                <w:szCs w:val="22"/>
              </w:rPr>
            </w:pPr>
          </w:p>
        </w:tc>
      </w:tr>
      <w:tr w14:paraId="2E32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0A3FF56E">
            <w:pPr>
              <w:widowControl w:val="0"/>
              <w:autoSpaceDE w:val="0"/>
              <w:autoSpaceDN w:val="0"/>
              <w:spacing w:after="0" w:line="360" w:lineRule="auto"/>
              <w:jc w:val="both"/>
              <w:rPr>
                <w:szCs w:val="22"/>
              </w:rPr>
            </w:pPr>
          </w:p>
        </w:tc>
        <w:tc>
          <w:tcPr>
            <w:tcW w:w="2475" w:type="dxa"/>
          </w:tcPr>
          <w:p w14:paraId="52B74305">
            <w:pPr>
              <w:widowControl w:val="0"/>
              <w:autoSpaceDE w:val="0"/>
              <w:autoSpaceDN w:val="0"/>
              <w:spacing w:after="0" w:line="360" w:lineRule="auto"/>
              <w:jc w:val="both"/>
              <w:rPr>
                <w:szCs w:val="22"/>
              </w:rPr>
            </w:pPr>
          </w:p>
        </w:tc>
        <w:tc>
          <w:tcPr>
            <w:tcW w:w="4812" w:type="dxa"/>
          </w:tcPr>
          <w:p w14:paraId="5B92EA49">
            <w:pPr>
              <w:widowControl w:val="0"/>
              <w:autoSpaceDE w:val="0"/>
              <w:autoSpaceDN w:val="0"/>
              <w:spacing w:after="0" w:line="360" w:lineRule="auto"/>
              <w:jc w:val="both"/>
              <w:rPr>
                <w:szCs w:val="22"/>
              </w:rPr>
            </w:pPr>
          </w:p>
        </w:tc>
      </w:tr>
      <w:tr w14:paraId="3D5E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6FD66012">
            <w:pPr>
              <w:widowControl w:val="0"/>
              <w:autoSpaceDE w:val="0"/>
              <w:autoSpaceDN w:val="0"/>
              <w:spacing w:after="0" w:line="360" w:lineRule="auto"/>
              <w:jc w:val="both"/>
              <w:rPr>
                <w:szCs w:val="22"/>
              </w:rPr>
            </w:pPr>
          </w:p>
        </w:tc>
        <w:tc>
          <w:tcPr>
            <w:tcW w:w="2475" w:type="dxa"/>
          </w:tcPr>
          <w:p w14:paraId="0E308DA6">
            <w:pPr>
              <w:widowControl w:val="0"/>
              <w:autoSpaceDE w:val="0"/>
              <w:autoSpaceDN w:val="0"/>
              <w:spacing w:after="0" w:line="360" w:lineRule="auto"/>
              <w:jc w:val="both"/>
              <w:rPr>
                <w:szCs w:val="22"/>
              </w:rPr>
            </w:pPr>
          </w:p>
        </w:tc>
        <w:tc>
          <w:tcPr>
            <w:tcW w:w="4812" w:type="dxa"/>
          </w:tcPr>
          <w:p w14:paraId="77B6DD90">
            <w:pPr>
              <w:widowControl w:val="0"/>
              <w:autoSpaceDE w:val="0"/>
              <w:autoSpaceDN w:val="0"/>
              <w:spacing w:after="0" w:line="360" w:lineRule="auto"/>
              <w:jc w:val="both"/>
              <w:rPr>
                <w:szCs w:val="22"/>
              </w:rPr>
            </w:pPr>
          </w:p>
        </w:tc>
      </w:tr>
    </w:tbl>
    <w:p w14:paraId="53CC272E">
      <w:pPr>
        <w:pStyle w:val="2"/>
        <w:numPr>
          <w:ilvl w:val="0"/>
          <w:numId w:val="0"/>
        </w:numPr>
        <w:spacing w:before="120" w:after="120"/>
        <w:ind w:left="432" w:hanging="432"/>
        <w:jc w:val="both"/>
      </w:pPr>
      <w:r>
        <w:t>References</w:t>
      </w:r>
    </w:p>
    <w:bookmarkEnd w:id="3"/>
    <w:p w14:paraId="09101AEA">
      <w:pPr>
        <w:pStyle w:val="48"/>
        <w:rPr>
          <w:rFonts w:asciiTheme="majorBidi" w:hAnsiTheme="majorBidi" w:eastAsiaTheme="minorEastAsia"/>
          <w:kern w:val="2"/>
          <w:sz w:val="22"/>
        </w:rPr>
      </w:pPr>
      <w:r>
        <w:rPr>
          <w:rFonts w:asciiTheme="majorBidi" w:hAnsiTheme="majorBidi" w:eastAsiaTheme="minorEastAsia"/>
          <w:kern w:val="2"/>
          <w:sz w:val="22"/>
        </w:rPr>
        <w:t>R1-2600031</w:t>
      </w:r>
      <w:r>
        <w:rPr>
          <w:rFonts w:asciiTheme="majorBidi" w:hAnsiTheme="majorBidi" w:eastAsiaTheme="minorEastAsia"/>
          <w:kern w:val="2"/>
          <w:sz w:val="22"/>
        </w:rPr>
        <w:tab/>
      </w:r>
      <w:r>
        <w:rPr>
          <w:rFonts w:asciiTheme="majorBidi" w:hAnsiTheme="majorBidi" w:eastAsiaTheme="minorEastAsia"/>
          <w:kern w:val="2"/>
          <w:sz w:val="22"/>
        </w:rPr>
        <w:t>Overall aspects of the 6GR multi-antenna system</w:t>
      </w:r>
      <w:r>
        <w:rPr>
          <w:rFonts w:asciiTheme="majorBidi" w:hAnsiTheme="majorBidi" w:eastAsiaTheme="minorEastAsia"/>
          <w:kern w:val="2"/>
          <w:sz w:val="22"/>
        </w:rPr>
        <w:tab/>
      </w:r>
      <w:r>
        <w:rPr>
          <w:rFonts w:asciiTheme="majorBidi" w:hAnsiTheme="majorBidi" w:eastAsiaTheme="minorEastAsia"/>
          <w:kern w:val="2"/>
          <w:sz w:val="22"/>
        </w:rPr>
        <w:t>Nokia</w:t>
      </w:r>
    </w:p>
    <w:p w14:paraId="49E53F06">
      <w:pPr>
        <w:pStyle w:val="48"/>
        <w:rPr>
          <w:rFonts w:asciiTheme="majorBidi" w:hAnsiTheme="majorBidi" w:eastAsiaTheme="minorEastAsia"/>
          <w:kern w:val="2"/>
          <w:sz w:val="22"/>
        </w:rPr>
      </w:pPr>
      <w:r>
        <w:rPr>
          <w:rFonts w:asciiTheme="majorBidi" w:hAnsiTheme="majorBidi" w:eastAsiaTheme="minorEastAsia"/>
          <w:kern w:val="2"/>
          <w:sz w:val="22"/>
        </w:rPr>
        <w:t>R1-2600050</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FUTUREWEI</w:t>
      </w:r>
    </w:p>
    <w:p w14:paraId="7AAFB5F9">
      <w:pPr>
        <w:pStyle w:val="48"/>
        <w:rPr>
          <w:rFonts w:asciiTheme="majorBidi" w:hAnsiTheme="majorBidi" w:eastAsiaTheme="minorEastAsia"/>
          <w:kern w:val="2"/>
          <w:sz w:val="22"/>
        </w:rPr>
      </w:pPr>
      <w:r>
        <w:rPr>
          <w:rFonts w:asciiTheme="majorBidi" w:hAnsiTheme="majorBidi" w:eastAsiaTheme="minorEastAsia"/>
          <w:kern w:val="2"/>
          <w:sz w:val="22"/>
        </w:rPr>
        <w:t>R1-2600111</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Spreadtrum, UNISOC</w:t>
      </w:r>
    </w:p>
    <w:p w14:paraId="41E507C5">
      <w:pPr>
        <w:pStyle w:val="48"/>
        <w:rPr>
          <w:rFonts w:asciiTheme="majorBidi" w:hAnsiTheme="majorBidi" w:eastAsiaTheme="minorEastAsia"/>
          <w:kern w:val="2"/>
          <w:sz w:val="22"/>
        </w:rPr>
      </w:pPr>
      <w:r>
        <w:rPr>
          <w:rFonts w:asciiTheme="majorBidi" w:hAnsiTheme="majorBidi" w:eastAsiaTheme="minorEastAsia"/>
          <w:kern w:val="2"/>
          <w:sz w:val="22"/>
        </w:rPr>
        <w:t>R1-2600143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w:t>
      </w:r>
      <w:r>
        <w:rPr>
          <w:rFonts w:asciiTheme="majorBidi" w:hAnsiTheme="majorBidi" w:eastAsiaTheme="minorEastAsia"/>
          <w:kern w:val="2"/>
          <w:sz w:val="22"/>
        </w:rPr>
        <w:tab/>
      </w:r>
      <w:r>
        <w:rPr>
          <w:rFonts w:asciiTheme="majorBidi" w:hAnsiTheme="majorBidi" w:eastAsiaTheme="minorEastAsia"/>
          <w:kern w:val="2"/>
          <w:sz w:val="22"/>
        </w:rPr>
        <w:t>Huawei, HiSilicon</w:t>
      </w:r>
    </w:p>
    <w:p w14:paraId="0A67E337">
      <w:pPr>
        <w:pStyle w:val="48"/>
        <w:rPr>
          <w:rFonts w:asciiTheme="majorBidi" w:hAnsiTheme="majorBidi" w:eastAsiaTheme="minorEastAsia"/>
          <w:kern w:val="2"/>
          <w:sz w:val="22"/>
        </w:rPr>
      </w:pPr>
      <w:r>
        <w:rPr>
          <w:rFonts w:asciiTheme="majorBidi" w:hAnsiTheme="majorBidi" w:eastAsiaTheme="minorEastAsia"/>
          <w:kern w:val="2"/>
          <w:sz w:val="22"/>
        </w:rPr>
        <w:t>R1-2600186</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 multi-antenna system</w:t>
      </w:r>
      <w:r>
        <w:rPr>
          <w:rFonts w:asciiTheme="majorBidi" w:hAnsiTheme="majorBidi" w:eastAsiaTheme="minorEastAsia"/>
          <w:kern w:val="2"/>
          <w:sz w:val="22"/>
        </w:rPr>
        <w:tab/>
      </w:r>
      <w:r>
        <w:rPr>
          <w:rFonts w:asciiTheme="majorBidi" w:hAnsiTheme="majorBidi" w:eastAsiaTheme="minorEastAsia"/>
          <w:kern w:val="2"/>
          <w:sz w:val="22"/>
        </w:rPr>
        <w:t>OPPO</w:t>
      </w:r>
    </w:p>
    <w:p w14:paraId="4E8475DE">
      <w:pPr>
        <w:pStyle w:val="48"/>
        <w:rPr>
          <w:rFonts w:asciiTheme="majorBidi" w:hAnsiTheme="majorBidi" w:eastAsiaTheme="minorEastAsia"/>
          <w:kern w:val="2"/>
          <w:sz w:val="22"/>
        </w:rPr>
      </w:pPr>
      <w:r>
        <w:rPr>
          <w:rFonts w:asciiTheme="majorBidi" w:hAnsiTheme="majorBidi" w:eastAsiaTheme="minorEastAsia"/>
          <w:kern w:val="2"/>
          <w:sz w:val="22"/>
        </w:rPr>
        <w:t>R1-2600262</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14:paraId="4AAAAB07">
      <w:pPr>
        <w:pStyle w:val="48"/>
        <w:rPr>
          <w:rFonts w:asciiTheme="majorBidi" w:hAnsiTheme="majorBidi" w:eastAsiaTheme="minorEastAsia"/>
          <w:kern w:val="2"/>
          <w:sz w:val="22"/>
        </w:rPr>
      </w:pPr>
      <w:r>
        <w:rPr>
          <w:rFonts w:asciiTheme="majorBidi" w:hAnsiTheme="majorBidi" w:eastAsiaTheme="minorEastAsia"/>
          <w:kern w:val="2"/>
          <w:sz w:val="22"/>
        </w:rPr>
        <w:t>R1-2600298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w:t>
      </w:r>
      <w:r>
        <w:rPr>
          <w:rFonts w:asciiTheme="majorBidi" w:hAnsiTheme="majorBidi" w:eastAsiaTheme="minorEastAsia"/>
          <w:kern w:val="2"/>
          <w:sz w:val="22"/>
        </w:rPr>
        <w:tab/>
      </w:r>
      <w:r>
        <w:rPr>
          <w:rFonts w:asciiTheme="majorBidi" w:hAnsiTheme="majorBidi" w:eastAsiaTheme="minorEastAsia"/>
          <w:kern w:val="2"/>
          <w:sz w:val="22"/>
        </w:rPr>
        <w:t>CATT, CICTCI</w:t>
      </w:r>
    </w:p>
    <w:p w14:paraId="106FFC2B">
      <w:pPr>
        <w:pStyle w:val="48"/>
        <w:rPr>
          <w:rFonts w:asciiTheme="majorBidi" w:hAnsiTheme="majorBidi" w:eastAsiaTheme="minorEastAsia"/>
          <w:kern w:val="2"/>
          <w:sz w:val="22"/>
        </w:rPr>
      </w:pPr>
      <w:r>
        <w:rPr>
          <w:rFonts w:asciiTheme="majorBidi" w:hAnsiTheme="majorBidi" w:eastAsiaTheme="minorEastAsia"/>
          <w:kern w:val="2"/>
          <w:sz w:val="22"/>
        </w:rPr>
        <w:t>R1-2600336</w:t>
      </w:r>
      <w:r>
        <w:rPr>
          <w:rFonts w:asciiTheme="majorBidi" w:hAnsiTheme="majorBidi" w:eastAsiaTheme="minorEastAsia"/>
          <w:kern w:val="2"/>
          <w:sz w:val="22"/>
        </w:rPr>
        <w:tab/>
      </w:r>
      <w:r>
        <w:rPr>
          <w:rFonts w:asciiTheme="majorBidi" w:hAnsiTheme="majorBidi" w:eastAsiaTheme="minorEastAsia"/>
          <w:kern w:val="2"/>
          <w:sz w:val="22"/>
        </w:rPr>
        <w:t>Views on General aspects and Frame Structure</w:t>
      </w:r>
      <w:r>
        <w:rPr>
          <w:rFonts w:asciiTheme="majorBidi" w:hAnsiTheme="majorBidi" w:eastAsiaTheme="minorEastAsia"/>
          <w:kern w:val="2"/>
          <w:sz w:val="22"/>
        </w:rPr>
        <w:tab/>
      </w:r>
      <w:r>
        <w:rPr>
          <w:rFonts w:asciiTheme="majorBidi" w:hAnsiTheme="majorBidi" w:eastAsiaTheme="minorEastAsia"/>
          <w:kern w:val="2"/>
          <w:sz w:val="22"/>
        </w:rPr>
        <w:t>Tejas Network Limited</w:t>
      </w:r>
    </w:p>
    <w:p w14:paraId="3329C22E">
      <w:pPr>
        <w:pStyle w:val="48"/>
        <w:rPr>
          <w:rFonts w:asciiTheme="majorBidi" w:hAnsiTheme="majorBidi" w:eastAsiaTheme="minorEastAsia"/>
          <w:kern w:val="2"/>
          <w:sz w:val="22"/>
        </w:rPr>
      </w:pPr>
      <w:r>
        <w:rPr>
          <w:rFonts w:asciiTheme="majorBidi" w:hAnsiTheme="majorBidi" w:eastAsiaTheme="minorEastAsia"/>
          <w:kern w:val="2"/>
          <w:sz w:val="22"/>
        </w:rPr>
        <w:t>R1-2600388</w:t>
      </w:r>
      <w:r>
        <w:rPr>
          <w:rFonts w:asciiTheme="majorBidi" w:hAnsiTheme="majorBidi" w:eastAsiaTheme="minorEastAsia"/>
          <w:kern w:val="2"/>
          <w:sz w:val="22"/>
        </w:rPr>
        <w:tab/>
      </w:r>
      <w:r>
        <w:rPr>
          <w:rFonts w:asciiTheme="majorBidi" w:hAnsiTheme="majorBidi" w:eastAsiaTheme="minorEastAsia"/>
          <w:kern w:val="2"/>
          <w:sz w:val="22"/>
        </w:rPr>
        <w:t>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CMCC</w:t>
      </w:r>
    </w:p>
    <w:p w14:paraId="640B4044">
      <w:pPr>
        <w:pStyle w:val="48"/>
        <w:rPr>
          <w:rFonts w:asciiTheme="majorBidi" w:hAnsiTheme="majorBidi" w:eastAsiaTheme="minorEastAsia"/>
          <w:kern w:val="2"/>
          <w:sz w:val="22"/>
        </w:rPr>
      </w:pPr>
      <w:r>
        <w:rPr>
          <w:rFonts w:asciiTheme="majorBidi" w:hAnsiTheme="majorBidi" w:eastAsiaTheme="minorEastAsia"/>
          <w:kern w:val="2"/>
          <w:sz w:val="22"/>
        </w:rPr>
        <w:t>R1-2600428</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Xiaomi</w:t>
      </w:r>
    </w:p>
    <w:p w14:paraId="1EAD5D94">
      <w:pPr>
        <w:pStyle w:val="48"/>
        <w:rPr>
          <w:rFonts w:asciiTheme="majorBidi" w:hAnsiTheme="majorBidi" w:eastAsiaTheme="minorEastAsia"/>
          <w:kern w:val="2"/>
          <w:sz w:val="22"/>
        </w:rPr>
      </w:pPr>
      <w:r>
        <w:rPr>
          <w:rFonts w:asciiTheme="majorBidi" w:hAnsiTheme="majorBidi" w:eastAsiaTheme="minorEastAsia"/>
          <w:kern w:val="2"/>
          <w:sz w:val="22"/>
        </w:rPr>
        <w:t>R1-2600461</w:t>
      </w:r>
      <w:r>
        <w:rPr>
          <w:rFonts w:asciiTheme="majorBidi" w:hAnsiTheme="majorBidi" w:eastAsiaTheme="minorEastAsia"/>
          <w:kern w:val="2"/>
          <w:sz w:val="22"/>
        </w:rPr>
        <w:tab/>
      </w:r>
      <w:r>
        <w:rPr>
          <w:rFonts w:asciiTheme="majorBidi" w:hAnsiTheme="majorBidi" w:eastAsiaTheme="minorEastAsia"/>
          <w:kern w:val="2"/>
          <w:sz w:val="22"/>
        </w:rPr>
        <w:t>Overview on general aspects and frameworks</w:t>
      </w:r>
      <w:r>
        <w:rPr>
          <w:rFonts w:asciiTheme="majorBidi" w:hAnsiTheme="majorBidi" w:eastAsiaTheme="minorEastAsia"/>
          <w:kern w:val="2"/>
          <w:sz w:val="22"/>
        </w:rPr>
        <w:tab/>
      </w:r>
      <w:r>
        <w:rPr>
          <w:rFonts w:asciiTheme="majorBidi" w:hAnsiTheme="majorBidi" w:eastAsiaTheme="minorEastAsia"/>
          <w:kern w:val="2"/>
          <w:sz w:val="22"/>
        </w:rPr>
        <w:t>TCL</w:t>
      </w:r>
    </w:p>
    <w:p w14:paraId="7BEBA751">
      <w:pPr>
        <w:pStyle w:val="48"/>
        <w:rPr>
          <w:rFonts w:asciiTheme="majorBidi" w:hAnsiTheme="majorBidi" w:eastAsiaTheme="minorEastAsia"/>
          <w:kern w:val="2"/>
          <w:sz w:val="22"/>
        </w:rPr>
      </w:pPr>
      <w:r>
        <w:rPr>
          <w:rFonts w:asciiTheme="majorBidi" w:hAnsiTheme="majorBidi" w:eastAsiaTheme="minorEastAsia"/>
          <w:kern w:val="2"/>
          <w:sz w:val="22"/>
        </w:rPr>
        <w:t>R1-2600503</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vivo</w:t>
      </w:r>
    </w:p>
    <w:p w14:paraId="1A7EC33E">
      <w:pPr>
        <w:pStyle w:val="48"/>
        <w:rPr>
          <w:rFonts w:asciiTheme="majorBidi" w:hAnsiTheme="majorBidi" w:eastAsiaTheme="minorEastAsia"/>
          <w:kern w:val="2"/>
          <w:sz w:val="22"/>
        </w:rPr>
      </w:pPr>
      <w:r>
        <w:rPr>
          <w:rFonts w:asciiTheme="majorBidi" w:hAnsiTheme="majorBidi" w:eastAsiaTheme="minorEastAsia"/>
          <w:kern w:val="2"/>
          <w:sz w:val="22"/>
        </w:rPr>
        <w:t>R1-2600536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LG Electronics</w:t>
      </w:r>
    </w:p>
    <w:p w14:paraId="0C14DBE5">
      <w:pPr>
        <w:pStyle w:val="48"/>
        <w:rPr>
          <w:rFonts w:asciiTheme="majorBidi" w:hAnsiTheme="majorBidi" w:eastAsiaTheme="minorEastAsia"/>
          <w:kern w:val="2"/>
          <w:sz w:val="22"/>
        </w:rPr>
      </w:pPr>
      <w:r>
        <w:rPr>
          <w:rFonts w:asciiTheme="majorBidi" w:hAnsiTheme="majorBidi" w:eastAsiaTheme="minorEastAsia"/>
          <w:kern w:val="2"/>
          <w:sz w:val="22"/>
        </w:rPr>
        <w:t>R1-2600563</w:t>
      </w:r>
      <w:r>
        <w:rPr>
          <w:rFonts w:asciiTheme="majorBidi" w:hAnsiTheme="majorBidi" w:eastAsiaTheme="minorEastAsia"/>
          <w:kern w:val="2"/>
          <w:sz w:val="22"/>
        </w:rPr>
        <w:tab/>
      </w:r>
      <w:r>
        <w:rPr>
          <w:rFonts w:asciiTheme="majorBidi" w:hAnsiTheme="majorBidi" w:eastAsiaTheme="minorEastAsia"/>
          <w:kern w:val="2"/>
          <w:sz w:val="22"/>
        </w:rPr>
        <w:t>General aspects and frameworks</w:t>
      </w:r>
      <w:r>
        <w:rPr>
          <w:rFonts w:asciiTheme="majorBidi" w:hAnsiTheme="majorBidi" w:eastAsiaTheme="minorEastAsia"/>
          <w:kern w:val="2"/>
          <w:sz w:val="22"/>
        </w:rPr>
        <w:tab/>
      </w:r>
      <w:r>
        <w:rPr>
          <w:rFonts w:asciiTheme="majorBidi" w:hAnsiTheme="majorBidi" w:eastAsiaTheme="minorEastAsia"/>
          <w:kern w:val="2"/>
          <w:sz w:val="22"/>
        </w:rPr>
        <w:t>Lenovo</w:t>
      </w:r>
    </w:p>
    <w:p w14:paraId="1744A6C7">
      <w:pPr>
        <w:pStyle w:val="48"/>
        <w:rPr>
          <w:rFonts w:asciiTheme="majorBidi" w:hAnsiTheme="majorBidi" w:eastAsiaTheme="minorEastAsia"/>
          <w:kern w:val="2"/>
          <w:sz w:val="22"/>
        </w:rPr>
      </w:pPr>
      <w:r>
        <w:rPr>
          <w:rFonts w:asciiTheme="majorBidi" w:hAnsiTheme="majorBidi" w:eastAsiaTheme="minorEastAsia"/>
          <w:kern w:val="2"/>
          <w:sz w:val="22"/>
        </w:rPr>
        <w:t>R1-2600573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Ericsson</w:t>
      </w:r>
    </w:p>
    <w:p w14:paraId="3FBED7D1">
      <w:pPr>
        <w:pStyle w:val="48"/>
        <w:rPr>
          <w:rFonts w:asciiTheme="majorBidi" w:hAnsiTheme="majorBidi" w:eastAsiaTheme="minorEastAsia"/>
          <w:kern w:val="2"/>
          <w:sz w:val="22"/>
        </w:rPr>
      </w:pPr>
      <w:r>
        <w:rPr>
          <w:rFonts w:asciiTheme="majorBidi" w:hAnsiTheme="majorBidi" w:eastAsiaTheme="minorEastAsia"/>
          <w:kern w:val="2"/>
          <w:sz w:val="22"/>
        </w:rPr>
        <w:t>R1-2600588</w:t>
      </w:r>
      <w:r>
        <w:rPr>
          <w:rFonts w:asciiTheme="majorBidi" w:hAnsiTheme="majorBidi" w:eastAsiaTheme="minorEastAsia"/>
          <w:kern w:val="2"/>
          <w:sz w:val="22"/>
        </w:rPr>
        <w:tab/>
      </w:r>
      <w:r>
        <w:rPr>
          <w:rFonts w:asciiTheme="majorBidi" w:hAnsiTheme="majorBidi" w:eastAsiaTheme="minorEastAsia"/>
          <w:kern w:val="2"/>
          <w:sz w:val="22"/>
        </w:rPr>
        <w:t>MIMO frameworks for 6GR Air Interface</w:t>
      </w:r>
      <w:r>
        <w:rPr>
          <w:rFonts w:asciiTheme="majorBidi" w:hAnsiTheme="majorBidi" w:eastAsiaTheme="minorEastAsia"/>
          <w:kern w:val="2"/>
          <w:sz w:val="22"/>
        </w:rPr>
        <w:tab/>
      </w:r>
      <w:r>
        <w:rPr>
          <w:rFonts w:asciiTheme="majorBidi" w:hAnsiTheme="majorBidi" w:eastAsiaTheme="minorEastAsia"/>
          <w:kern w:val="2"/>
          <w:sz w:val="22"/>
        </w:rPr>
        <w:t>National Spectrum Consortium</w:t>
      </w:r>
    </w:p>
    <w:p w14:paraId="176A3742">
      <w:pPr>
        <w:pStyle w:val="48"/>
        <w:rPr>
          <w:rFonts w:asciiTheme="majorBidi" w:hAnsiTheme="majorBidi" w:eastAsiaTheme="minorEastAsia"/>
          <w:kern w:val="2"/>
          <w:sz w:val="22"/>
        </w:rPr>
      </w:pPr>
      <w:r>
        <w:rPr>
          <w:rFonts w:asciiTheme="majorBidi" w:hAnsiTheme="majorBidi" w:eastAsiaTheme="minorEastAsia"/>
          <w:kern w:val="2"/>
          <w:sz w:val="22"/>
        </w:rPr>
        <w:t>R1-2600593</w:t>
      </w:r>
      <w:r>
        <w:rPr>
          <w:rFonts w:asciiTheme="majorBidi" w:hAnsiTheme="majorBidi" w:eastAsiaTheme="minorEastAsia"/>
          <w:kern w:val="2"/>
          <w:sz w:val="22"/>
        </w:rPr>
        <w:tab/>
      </w:r>
      <w:r>
        <w:rPr>
          <w:rFonts w:asciiTheme="majorBidi" w:hAnsiTheme="majorBidi" w:eastAsiaTheme="minorEastAsia"/>
          <w:kern w:val="2"/>
          <w:sz w:val="22"/>
        </w:rPr>
        <w:t>General aspects and frameworks for multi-antenna system</w:t>
      </w:r>
      <w:r>
        <w:rPr>
          <w:rFonts w:asciiTheme="majorBidi" w:hAnsiTheme="majorBidi" w:eastAsiaTheme="minorEastAsia"/>
          <w:kern w:val="2"/>
          <w:sz w:val="22"/>
        </w:rPr>
        <w:tab/>
      </w:r>
      <w:r>
        <w:rPr>
          <w:rFonts w:asciiTheme="majorBidi" w:hAnsiTheme="majorBidi" w:eastAsiaTheme="minorEastAsia"/>
          <w:kern w:val="2"/>
          <w:sz w:val="22"/>
        </w:rPr>
        <w:t>NVIDIA</w:t>
      </w:r>
    </w:p>
    <w:p w14:paraId="60D699A5">
      <w:pPr>
        <w:pStyle w:val="48"/>
        <w:rPr>
          <w:rFonts w:asciiTheme="majorBidi" w:hAnsiTheme="majorBidi" w:eastAsiaTheme="minorEastAsia"/>
          <w:kern w:val="2"/>
          <w:sz w:val="22"/>
        </w:rPr>
      </w:pPr>
      <w:r>
        <w:rPr>
          <w:rFonts w:asciiTheme="majorBidi" w:hAnsiTheme="majorBidi" w:eastAsiaTheme="minorEastAsia"/>
          <w:kern w:val="2"/>
          <w:sz w:val="22"/>
        </w:rPr>
        <w:t>R1-2600601</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Ofinno</w:t>
      </w:r>
    </w:p>
    <w:p w14:paraId="23D13166">
      <w:pPr>
        <w:pStyle w:val="48"/>
        <w:rPr>
          <w:rFonts w:asciiTheme="majorBidi" w:hAnsiTheme="majorBidi" w:eastAsiaTheme="minorEastAsia"/>
          <w:kern w:val="2"/>
          <w:sz w:val="22"/>
        </w:rPr>
      </w:pPr>
      <w:r>
        <w:rPr>
          <w:rFonts w:asciiTheme="majorBidi" w:hAnsiTheme="majorBidi" w:eastAsiaTheme="minorEastAsia"/>
          <w:kern w:val="2"/>
          <w:sz w:val="22"/>
        </w:rPr>
        <w:t>R1-2600645</w:t>
      </w:r>
      <w:r>
        <w:rPr>
          <w:rFonts w:asciiTheme="majorBidi" w:hAnsiTheme="majorBidi" w:eastAsiaTheme="minorEastAsia"/>
          <w:kern w:val="2"/>
          <w:sz w:val="22"/>
        </w:rPr>
        <w:tab/>
      </w:r>
      <w:r>
        <w:rPr>
          <w:rFonts w:asciiTheme="majorBidi" w:hAnsiTheme="majorBidi" w:eastAsiaTheme="minorEastAsia"/>
          <w:kern w:val="2"/>
          <w:sz w:val="22"/>
        </w:rPr>
        <w:t>General aspect and frameworks of 6GR air interface</w:t>
      </w:r>
      <w:r>
        <w:rPr>
          <w:rFonts w:asciiTheme="majorBidi" w:hAnsiTheme="majorBidi" w:eastAsiaTheme="minorEastAsia"/>
          <w:kern w:val="2"/>
          <w:sz w:val="22"/>
        </w:rPr>
        <w:tab/>
      </w:r>
      <w:r>
        <w:rPr>
          <w:rFonts w:asciiTheme="majorBidi" w:hAnsiTheme="majorBidi" w:eastAsiaTheme="minorEastAsia"/>
          <w:kern w:val="2"/>
          <w:sz w:val="22"/>
        </w:rPr>
        <w:t>Panasonic</w:t>
      </w:r>
    </w:p>
    <w:p w14:paraId="2B60E375">
      <w:pPr>
        <w:pStyle w:val="48"/>
        <w:rPr>
          <w:rFonts w:asciiTheme="majorBidi" w:hAnsiTheme="majorBidi" w:eastAsiaTheme="minorEastAsia"/>
          <w:kern w:val="2"/>
          <w:sz w:val="22"/>
        </w:rPr>
      </w:pPr>
      <w:r>
        <w:rPr>
          <w:rFonts w:asciiTheme="majorBidi" w:hAnsiTheme="majorBidi" w:eastAsiaTheme="minorEastAsia"/>
          <w:kern w:val="2"/>
          <w:sz w:val="22"/>
        </w:rPr>
        <w:t>R1-2600676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NEC</w:t>
      </w:r>
    </w:p>
    <w:p w14:paraId="3F02CB55">
      <w:pPr>
        <w:pStyle w:val="48"/>
        <w:rPr>
          <w:rFonts w:asciiTheme="majorBidi" w:hAnsiTheme="majorBidi" w:eastAsiaTheme="minorEastAsia"/>
          <w:kern w:val="2"/>
          <w:sz w:val="22"/>
        </w:rPr>
      </w:pPr>
      <w:r>
        <w:rPr>
          <w:rFonts w:asciiTheme="majorBidi" w:hAnsiTheme="majorBidi" w:eastAsiaTheme="minorEastAsia"/>
          <w:kern w:val="2"/>
          <w:sz w:val="22"/>
        </w:rPr>
        <w:t>R1-2600692</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China Telecom</w:t>
      </w:r>
    </w:p>
    <w:p w14:paraId="693F4ED3">
      <w:pPr>
        <w:pStyle w:val="48"/>
        <w:rPr>
          <w:rFonts w:asciiTheme="majorBidi" w:hAnsiTheme="majorBidi" w:eastAsiaTheme="minorEastAsia"/>
          <w:kern w:val="2"/>
          <w:sz w:val="22"/>
        </w:rPr>
      </w:pPr>
      <w:r>
        <w:rPr>
          <w:rFonts w:asciiTheme="majorBidi" w:hAnsiTheme="majorBidi" w:eastAsiaTheme="minorEastAsia"/>
          <w:kern w:val="2"/>
          <w:sz w:val="22"/>
        </w:rPr>
        <w:t>R1-2600755</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Samsung</w:t>
      </w:r>
    </w:p>
    <w:p w14:paraId="3CBFD16A">
      <w:pPr>
        <w:pStyle w:val="48"/>
        <w:rPr>
          <w:rFonts w:asciiTheme="majorBidi" w:hAnsiTheme="majorBidi" w:eastAsiaTheme="minorEastAsia"/>
          <w:kern w:val="2"/>
          <w:sz w:val="22"/>
        </w:rPr>
      </w:pPr>
      <w:r>
        <w:rPr>
          <w:rFonts w:asciiTheme="majorBidi" w:hAnsiTheme="majorBidi" w:eastAsiaTheme="minorEastAsia"/>
          <w:kern w:val="2"/>
          <w:sz w:val="22"/>
        </w:rPr>
        <w:t>R1-2600809</w:t>
      </w:r>
      <w:r>
        <w:rPr>
          <w:rFonts w:asciiTheme="majorBidi" w:hAnsiTheme="majorBidi" w:eastAsiaTheme="minorEastAsia"/>
          <w:kern w:val="2"/>
          <w:sz w:val="22"/>
        </w:rPr>
        <w:tab/>
      </w:r>
      <w:r>
        <w:rPr>
          <w:rFonts w:asciiTheme="majorBidi" w:hAnsiTheme="majorBidi" w:eastAsiaTheme="minorEastAsia"/>
          <w:kern w:val="2"/>
          <w:sz w:val="22"/>
        </w:rPr>
        <w:t>General aspects and framework for 6GR</w:t>
      </w:r>
      <w:r>
        <w:rPr>
          <w:rFonts w:asciiTheme="majorBidi" w:hAnsiTheme="majorBidi" w:eastAsiaTheme="minorEastAsia"/>
          <w:kern w:val="2"/>
          <w:sz w:val="22"/>
        </w:rPr>
        <w:tab/>
      </w:r>
      <w:r>
        <w:rPr>
          <w:rFonts w:asciiTheme="majorBidi" w:hAnsiTheme="majorBidi" w:eastAsiaTheme="minorEastAsia"/>
          <w:kern w:val="2"/>
          <w:sz w:val="22"/>
        </w:rPr>
        <w:t>InterDigital, Inc.</w:t>
      </w:r>
    </w:p>
    <w:p w14:paraId="25D1A467">
      <w:pPr>
        <w:pStyle w:val="48"/>
        <w:rPr>
          <w:rFonts w:asciiTheme="majorBidi" w:hAnsiTheme="majorBidi" w:eastAsiaTheme="minorEastAsia"/>
          <w:kern w:val="2"/>
          <w:sz w:val="22"/>
        </w:rPr>
      </w:pPr>
      <w:r>
        <w:rPr>
          <w:rFonts w:asciiTheme="majorBidi" w:hAnsiTheme="majorBidi" w:eastAsiaTheme="minorEastAsia"/>
          <w:kern w:val="2"/>
          <w:sz w:val="22"/>
        </w:rPr>
        <w:t>R1-2600827</w:t>
      </w:r>
      <w:r>
        <w:rPr>
          <w:rFonts w:asciiTheme="majorBidi" w:hAnsiTheme="majorBidi" w:eastAsiaTheme="minorEastAsia"/>
          <w:kern w:val="2"/>
          <w:sz w:val="22"/>
        </w:rPr>
        <w:tab/>
      </w:r>
      <w:r>
        <w:rPr>
          <w:rFonts w:asciiTheme="majorBidi" w:hAnsiTheme="majorBidi" w:eastAsiaTheme="minorEastAsia"/>
          <w:kern w:val="2"/>
          <w:sz w:val="22"/>
        </w:rPr>
        <w:t>On general aspects and frameworks</w:t>
      </w:r>
      <w:r>
        <w:rPr>
          <w:rFonts w:asciiTheme="majorBidi" w:hAnsiTheme="majorBidi" w:eastAsiaTheme="minorEastAsia"/>
          <w:kern w:val="2"/>
          <w:sz w:val="22"/>
        </w:rPr>
        <w:tab/>
      </w:r>
      <w:r>
        <w:rPr>
          <w:rFonts w:asciiTheme="majorBidi" w:hAnsiTheme="majorBidi" w:eastAsiaTheme="minorEastAsia"/>
          <w:kern w:val="2"/>
          <w:sz w:val="22"/>
        </w:rPr>
        <w:t>Apple</w:t>
      </w:r>
    </w:p>
    <w:p w14:paraId="769CD589">
      <w:pPr>
        <w:pStyle w:val="48"/>
        <w:rPr>
          <w:rFonts w:asciiTheme="majorBidi" w:hAnsiTheme="majorBidi" w:eastAsiaTheme="minorEastAsia"/>
          <w:kern w:val="2"/>
          <w:sz w:val="22"/>
        </w:rPr>
      </w:pPr>
      <w:r>
        <w:rPr>
          <w:rFonts w:asciiTheme="majorBidi" w:hAnsiTheme="majorBidi" w:eastAsiaTheme="minorEastAsia"/>
          <w:kern w:val="2"/>
          <w:sz w:val="22"/>
        </w:rPr>
        <w:t>R1-2600869</w:t>
      </w:r>
      <w:r>
        <w:rPr>
          <w:rFonts w:asciiTheme="majorBidi" w:hAnsiTheme="majorBidi" w:eastAsiaTheme="minorEastAsia"/>
          <w:kern w:val="2"/>
          <w:sz w:val="22"/>
        </w:rPr>
        <w:tab/>
      </w:r>
      <w:r>
        <w:rPr>
          <w:rFonts w:asciiTheme="majorBidi" w:hAnsiTheme="majorBidi" w:eastAsiaTheme="minorEastAsia"/>
          <w:kern w:val="2"/>
          <w:sz w:val="22"/>
        </w:rPr>
        <w:t>Discussion on 6GR duplex types and frame structure</w:t>
      </w:r>
      <w:r>
        <w:rPr>
          <w:rFonts w:asciiTheme="majorBidi" w:hAnsiTheme="majorBidi" w:eastAsiaTheme="minorEastAsia"/>
          <w:kern w:val="2"/>
          <w:sz w:val="22"/>
        </w:rPr>
        <w:tab/>
      </w:r>
      <w:r>
        <w:rPr>
          <w:rFonts w:asciiTheme="majorBidi" w:hAnsiTheme="majorBidi" w:eastAsiaTheme="minorEastAsia"/>
          <w:kern w:val="2"/>
          <w:sz w:val="22"/>
        </w:rPr>
        <w:t>Fujitsu</w:t>
      </w:r>
    </w:p>
    <w:p w14:paraId="79B8EBF7">
      <w:pPr>
        <w:pStyle w:val="48"/>
        <w:rPr>
          <w:rFonts w:asciiTheme="majorBidi" w:hAnsiTheme="majorBidi" w:eastAsiaTheme="minorEastAsia"/>
          <w:kern w:val="2"/>
          <w:sz w:val="22"/>
        </w:rPr>
      </w:pPr>
      <w:r>
        <w:rPr>
          <w:rFonts w:asciiTheme="majorBidi" w:hAnsiTheme="majorBidi" w:eastAsiaTheme="minorEastAsia"/>
          <w:kern w:val="2"/>
          <w:sz w:val="22"/>
        </w:rPr>
        <w:t>R1-2600893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MediaTek Inc.</w:t>
      </w:r>
    </w:p>
    <w:p w14:paraId="46416508">
      <w:pPr>
        <w:pStyle w:val="48"/>
        <w:rPr>
          <w:rFonts w:asciiTheme="majorBidi" w:hAnsiTheme="majorBidi" w:eastAsiaTheme="minorEastAsia"/>
          <w:kern w:val="2"/>
          <w:sz w:val="22"/>
        </w:rPr>
      </w:pPr>
      <w:r>
        <w:rPr>
          <w:rFonts w:asciiTheme="majorBidi" w:hAnsiTheme="majorBidi" w:eastAsiaTheme="minorEastAsia"/>
          <w:kern w:val="2"/>
          <w:sz w:val="22"/>
        </w:rPr>
        <w:t>R1-2600915</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Sharp</w:t>
      </w:r>
    </w:p>
    <w:p w14:paraId="55CDB8F3">
      <w:pPr>
        <w:pStyle w:val="48"/>
        <w:rPr>
          <w:rFonts w:asciiTheme="majorBidi" w:hAnsiTheme="majorBidi" w:eastAsiaTheme="minorEastAsia"/>
          <w:kern w:val="2"/>
          <w:sz w:val="22"/>
        </w:rPr>
      </w:pPr>
      <w:r>
        <w:rPr>
          <w:rFonts w:asciiTheme="majorBidi" w:hAnsiTheme="majorBidi" w:eastAsiaTheme="minorEastAsia"/>
          <w:kern w:val="2"/>
          <w:sz w:val="22"/>
        </w:rPr>
        <w:t>R1-2600944</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HONOR</w:t>
      </w:r>
    </w:p>
    <w:p w14:paraId="503D2256">
      <w:pPr>
        <w:pStyle w:val="48"/>
        <w:rPr>
          <w:rFonts w:asciiTheme="majorBidi" w:hAnsiTheme="majorBidi" w:eastAsiaTheme="minorEastAsia"/>
          <w:kern w:val="2"/>
          <w:sz w:val="22"/>
        </w:rPr>
      </w:pPr>
      <w:r>
        <w:rPr>
          <w:rFonts w:asciiTheme="majorBidi" w:hAnsiTheme="majorBidi" w:eastAsiaTheme="minorEastAsia"/>
          <w:kern w:val="2"/>
          <w:sz w:val="22"/>
        </w:rPr>
        <w:t>R1-2600950</w:t>
      </w:r>
      <w:r>
        <w:rPr>
          <w:rFonts w:asciiTheme="majorBidi" w:hAnsiTheme="majorBidi" w:eastAsiaTheme="minorEastAsia"/>
          <w:kern w:val="2"/>
          <w:sz w:val="22"/>
        </w:rPr>
        <w:tab/>
      </w:r>
      <w:r>
        <w:rPr>
          <w:rFonts w:asciiTheme="majorBidi" w:hAnsiTheme="majorBidi" w:eastAsiaTheme="minorEastAsia"/>
          <w:kern w:val="2"/>
          <w:sz w:val="22"/>
        </w:rPr>
        <w:t>General aspects and frameworks on 6G spectrum utilization</w:t>
      </w:r>
      <w:r>
        <w:rPr>
          <w:rFonts w:asciiTheme="majorBidi" w:hAnsiTheme="majorBidi" w:eastAsiaTheme="minorEastAsia"/>
          <w:kern w:val="2"/>
          <w:sz w:val="22"/>
        </w:rPr>
        <w:tab/>
      </w:r>
      <w:r>
        <w:rPr>
          <w:rFonts w:asciiTheme="majorBidi" w:hAnsiTheme="majorBidi" w:eastAsiaTheme="minorEastAsia"/>
          <w:kern w:val="2"/>
          <w:sz w:val="22"/>
        </w:rPr>
        <w:t>Pengcheng Laboratory</w:t>
      </w:r>
    </w:p>
    <w:p w14:paraId="545B11D6">
      <w:pPr>
        <w:pStyle w:val="48"/>
        <w:rPr>
          <w:rFonts w:asciiTheme="majorBidi" w:hAnsiTheme="majorBidi" w:eastAsiaTheme="minorEastAsia"/>
          <w:kern w:val="2"/>
          <w:sz w:val="22"/>
        </w:rPr>
      </w:pPr>
      <w:r>
        <w:rPr>
          <w:rFonts w:asciiTheme="majorBidi" w:hAnsiTheme="majorBidi" w:eastAsiaTheme="minorEastAsia"/>
          <w:kern w:val="2"/>
          <w:sz w:val="22"/>
        </w:rPr>
        <w:t>R1-2600985</w:t>
      </w:r>
      <w:r>
        <w:rPr>
          <w:rFonts w:asciiTheme="majorBidi" w:hAnsiTheme="majorBidi" w:eastAsiaTheme="minorEastAsia"/>
          <w:kern w:val="2"/>
          <w:sz w:val="22"/>
        </w:rPr>
        <w:tab/>
      </w:r>
      <w:r>
        <w:rPr>
          <w:rFonts w:asciiTheme="majorBidi" w:hAnsiTheme="majorBidi" w:eastAsiaTheme="minorEastAsia"/>
          <w:kern w:val="2"/>
          <w:sz w:val="22"/>
        </w:rPr>
        <w:t>Discussion on cell-free design of 6GR MIMO</w:t>
      </w:r>
      <w:r>
        <w:rPr>
          <w:rFonts w:asciiTheme="majorBidi" w:hAnsiTheme="majorBidi" w:eastAsiaTheme="minorEastAsia"/>
          <w:kern w:val="2"/>
          <w:sz w:val="22"/>
        </w:rPr>
        <w:tab/>
      </w:r>
      <w:r>
        <w:rPr>
          <w:rFonts w:asciiTheme="majorBidi" w:hAnsiTheme="majorBidi" w:eastAsiaTheme="minorEastAsia"/>
          <w:kern w:val="2"/>
          <w:sz w:val="22"/>
        </w:rPr>
        <w:t>PML</w:t>
      </w:r>
    </w:p>
    <w:p w14:paraId="44C81B5B">
      <w:pPr>
        <w:pStyle w:val="48"/>
        <w:rPr>
          <w:rFonts w:asciiTheme="majorBidi" w:hAnsiTheme="majorBidi" w:eastAsiaTheme="minorEastAsia"/>
          <w:kern w:val="2"/>
          <w:sz w:val="22"/>
        </w:rPr>
      </w:pPr>
      <w:r>
        <w:rPr>
          <w:rFonts w:asciiTheme="majorBidi" w:hAnsiTheme="majorBidi" w:eastAsiaTheme="minorEastAsia"/>
          <w:kern w:val="2"/>
          <w:sz w:val="22"/>
        </w:rPr>
        <w:t>R1-2601002</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ETRI</w:t>
      </w:r>
    </w:p>
    <w:p w14:paraId="4BCE3904">
      <w:pPr>
        <w:pStyle w:val="48"/>
        <w:rPr>
          <w:rFonts w:asciiTheme="majorBidi" w:hAnsiTheme="majorBidi" w:eastAsiaTheme="minorEastAsia"/>
          <w:kern w:val="2"/>
          <w:sz w:val="22"/>
        </w:rPr>
      </w:pPr>
      <w:r>
        <w:rPr>
          <w:rFonts w:asciiTheme="majorBidi" w:hAnsiTheme="majorBidi" w:eastAsiaTheme="minorEastAsia"/>
          <w:kern w:val="2"/>
          <w:sz w:val="22"/>
        </w:rPr>
        <w:t>R1-2601070</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14:paraId="416E28D1">
      <w:pPr>
        <w:pStyle w:val="48"/>
        <w:rPr>
          <w:rFonts w:asciiTheme="majorBidi" w:hAnsiTheme="majorBidi" w:eastAsiaTheme="minorEastAsia"/>
          <w:kern w:val="2"/>
          <w:sz w:val="22"/>
        </w:rPr>
      </w:pPr>
      <w:r>
        <w:rPr>
          <w:rFonts w:asciiTheme="majorBidi" w:hAnsiTheme="majorBidi" w:eastAsiaTheme="minorEastAsia"/>
          <w:kern w:val="2"/>
          <w:sz w:val="22"/>
        </w:rPr>
        <w:t>R1-2601107</w:t>
      </w:r>
      <w:r>
        <w:rPr>
          <w:rFonts w:asciiTheme="majorBidi" w:hAnsiTheme="majorBidi" w:eastAsiaTheme="minorEastAsia"/>
          <w:kern w:val="2"/>
          <w:sz w:val="22"/>
        </w:rPr>
        <w:tab/>
      </w:r>
      <w:r>
        <w:rPr>
          <w:rFonts w:asciiTheme="majorBidi" w:hAnsiTheme="majorBidi" w:eastAsiaTheme="minorEastAsia"/>
          <w:kern w:val="2"/>
          <w:sz w:val="22"/>
        </w:rPr>
        <w:t>Considerations for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Semtech Neuchatel SA</w:t>
      </w:r>
    </w:p>
    <w:p w14:paraId="3A20B603">
      <w:pPr>
        <w:pStyle w:val="48"/>
        <w:rPr>
          <w:rFonts w:asciiTheme="majorBidi" w:hAnsiTheme="majorBidi" w:eastAsiaTheme="minorEastAsia"/>
          <w:kern w:val="2"/>
          <w:sz w:val="22"/>
        </w:rPr>
      </w:pPr>
      <w:r>
        <w:rPr>
          <w:rFonts w:asciiTheme="majorBidi" w:hAnsiTheme="majorBidi" w:eastAsiaTheme="minorEastAsia"/>
          <w:kern w:val="2"/>
          <w:sz w:val="22"/>
        </w:rPr>
        <w:t>R1-2601129</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Sony</w:t>
      </w:r>
    </w:p>
    <w:p w14:paraId="13F37400">
      <w:pPr>
        <w:pStyle w:val="48"/>
        <w:rPr>
          <w:rFonts w:asciiTheme="majorBidi" w:hAnsiTheme="majorBidi" w:eastAsiaTheme="minorEastAsia"/>
          <w:kern w:val="2"/>
          <w:sz w:val="22"/>
        </w:rPr>
      </w:pPr>
      <w:r>
        <w:rPr>
          <w:rFonts w:asciiTheme="majorBidi" w:hAnsiTheme="majorBidi" w:eastAsiaTheme="minorEastAsia"/>
          <w:kern w:val="2"/>
          <w:sz w:val="22"/>
        </w:rPr>
        <w:t>R1-2601147</w:t>
      </w:r>
      <w:r>
        <w:rPr>
          <w:rFonts w:asciiTheme="majorBidi" w:hAnsiTheme="majorBidi" w:eastAsiaTheme="minorEastAsia"/>
          <w:kern w:val="2"/>
          <w:sz w:val="22"/>
        </w:rPr>
        <w:tab/>
      </w:r>
      <w:r>
        <w:rPr>
          <w:rFonts w:asciiTheme="majorBidi" w:hAnsiTheme="majorBidi" w:eastAsiaTheme="minorEastAsia"/>
          <w:kern w:val="2"/>
          <w:sz w:val="22"/>
        </w:rPr>
        <w:t xml:space="preserve">Discussion on 6G general aspects and frameworks </w:t>
      </w:r>
      <w:r>
        <w:rPr>
          <w:rFonts w:asciiTheme="majorBidi" w:hAnsiTheme="majorBidi" w:eastAsiaTheme="minorEastAsia"/>
          <w:kern w:val="2"/>
          <w:sz w:val="22"/>
        </w:rPr>
        <w:tab/>
      </w:r>
      <w:r>
        <w:rPr>
          <w:rFonts w:asciiTheme="majorBidi" w:hAnsiTheme="majorBidi" w:eastAsiaTheme="minorEastAsia"/>
          <w:kern w:val="2"/>
          <w:sz w:val="22"/>
        </w:rPr>
        <w:t xml:space="preserve">Kyocera </w:t>
      </w:r>
    </w:p>
    <w:p w14:paraId="7DB5CE7B">
      <w:pPr>
        <w:pStyle w:val="48"/>
        <w:rPr>
          <w:rFonts w:asciiTheme="majorBidi" w:hAnsiTheme="majorBidi" w:eastAsiaTheme="minorEastAsia"/>
          <w:kern w:val="2"/>
          <w:sz w:val="22"/>
        </w:rPr>
      </w:pPr>
      <w:r>
        <w:rPr>
          <w:rFonts w:asciiTheme="majorBidi" w:hAnsiTheme="majorBidi" w:eastAsiaTheme="minorEastAsia"/>
          <w:kern w:val="2"/>
          <w:sz w:val="22"/>
        </w:rPr>
        <w:t>R1-2601155</w:t>
      </w:r>
      <w:r>
        <w:rPr>
          <w:rFonts w:asciiTheme="majorBidi" w:hAnsiTheme="majorBidi" w:eastAsiaTheme="minorEastAsia"/>
          <w:kern w:val="2"/>
          <w:sz w:val="22"/>
        </w:rPr>
        <w:tab/>
      </w:r>
      <w:r>
        <w:rPr>
          <w:rFonts w:asciiTheme="majorBidi" w:hAnsiTheme="majorBidi" w:eastAsiaTheme="minorEastAsia"/>
          <w:kern w:val="2"/>
          <w:sz w:val="22"/>
        </w:rPr>
        <w:t>Discussions on 6G Multi-antenna System Design</w:t>
      </w:r>
      <w:r>
        <w:rPr>
          <w:rFonts w:asciiTheme="majorBidi" w:hAnsiTheme="majorBidi" w:eastAsiaTheme="minorEastAsia"/>
          <w:kern w:val="2"/>
          <w:sz w:val="22"/>
        </w:rPr>
        <w:tab/>
      </w:r>
      <w:r>
        <w:rPr>
          <w:rFonts w:asciiTheme="majorBidi" w:hAnsiTheme="majorBidi" w:eastAsiaTheme="minorEastAsia"/>
          <w:kern w:val="2"/>
          <w:sz w:val="22"/>
        </w:rPr>
        <w:t>CAICT</w:t>
      </w:r>
    </w:p>
    <w:p w14:paraId="42BF4483">
      <w:pPr>
        <w:pStyle w:val="48"/>
        <w:rPr>
          <w:rFonts w:asciiTheme="majorBidi" w:hAnsiTheme="majorBidi" w:eastAsiaTheme="minorEastAsia"/>
          <w:kern w:val="2"/>
          <w:sz w:val="22"/>
        </w:rPr>
      </w:pPr>
      <w:r>
        <w:rPr>
          <w:rFonts w:asciiTheme="majorBidi" w:hAnsiTheme="majorBidi" w:eastAsiaTheme="minorEastAsia"/>
          <w:kern w:val="2"/>
          <w:sz w:val="22"/>
        </w:rPr>
        <w:t>R1-2601180</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NTT DOCOMO, INC</w:t>
      </w:r>
    </w:p>
    <w:p w14:paraId="3EB42AEF">
      <w:pPr>
        <w:pStyle w:val="48"/>
        <w:rPr>
          <w:rFonts w:asciiTheme="majorBidi" w:hAnsiTheme="majorBidi" w:eastAsiaTheme="minorEastAsia"/>
          <w:kern w:val="2"/>
          <w:sz w:val="22"/>
        </w:rPr>
      </w:pPr>
      <w:r>
        <w:rPr>
          <w:rFonts w:asciiTheme="majorBidi" w:hAnsiTheme="majorBidi" w:eastAsiaTheme="minorEastAsia"/>
          <w:kern w:val="2"/>
          <w:sz w:val="22"/>
        </w:rPr>
        <w:t>R1-2601181</w:t>
      </w:r>
      <w:r>
        <w:rPr>
          <w:rFonts w:asciiTheme="majorBidi" w:hAnsiTheme="majorBidi" w:eastAsiaTheme="minorEastAsia"/>
          <w:kern w:val="2"/>
          <w:sz w:val="22"/>
        </w:rPr>
        <w:tab/>
      </w:r>
      <w:r>
        <w:rPr>
          <w:rFonts w:asciiTheme="majorBidi" w:hAnsiTheme="majorBidi" w:eastAsiaTheme="minorEastAsia"/>
          <w:kern w:val="2"/>
          <w:sz w:val="22"/>
        </w:rPr>
        <w:t>Summary on [Post-123-R20-6GR-Overall]</w:t>
      </w:r>
      <w:r>
        <w:rPr>
          <w:rFonts w:asciiTheme="majorBidi" w:hAnsiTheme="majorBidi" w:eastAsiaTheme="minorEastAsia"/>
          <w:kern w:val="2"/>
          <w:sz w:val="22"/>
        </w:rPr>
        <w:tab/>
      </w:r>
      <w:r>
        <w:rPr>
          <w:rFonts w:asciiTheme="majorBidi" w:hAnsiTheme="majorBidi" w:eastAsiaTheme="minorEastAsia"/>
          <w:kern w:val="2"/>
          <w:sz w:val="22"/>
        </w:rPr>
        <w:t>Moderator (NTT DOCOMO)</w:t>
      </w:r>
    </w:p>
    <w:p w14:paraId="20DFE865">
      <w:pPr>
        <w:pStyle w:val="48"/>
        <w:rPr>
          <w:rFonts w:asciiTheme="majorBidi" w:hAnsiTheme="majorBidi" w:eastAsiaTheme="minorEastAsia"/>
          <w:kern w:val="2"/>
          <w:sz w:val="22"/>
        </w:rPr>
      </w:pPr>
      <w:r>
        <w:rPr>
          <w:rFonts w:asciiTheme="majorBidi" w:hAnsiTheme="majorBidi" w:eastAsiaTheme="minorEastAsia"/>
          <w:kern w:val="2"/>
          <w:sz w:val="22"/>
        </w:rPr>
        <w:t>R1-2601220</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AT&amp;T</w:t>
      </w:r>
    </w:p>
    <w:p w14:paraId="48E32ECD">
      <w:pPr>
        <w:pStyle w:val="48"/>
        <w:rPr>
          <w:rFonts w:asciiTheme="majorBidi" w:hAnsiTheme="majorBidi" w:eastAsiaTheme="minorEastAsia"/>
          <w:kern w:val="2"/>
          <w:sz w:val="22"/>
        </w:rPr>
      </w:pPr>
      <w:r>
        <w:rPr>
          <w:rFonts w:asciiTheme="majorBidi" w:hAnsiTheme="majorBidi" w:eastAsiaTheme="minorEastAsia"/>
          <w:kern w:val="2"/>
          <w:sz w:val="22"/>
        </w:rPr>
        <w:t>R1-2601272</w:t>
      </w:r>
      <w:r>
        <w:rPr>
          <w:rFonts w:asciiTheme="majorBidi" w:hAnsiTheme="majorBidi" w:eastAsiaTheme="minorEastAsia"/>
          <w:kern w:val="2"/>
          <w:sz w:val="22"/>
        </w:rPr>
        <w:tab/>
      </w:r>
      <w:r>
        <w:rPr>
          <w:rFonts w:asciiTheme="majorBidi" w:hAnsiTheme="majorBidi" w:eastAsiaTheme="minorEastAsia"/>
          <w:kern w:val="2"/>
          <w:sz w:val="22"/>
        </w:rPr>
        <w:t>General aspects and framework</w:t>
      </w:r>
      <w:r>
        <w:rPr>
          <w:rFonts w:asciiTheme="majorBidi" w:hAnsiTheme="majorBidi" w:eastAsiaTheme="minorEastAsia"/>
          <w:kern w:val="2"/>
          <w:sz w:val="22"/>
        </w:rPr>
        <w:tab/>
      </w:r>
      <w:r>
        <w:rPr>
          <w:rFonts w:asciiTheme="majorBidi" w:hAnsiTheme="majorBidi" w:eastAsiaTheme="minorEastAsia"/>
          <w:kern w:val="2"/>
          <w:sz w:val="22"/>
        </w:rPr>
        <w:t>Qualcomm Incorporated</w:t>
      </w:r>
    </w:p>
    <w:p w14:paraId="4E874C95">
      <w:pPr>
        <w:pStyle w:val="48"/>
        <w:rPr>
          <w:rFonts w:asciiTheme="majorBidi" w:hAnsiTheme="majorBidi" w:eastAsiaTheme="minorEastAsia"/>
          <w:kern w:val="2"/>
          <w:sz w:val="22"/>
        </w:rPr>
      </w:pPr>
      <w:r>
        <w:rPr>
          <w:rFonts w:asciiTheme="majorBidi" w:hAnsiTheme="majorBidi" w:eastAsiaTheme="minorEastAsia"/>
          <w:kern w:val="2"/>
          <w:sz w:val="22"/>
        </w:rPr>
        <w:t>R1-2601297</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KT Corp.</w:t>
      </w:r>
    </w:p>
    <w:p w14:paraId="3791CF5D">
      <w:pPr>
        <w:pStyle w:val="48"/>
        <w:rPr>
          <w:rFonts w:asciiTheme="majorBidi" w:hAnsiTheme="majorBidi" w:eastAsiaTheme="minorEastAsia"/>
          <w:kern w:val="2"/>
          <w:sz w:val="22"/>
        </w:rPr>
      </w:pPr>
      <w:r>
        <w:rPr>
          <w:rFonts w:asciiTheme="majorBidi" w:hAnsiTheme="majorBidi" w:eastAsiaTheme="minorEastAsia"/>
          <w:kern w:val="2"/>
          <w:sz w:val="22"/>
        </w:rPr>
        <w:t>R1-2601334</w:t>
      </w:r>
      <w:r>
        <w:rPr>
          <w:rFonts w:asciiTheme="majorBidi" w:hAnsiTheme="majorBidi" w:eastAsiaTheme="minorEastAsia"/>
          <w:kern w:val="2"/>
          <w:sz w:val="22"/>
        </w:rPr>
        <w:tab/>
      </w:r>
      <w:r>
        <w:rPr>
          <w:rFonts w:asciiTheme="majorBidi" w:hAnsiTheme="majorBidi" w:eastAsiaTheme="minorEastAsia"/>
          <w:kern w:val="2"/>
          <w:sz w:val="22"/>
        </w:rPr>
        <w:t>Discussion on the General Aspects and Framework of 6GR Multi-Antenna System</w:t>
      </w:r>
      <w:r>
        <w:rPr>
          <w:rFonts w:asciiTheme="majorBidi" w:hAnsiTheme="majorBidi" w:eastAsiaTheme="minorEastAsia"/>
          <w:kern w:val="2"/>
          <w:sz w:val="22"/>
        </w:rPr>
        <w:tab/>
      </w:r>
      <w:r>
        <w:rPr>
          <w:rFonts w:asciiTheme="majorBidi" w:hAnsiTheme="majorBidi" w:eastAsiaTheme="minorEastAsia"/>
          <w:kern w:val="2"/>
          <w:sz w:val="22"/>
        </w:rPr>
        <w:t>Rakuten Mobile, Inc</w:t>
      </w:r>
    </w:p>
    <w:p w14:paraId="6FCCF774">
      <w:pPr>
        <w:pStyle w:val="48"/>
        <w:rPr>
          <w:rFonts w:asciiTheme="majorBidi" w:hAnsiTheme="majorBidi" w:eastAsiaTheme="minorEastAsia"/>
          <w:kern w:val="2"/>
          <w:sz w:val="22"/>
        </w:rPr>
      </w:pPr>
      <w:r>
        <w:rPr>
          <w:rFonts w:asciiTheme="majorBidi" w:hAnsiTheme="majorBidi" w:eastAsiaTheme="minorEastAsia"/>
          <w:kern w:val="2"/>
          <w:sz w:val="22"/>
        </w:rPr>
        <w:t>R1-2601353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KDDI Corporation</w:t>
      </w:r>
    </w:p>
    <w:p w14:paraId="253E00B9">
      <w:pPr>
        <w:pStyle w:val="48"/>
        <w:rPr>
          <w:rFonts w:asciiTheme="majorBidi" w:hAnsiTheme="majorBidi" w:eastAsiaTheme="minorEastAsia"/>
          <w:kern w:val="2"/>
          <w:sz w:val="22"/>
        </w:rPr>
      </w:pPr>
      <w:r>
        <w:rPr>
          <w:rFonts w:asciiTheme="majorBidi" w:hAnsiTheme="majorBidi" w:eastAsiaTheme="minorEastAsia"/>
          <w:kern w:val="2"/>
          <w:sz w:val="22"/>
        </w:rPr>
        <w:t>R1-2601355</w:t>
      </w:r>
      <w:r>
        <w:rPr>
          <w:rFonts w:asciiTheme="majorBidi" w:hAnsiTheme="majorBidi" w:eastAsiaTheme="minorEastAsia"/>
          <w:kern w:val="2"/>
          <w:sz w:val="22"/>
        </w:rPr>
        <w:tab/>
      </w:r>
      <w:r>
        <w:rPr>
          <w:rFonts w:asciiTheme="majorBidi" w:hAnsiTheme="majorBidi" w:eastAsiaTheme="minorEastAsia"/>
          <w:kern w:val="2"/>
          <w:sz w:val="22"/>
        </w:rPr>
        <w:t>Considerations on general aspects and frameworks for 6GR air interface</w:t>
      </w:r>
      <w:r>
        <w:rPr>
          <w:rFonts w:asciiTheme="majorBidi" w:hAnsiTheme="majorBidi" w:eastAsiaTheme="minorEastAsia"/>
          <w:kern w:val="2"/>
          <w:sz w:val="22"/>
        </w:rPr>
        <w:tab/>
      </w:r>
      <w:r>
        <w:rPr>
          <w:rFonts w:asciiTheme="majorBidi" w:hAnsiTheme="majorBidi" w:eastAsiaTheme="minorEastAsia"/>
          <w:kern w:val="2"/>
          <w:sz w:val="22"/>
        </w:rPr>
        <w:t>ITL</w:t>
      </w:r>
    </w:p>
    <w:p w14:paraId="56AE7C1E">
      <w:pPr>
        <w:pStyle w:val="48"/>
        <w:rPr>
          <w:rFonts w:asciiTheme="majorBidi" w:hAnsiTheme="majorBidi" w:eastAsiaTheme="minorEastAsia"/>
          <w:kern w:val="2"/>
          <w:sz w:val="22"/>
        </w:rPr>
      </w:pPr>
      <w:r>
        <w:rPr>
          <w:rFonts w:asciiTheme="majorBidi" w:hAnsiTheme="majorBidi" w:eastAsiaTheme="minorEastAsia"/>
          <w:kern w:val="2"/>
          <w:sz w:val="22"/>
        </w:rPr>
        <w:t>R1-2601360</w:t>
      </w:r>
      <w:r>
        <w:rPr>
          <w:rFonts w:asciiTheme="majorBidi" w:hAnsiTheme="majorBidi" w:eastAsiaTheme="minorEastAsia"/>
          <w:kern w:val="2"/>
          <w:sz w:val="22"/>
        </w:rPr>
        <w:tab/>
      </w:r>
      <w:r>
        <w:rPr>
          <w:rFonts w:asciiTheme="majorBidi" w:hAnsiTheme="majorBidi" w:eastAsiaTheme="minorEastAsia"/>
          <w:kern w:val="2"/>
          <w:sz w:val="22"/>
        </w:rPr>
        <w:t>On 6GR coverage target</w:t>
      </w:r>
      <w:r>
        <w:rPr>
          <w:rFonts w:asciiTheme="majorBidi" w:hAnsiTheme="majorBidi" w:eastAsiaTheme="minorEastAsia"/>
          <w:kern w:val="2"/>
          <w:sz w:val="22"/>
        </w:rPr>
        <w:tab/>
      </w:r>
      <w:r>
        <w:rPr>
          <w:rFonts w:asciiTheme="majorBidi" w:hAnsiTheme="majorBidi" w:eastAsiaTheme="minorEastAsia"/>
          <w:kern w:val="2"/>
          <w:sz w:val="22"/>
        </w:rPr>
        <w:t>Vodafone, Deutsche Telekom, Orange, Bouygues Telecom, Telecom Italia, British Telecom</w:t>
      </w:r>
    </w:p>
    <w:p w14:paraId="7EDC6C9A">
      <w:pPr>
        <w:pStyle w:val="48"/>
        <w:rPr>
          <w:rFonts w:asciiTheme="majorBidi" w:hAnsiTheme="majorBidi" w:eastAsiaTheme="minorEastAsia"/>
          <w:kern w:val="2"/>
          <w:sz w:val="22"/>
        </w:rPr>
      </w:pPr>
      <w:r>
        <w:rPr>
          <w:rFonts w:asciiTheme="majorBidi" w:hAnsiTheme="majorBidi" w:eastAsiaTheme="minorEastAsia"/>
          <w:kern w:val="2"/>
          <w:sz w:val="22"/>
        </w:rPr>
        <w:t>R1-2601371</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Google Korea LLC</w:t>
      </w:r>
    </w:p>
    <w:p w14:paraId="693F4AC0">
      <w:pPr>
        <w:pStyle w:val="48"/>
        <w:rPr>
          <w:rFonts w:asciiTheme="majorBidi" w:hAnsiTheme="majorBidi" w:eastAsiaTheme="minorEastAsia"/>
          <w:kern w:val="2"/>
          <w:sz w:val="22"/>
        </w:rPr>
      </w:pPr>
      <w:r>
        <w:rPr>
          <w:rFonts w:asciiTheme="majorBidi" w:hAnsiTheme="majorBidi" w:eastAsiaTheme="minorEastAsia"/>
          <w:kern w:val="2"/>
          <w:sz w:val="22"/>
        </w:rPr>
        <w:t>R1-2601393</w:t>
      </w:r>
      <w:r>
        <w:rPr>
          <w:rFonts w:asciiTheme="majorBidi" w:hAnsiTheme="majorBidi" w:eastAsiaTheme="minorEastAsia"/>
          <w:kern w:val="2"/>
          <w:sz w:val="22"/>
        </w:rPr>
        <w:tab/>
      </w:r>
      <w:r>
        <w:rPr>
          <w:rFonts w:asciiTheme="majorBidi" w:hAnsiTheme="majorBidi" w:eastAsiaTheme="minorEastAsia"/>
          <w:kern w:val="2"/>
          <w:sz w:val="22"/>
        </w:rPr>
        <w:t>Views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CEWiT</w:t>
      </w:r>
    </w:p>
    <w:p w14:paraId="46330304">
      <w:pPr>
        <w:pStyle w:val="48"/>
        <w:rPr>
          <w:rFonts w:asciiTheme="majorBidi" w:hAnsiTheme="majorBidi" w:eastAsiaTheme="minorEastAsia"/>
          <w:kern w:val="2"/>
          <w:sz w:val="22"/>
        </w:rPr>
      </w:pPr>
      <w:r>
        <w:rPr>
          <w:rFonts w:asciiTheme="majorBidi" w:hAnsiTheme="majorBidi" w:eastAsiaTheme="minorEastAsia"/>
          <w:kern w:val="2"/>
          <w:sz w:val="22"/>
        </w:rPr>
        <w:t>R1-2601418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 Radio</w:t>
      </w:r>
      <w:r>
        <w:rPr>
          <w:rFonts w:asciiTheme="majorBidi" w:hAnsiTheme="majorBidi" w:eastAsiaTheme="minorEastAsia"/>
          <w:kern w:val="2"/>
          <w:sz w:val="22"/>
        </w:rPr>
        <w:tab/>
      </w:r>
      <w:r>
        <w:rPr>
          <w:rFonts w:asciiTheme="majorBidi" w:hAnsiTheme="majorBidi" w:eastAsiaTheme="minorEastAsia"/>
          <w:kern w:val="2"/>
          <w:sz w:val="22"/>
        </w:rPr>
        <w:t>WILUS Inc.</w:t>
      </w:r>
    </w:p>
    <w:sectPr>
      <w:pgSz w:w="11909" w:h="16834"/>
      <w:pgMar w:top="1440" w:right="1151"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UI"/>
    <w:panose1 w:val="00000000000000000000"/>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Helvetica">
    <w:altName w:val="Arial"/>
    <w:panose1 w:val="020B0504020202020204"/>
    <w:charset w:val="00"/>
    <w:family w:val="swiss"/>
    <w:pitch w:val="default"/>
    <w:sig w:usb0="00000000" w:usb1="00000000" w:usb2="00000000" w:usb3="00000000" w:csb0="00000001" w:csb1="00000000"/>
  </w:font>
  <w:font w:name="Aptos">
    <w:altName w:val="Arial"/>
    <w:panose1 w:val="00000000000000000000"/>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LG Smart_H Regular">
    <w:altName w:val="Malgun Gothic"/>
    <w:panose1 w:val="00000000000000000000"/>
    <w:charset w:val="81"/>
    <w:family w:val="modern"/>
    <w:pitch w:val="default"/>
    <w:sig w:usb0="00000000" w:usb1="00000000" w:usb2="00000010" w:usb3="00000000" w:csb0="00280005"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B462">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B2A7">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0EF5">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3D55">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DC8C">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B9DB">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38A1"/>
    <w:multiLevelType w:val="multilevel"/>
    <w:tmpl w:val="00CF38A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0A7824"/>
    <w:multiLevelType w:val="multilevel"/>
    <w:tmpl w:val="010A7824"/>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1"/>
      <w:numFmt w:val="bullet"/>
      <w:lvlText w:val=""/>
      <w:lvlJc w:val="left"/>
      <w:pPr>
        <w:ind w:left="1520" w:hanging="440"/>
      </w:pPr>
      <w:rPr>
        <w:rFonts w:hint="default" w:ascii="Wingdings" w:hAnsi="Wingdings"/>
      </w:rPr>
    </w:lvl>
    <w:lvl w:ilvl="2" w:tentative="0">
      <w:start w:val="7"/>
      <w:numFmt w:val="bullet"/>
      <w:lvlText w:val="-"/>
      <w:lvlJc w:val="left"/>
      <w:pPr>
        <w:ind w:left="2240" w:hanging="44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2C86647"/>
    <w:multiLevelType w:val="multilevel"/>
    <w:tmpl w:val="02C866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AE27AE"/>
    <w:multiLevelType w:val="multilevel"/>
    <w:tmpl w:val="04AE27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
    <w:nsid w:val="07D64660"/>
    <w:multiLevelType w:val="multilevel"/>
    <w:tmpl w:val="07D646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85D142A"/>
    <w:multiLevelType w:val="multilevel"/>
    <w:tmpl w:val="085D1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9DC78ED"/>
    <w:multiLevelType w:val="multilevel"/>
    <w:tmpl w:val="09DC78ED"/>
    <w:lvl w:ilvl="0" w:tentative="0">
      <w:start w:val="0"/>
      <w:numFmt w:val="bullet"/>
      <w:lvlText w:val="-"/>
      <w:lvlJc w:val="left"/>
      <w:pPr>
        <w:ind w:left="440" w:hanging="440"/>
      </w:pPr>
      <w:rPr>
        <w:rFonts w:hint="default" w:ascii="Times" w:hAnsi="Times" w:eastAsia="等线" w:cs="Time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o"/>
      <w:lvlJc w:val="left"/>
      <w:pPr>
        <w:ind w:left="1760" w:hanging="440"/>
      </w:pPr>
      <w:rPr>
        <w:rFonts w:hint="default" w:ascii="Courier New" w:hAnsi="Courier New" w:cs="Courier New"/>
      </w:rPr>
    </w:lvl>
    <w:lvl w:ilvl="4" w:tentative="0">
      <w:start w:val="1"/>
      <w:numFmt w:val="bullet"/>
      <w:lvlText w:val="o"/>
      <w:lvlJc w:val="left"/>
      <w:pPr>
        <w:ind w:left="2200" w:hanging="440"/>
      </w:pPr>
      <w:rPr>
        <w:rFonts w:hint="default" w:ascii="Courier New" w:hAnsi="Courier New" w:cs="Courier New"/>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9E42C5F"/>
    <w:multiLevelType w:val="multilevel"/>
    <w:tmpl w:val="09E42C5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ABE5D3A"/>
    <w:multiLevelType w:val="multilevel"/>
    <w:tmpl w:val="0ABE5D3A"/>
    <w:lvl w:ilvl="0" w:tentative="0">
      <w:start w:val="1"/>
      <w:numFmt w:val="decimal"/>
      <w:pStyle w:val="136"/>
      <w:lvlText w:val="Proposal %1:"/>
      <w:lvlJc w:val="left"/>
      <w:pPr>
        <w:ind w:left="420" w:hanging="420"/>
      </w:pPr>
      <w:rPr>
        <w:rFonts w:hint="eastAsia"/>
        <w:b/>
        <w:bCs/>
        <w:i/>
        <w:iCs/>
      </w:rPr>
    </w:lvl>
    <w:lvl w:ilvl="1" w:tentative="0">
      <w:start w:val="2"/>
      <w:numFmt w:val="decimal"/>
      <w:lvlText w:val="%2）"/>
      <w:lvlJc w:val="left"/>
      <w:pPr>
        <w:ind w:left="-8576" w:hanging="360"/>
      </w:pPr>
      <w:rPr>
        <w:rFonts w:hint="default" w:eastAsiaTheme="minorEastAsia"/>
      </w:rPr>
    </w:lvl>
    <w:lvl w:ilvl="2" w:tentative="0">
      <w:start w:val="1"/>
      <w:numFmt w:val="lowerRoman"/>
      <w:lvlText w:val="%3."/>
      <w:lvlJc w:val="right"/>
      <w:pPr>
        <w:ind w:left="-8096" w:hanging="420"/>
      </w:pPr>
    </w:lvl>
    <w:lvl w:ilvl="3" w:tentative="0">
      <w:start w:val="1"/>
      <w:numFmt w:val="decimal"/>
      <w:lvlText w:val="%4."/>
      <w:lvlJc w:val="left"/>
      <w:pPr>
        <w:ind w:left="-7676" w:hanging="420"/>
      </w:pPr>
    </w:lvl>
    <w:lvl w:ilvl="4" w:tentative="0">
      <w:start w:val="1"/>
      <w:numFmt w:val="lowerLetter"/>
      <w:lvlText w:val="%5)"/>
      <w:lvlJc w:val="left"/>
      <w:pPr>
        <w:ind w:left="-7256" w:hanging="420"/>
      </w:pPr>
    </w:lvl>
    <w:lvl w:ilvl="5" w:tentative="0">
      <w:start w:val="1"/>
      <w:numFmt w:val="lowerRoman"/>
      <w:lvlText w:val="%6."/>
      <w:lvlJc w:val="right"/>
      <w:pPr>
        <w:ind w:left="-6836" w:hanging="420"/>
      </w:pPr>
    </w:lvl>
    <w:lvl w:ilvl="6" w:tentative="0">
      <w:start w:val="1"/>
      <w:numFmt w:val="decimal"/>
      <w:lvlText w:val="%7."/>
      <w:lvlJc w:val="left"/>
      <w:pPr>
        <w:ind w:left="-6416" w:hanging="420"/>
      </w:pPr>
    </w:lvl>
    <w:lvl w:ilvl="7" w:tentative="0">
      <w:start w:val="1"/>
      <w:numFmt w:val="lowerLetter"/>
      <w:lvlText w:val="%8)"/>
      <w:lvlJc w:val="left"/>
      <w:pPr>
        <w:ind w:left="-5996" w:hanging="420"/>
      </w:pPr>
    </w:lvl>
    <w:lvl w:ilvl="8" w:tentative="0">
      <w:start w:val="1"/>
      <w:numFmt w:val="lowerRoman"/>
      <w:lvlText w:val="%9."/>
      <w:lvlJc w:val="right"/>
      <w:pPr>
        <w:ind w:left="-5576" w:hanging="420"/>
      </w:pPr>
    </w:lvl>
  </w:abstractNum>
  <w:abstractNum w:abstractNumId="11">
    <w:nsid w:val="0D2F090A"/>
    <w:multiLevelType w:val="multilevel"/>
    <w:tmpl w:val="0D2F090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0F183C61"/>
    <w:multiLevelType w:val="multilevel"/>
    <w:tmpl w:val="0F183C61"/>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42EA2"/>
    <w:multiLevelType w:val="multilevel"/>
    <w:tmpl w:val="0F642E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4">
    <w:nsid w:val="104970CA"/>
    <w:multiLevelType w:val="multilevel"/>
    <w:tmpl w:val="104970CA"/>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5">
    <w:nsid w:val="106105E3"/>
    <w:multiLevelType w:val="multilevel"/>
    <w:tmpl w:val="106105E3"/>
    <w:lvl w:ilvl="0" w:tentative="0">
      <w:start w:val="1"/>
      <w:numFmt w:val="bullet"/>
      <w:lvlText w:val=""/>
      <w:lvlJc w:val="left"/>
      <w:pPr>
        <w:ind w:left="420" w:hanging="420"/>
      </w:pPr>
      <w:rPr>
        <w:rFonts w:hint="default" w:ascii="Symbol" w:hAnsi="Symbol"/>
      </w:rPr>
    </w:lvl>
    <w:lvl w:ilvl="1" w:tentative="0">
      <w:start w:val="7"/>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0A11796"/>
    <w:multiLevelType w:val="multilevel"/>
    <w:tmpl w:val="10A1179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7">
    <w:nsid w:val="11564638"/>
    <w:multiLevelType w:val="multilevel"/>
    <w:tmpl w:val="115646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15A671D"/>
    <w:multiLevelType w:val="multilevel"/>
    <w:tmpl w:val="115A67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136951FD"/>
    <w:multiLevelType w:val="multilevel"/>
    <w:tmpl w:val="136951FD"/>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20">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146516F0"/>
    <w:multiLevelType w:val="multilevel"/>
    <w:tmpl w:val="146516F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4732CE7"/>
    <w:multiLevelType w:val="multilevel"/>
    <w:tmpl w:val="14732C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4B22C3F"/>
    <w:multiLevelType w:val="multilevel"/>
    <w:tmpl w:val="14B22C3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15BF6AAA"/>
    <w:multiLevelType w:val="multilevel"/>
    <w:tmpl w:val="15BF6AA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15E81F8C"/>
    <w:multiLevelType w:val="multilevel"/>
    <w:tmpl w:val="15E81F8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0"/>
      <w:numFmt w:val="bullet"/>
      <w:lvlText w:val="•"/>
      <w:lvlJc w:val="left"/>
      <w:pPr>
        <w:ind w:left="2100" w:hanging="420"/>
      </w:pPr>
      <w:rPr>
        <w:rFonts w:hint="default" w:ascii="Times New Roman" w:hAnsi="Times New Roman" w:eastAsia="Times New Roman" w:cs="Times New Roman"/>
        <w:lang w:val="en-U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6840260"/>
    <w:multiLevelType w:val="multilevel"/>
    <w:tmpl w:val="16840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7E7C4FC"/>
    <w:multiLevelType w:val="singleLevel"/>
    <w:tmpl w:val="17E7C4FC"/>
    <w:lvl w:ilvl="0" w:tentative="0">
      <w:start w:val="1"/>
      <w:numFmt w:val="bullet"/>
      <w:lvlText w:val=""/>
      <w:lvlJc w:val="left"/>
      <w:pPr>
        <w:ind w:left="420" w:hanging="420"/>
      </w:pPr>
      <w:rPr>
        <w:rFonts w:hint="default" w:ascii="Wingdings" w:hAnsi="Wingdings"/>
      </w:rPr>
    </w:lvl>
  </w:abstractNum>
  <w:abstractNum w:abstractNumId="28">
    <w:nsid w:val="18F63EA2"/>
    <w:multiLevelType w:val="multilevel"/>
    <w:tmpl w:val="18F6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29">
    <w:nsid w:val="193DC0E0"/>
    <w:multiLevelType w:val="multilevel"/>
    <w:tmpl w:val="193DC0E0"/>
    <w:lvl w:ilvl="0" w:tentative="0">
      <w:start w:val="1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0">
    <w:nsid w:val="19CD799C"/>
    <w:multiLevelType w:val="multilevel"/>
    <w:tmpl w:val="19CD7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1AF84F0C"/>
    <w:multiLevelType w:val="multilevel"/>
    <w:tmpl w:val="1AF84F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1BD579BB"/>
    <w:multiLevelType w:val="multilevel"/>
    <w:tmpl w:val="1BD57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1DC11E80"/>
    <w:multiLevelType w:val="multilevel"/>
    <w:tmpl w:val="1DC11E8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5">
    <w:nsid w:val="1EB23A2A"/>
    <w:multiLevelType w:val="multilevel"/>
    <w:tmpl w:val="1EB23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1FF774D3"/>
    <w:multiLevelType w:val="multilevel"/>
    <w:tmpl w:val="1FF774D3"/>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239A1571"/>
    <w:multiLevelType w:val="multilevel"/>
    <w:tmpl w:val="239A15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25BC4E6C"/>
    <w:multiLevelType w:val="multilevel"/>
    <w:tmpl w:val="25BC4E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2622117F"/>
    <w:multiLevelType w:val="multilevel"/>
    <w:tmpl w:val="2622117F"/>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0">
    <w:nsid w:val="27547380"/>
    <w:multiLevelType w:val="multilevel"/>
    <w:tmpl w:val="27547380"/>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28126432"/>
    <w:multiLevelType w:val="multilevel"/>
    <w:tmpl w:val="28126432"/>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296C617F"/>
    <w:multiLevelType w:val="multilevel"/>
    <w:tmpl w:val="296C617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29E90583"/>
    <w:multiLevelType w:val="multilevel"/>
    <w:tmpl w:val="29E90583"/>
    <w:lvl w:ilvl="0" w:tentative="0">
      <w:start w:val="1"/>
      <w:numFmt w:val="bullet"/>
      <w:lvlText w:val="-"/>
      <w:lvlJc w:val="left"/>
      <w:pPr>
        <w:ind w:left="420" w:hanging="420"/>
      </w:pPr>
      <w:rPr>
        <w:rFonts w:hint="default" w:ascii="Calibri" w:hAnsi="Calibri"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2D49097A"/>
    <w:multiLevelType w:val="multilevel"/>
    <w:tmpl w:val="2D49097A"/>
    <w:lvl w:ilvl="0" w:tentative="0">
      <w:start w:val="1"/>
      <w:numFmt w:val="bullet"/>
      <w:lvlText w:val="•"/>
      <w:lvlJc w:val="left"/>
      <w:pPr>
        <w:ind w:left="865" w:hanging="440"/>
      </w:pPr>
      <w:rPr>
        <w:rFonts w:hint="default" w:ascii="Arial" w:hAnsi="Arial" w:cs="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0B95392"/>
    <w:multiLevelType w:val="multilevel"/>
    <w:tmpl w:val="30B95392"/>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0"/>
      <w:numFmt w:val="bullet"/>
      <w:lvlText w:val="-"/>
      <w:lvlJc w:val="left"/>
      <w:pPr>
        <w:ind w:left="1520" w:hanging="44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322C07D9"/>
    <w:multiLevelType w:val="multilevel"/>
    <w:tmpl w:val="322C07D9"/>
    <w:lvl w:ilvl="0" w:tentative="0">
      <w:start w:val="1"/>
      <w:numFmt w:val="bullet"/>
      <w:lvlText w:val="•"/>
      <w:lvlJc w:val="left"/>
      <w:pPr>
        <w:ind w:left="390" w:hanging="420"/>
      </w:pPr>
      <w:rPr>
        <w:rFonts w:hint="default" w:ascii="Arial" w:hAnsi="Arial"/>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48">
    <w:nsid w:val="325E7D1A"/>
    <w:multiLevelType w:val="multilevel"/>
    <w:tmpl w:val="325E7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32B34275"/>
    <w:multiLevelType w:val="multilevel"/>
    <w:tmpl w:val="32B34275"/>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GB"/>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1">
    <w:nsid w:val="345554C0"/>
    <w:multiLevelType w:val="multilevel"/>
    <w:tmpl w:val="34555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349037D2"/>
    <w:multiLevelType w:val="multilevel"/>
    <w:tmpl w:val="34903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34F67656"/>
    <w:multiLevelType w:val="multilevel"/>
    <w:tmpl w:val="34F676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4">
    <w:nsid w:val="34FF5DBE"/>
    <w:multiLevelType w:val="multilevel"/>
    <w:tmpl w:val="34FF5D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351057B0"/>
    <w:multiLevelType w:val="multilevel"/>
    <w:tmpl w:val="351057B0"/>
    <w:lvl w:ilvl="0" w:tentative="0">
      <w:start w:val="1"/>
      <w:numFmt w:val="bullet"/>
      <w:lvlText w:val="•"/>
      <w:lvlJc w:val="left"/>
      <w:pPr>
        <w:ind w:left="429" w:hanging="440"/>
      </w:pPr>
      <w:rPr>
        <w:rFonts w:hint="default" w:ascii="Times New Roman" w:hAnsi="Times New Roman"/>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56">
    <w:nsid w:val="37E17664"/>
    <w:multiLevelType w:val="multilevel"/>
    <w:tmpl w:val="37E1766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Times New Roman" w:hAnsi="Times New Roman" w:eastAsia="MS Mincho"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3A785954"/>
    <w:multiLevelType w:val="multilevel"/>
    <w:tmpl w:val="3A78595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8">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59">
    <w:nsid w:val="3AAC1297"/>
    <w:multiLevelType w:val="multilevel"/>
    <w:tmpl w:val="3AAC1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60">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2">
    <w:nsid w:val="3FED2908"/>
    <w:multiLevelType w:val="multilevel"/>
    <w:tmpl w:val="3FED29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3">
    <w:nsid w:val="404027D2"/>
    <w:multiLevelType w:val="multilevel"/>
    <w:tmpl w:val="404027D2"/>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409839A2"/>
    <w:multiLevelType w:val="multilevel"/>
    <w:tmpl w:val="409839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409C6D74"/>
    <w:multiLevelType w:val="multilevel"/>
    <w:tmpl w:val="409C6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6">
    <w:nsid w:val="43AE3066"/>
    <w:multiLevelType w:val="multilevel"/>
    <w:tmpl w:val="43AE3066"/>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3B650B5"/>
    <w:multiLevelType w:val="multilevel"/>
    <w:tmpl w:val="43B650B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8">
    <w:nsid w:val="43E72A36"/>
    <w:multiLevelType w:val="multilevel"/>
    <w:tmpl w:val="43E72A3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9">
    <w:nsid w:val="44886491"/>
    <w:multiLevelType w:val="multilevel"/>
    <w:tmpl w:val="4488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74274C7"/>
    <w:multiLevelType w:val="multilevel"/>
    <w:tmpl w:val="474274C7"/>
    <w:lvl w:ilvl="0" w:tentative="0">
      <w:start w:val="1"/>
      <w:numFmt w:val="decimalZero"/>
      <w:pStyle w:val="139"/>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71">
    <w:nsid w:val="47EF645A"/>
    <w:multiLevelType w:val="multilevel"/>
    <w:tmpl w:val="47EF645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2">
    <w:nsid w:val="4A450427"/>
    <w:multiLevelType w:val="multilevel"/>
    <w:tmpl w:val="4A450427"/>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3">
    <w:nsid w:val="4BDA2684"/>
    <w:multiLevelType w:val="multilevel"/>
    <w:tmpl w:val="4BDA2684"/>
    <w:lvl w:ilvl="0" w:tentative="0">
      <w:start w:val="150"/>
      <w:numFmt w:val="bullet"/>
      <w:lvlText w:val="-"/>
      <w:lvlJc w:val="left"/>
      <w:pPr>
        <w:tabs>
          <w:tab w:val="left" w:pos="-726"/>
        </w:tabs>
        <w:ind w:left="-6" w:hanging="360"/>
      </w:pPr>
      <w:rPr>
        <w:rFonts w:hint="default" w:ascii="Times" w:hAnsi="Times" w:cs="Times"/>
      </w:rPr>
    </w:lvl>
    <w:lvl w:ilvl="1" w:tentative="0">
      <w:start w:val="1"/>
      <w:numFmt w:val="bullet"/>
      <w:lvlText w:val="o"/>
      <w:lvlJc w:val="left"/>
      <w:pPr>
        <w:tabs>
          <w:tab w:val="left" w:pos="-726"/>
        </w:tabs>
        <w:ind w:left="714" w:hanging="360"/>
      </w:pPr>
      <w:rPr>
        <w:rFonts w:hint="default" w:ascii="Courier New" w:hAnsi="Courier New" w:cs="Courier New"/>
      </w:rPr>
    </w:lvl>
    <w:lvl w:ilvl="2" w:tentative="0">
      <w:start w:val="1"/>
      <w:numFmt w:val="bullet"/>
      <w:lvlText w:val="-"/>
      <w:lvlJc w:val="left"/>
      <w:pPr>
        <w:tabs>
          <w:tab w:val="left" w:pos="-726"/>
        </w:tabs>
        <w:ind w:left="1434" w:hanging="360"/>
      </w:pPr>
      <w:rPr>
        <w:rFonts w:hint="default" w:ascii="Times" w:hAnsi="Times" w:cs="Times"/>
      </w:rPr>
    </w:lvl>
    <w:lvl w:ilvl="3" w:tentative="0">
      <w:start w:val="1"/>
      <w:numFmt w:val="bullet"/>
      <w:lvlText w:val=""/>
      <w:lvlJc w:val="left"/>
      <w:pPr>
        <w:tabs>
          <w:tab w:val="left" w:pos="-726"/>
        </w:tabs>
        <w:ind w:left="2154" w:hanging="360"/>
      </w:pPr>
      <w:rPr>
        <w:rFonts w:hint="default" w:ascii="Symbol" w:hAnsi="Symbol" w:cs="Symbol"/>
      </w:rPr>
    </w:lvl>
    <w:lvl w:ilvl="4" w:tentative="0">
      <w:start w:val="1"/>
      <w:numFmt w:val="bullet"/>
      <w:lvlText w:val="o"/>
      <w:lvlJc w:val="left"/>
      <w:pPr>
        <w:tabs>
          <w:tab w:val="left" w:pos="-726"/>
        </w:tabs>
        <w:ind w:left="2874" w:hanging="360"/>
      </w:pPr>
      <w:rPr>
        <w:rFonts w:hint="default" w:ascii="Courier New" w:hAnsi="Courier New" w:cs="Courier New"/>
      </w:rPr>
    </w:lvl>
    <w:lvl w:ilvl="5" w:tentative="0">
      <w:start w:val="1"/>
      <w:numFmt w:val="bullet"/>
      <w:lvlText w:val=""/>
      <w:lvlJc w:val="left"/>
      <w:pPr>
        <w:tabs>
          <w:tab w:val="left" w:pos="-726"/>
        </w:tabs>
        <w:ind w:left="3594" w:hanging="360"/>
      </w:pPr>
      <w:rPr>
        <w:rFonts w:hint="default" w:ascii="Wingdings" w:hAnsi="Wingdings" w:cs="Wingdings"/>
      </w:rPr>
    </w:lvl>
    <w:lvl w:ilvl="6" w:tentative="0">
      <w:start w:val="1"/>
      <w:numFmt w:val="bullet"/>
      <w:lvlText w:val=""/>
      <w:lvlJc w:val="left"/>
      <w:pPr>
        <w:tabs>
          <w:tab w:val="left" w:pos="-726"/>
        </w:tabs>
        <w:ind w:left="4314" w:hanging="360"/>
      </w:pPr>
      <w:rPr>
        <w:rFonts w:hint="default" w:ascii="Symbol" w:hAnsi="Symbol" w:cs="Symbol"/>
      </w:rPr>
    </w:lvl>
    <w:lvl w:ilvl="7" w:tentative="0">
      <w:start w:val="1"/>
      <w:numFmt w:val="bullet"/>
      <w:lvlText w:val="o"/>
      <w:lvlJc w:val="left"/>
      <w:pPr>
        <w:tabs>
          <w:tab w:val="left" w:pos="-726"/>
        </w:tabs>
        <w:ind w:left="5034" w:hanging="360"/>
      </w:pPr>
      <w:rPr>
        <w:rFonts w:hint="default" w:ascii="Courier New" w:hAnsi="Courier New" w:cs="Courier New"/>
      </w:rPr>
    </w:lvl>
    <w:lvl w:ilvl="8" w:tentative="0">
      <w:start w:val="1"/>
      <w:numFmt w:val="bullet"/>
      <w:lvlText w:val=""/>
      <w:lvlJc w:val="left"/>
      <w:pPr>
        <w:tabs>
          <w:tab w:val="left" w:pos="-726"/>
        </w:tabs>
        <w:ind w:left="5754" w:hanging="360"/>
      </w:pPr>
      <w:rPr>
        <w:rFonts w:hint="default" w:ascii="Wingdings" w:hAnsi="Wingdings" w:cs="Wingdings"/>
      </w:rPr>
    </w:lvl>
  </w:abstractNum>
  <w:abstractNum w:abstractNumId="74">
    <w:nsid w:val="4C2912F9"/>
    <w:multiLevelType w:val="multilevel"/>
    <w:tmpl w:val="4C2912F9"/>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75">
    <w:nsid w:val="4C577532"/>
    <w:multiLevelType w:val="multilevel"/>
    <w:tmpl w:val="4C577532"/>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6">
    <w:nsid w:val="4D585DC1"/>
    <w:multiLevelType w:val="multilevel"/>
    <w:tmpl w:val="4D585D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4E9C04E1"/>
    <w:multiLevelType w:val="multilevel"/>
    <w:tmpl w:val="4E9C0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8">
    <w:nsid w:val="4F257DE2"/>
    <w:multiLevelType w:val="multilevel"/>
    <w:tmpl w:val="4F257DE2"/>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9">
    <w:nsid w:val="4FAD651C"/>
    <w:multiLevelType w:val="multilevel"/>
    <w:tmpl w:val="4FAD651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0"/>
      <w:numFmt w:val="bullet"/>
      <w:lvlText w:val="•"/>
      <w:lvlJc w:val="left"/>
      <w:pPr>
        <w:ind w:left="1680" w:hanging="420"/>
      </w:pPr>
      <w:rPr>
        <w:rFonts w:hint="default" w:ascii="Times New Roman" w:hAnsi="Times New Roman" w:eastAsia="Times New Roman" w:cs="Times New Roman"/>
        <w:lang w:val="en-U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0">
    <w:nsid w:val="508C5326"/>
    <w:multiLevelType w:val="multilevel"/>
    <w:tmpl w:val="508C5326"/>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81">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2">
    <w:nsid w:val="519209D8"/>
    <w:multiLevelType w:val="multilevel"/>
    <w:tmpl w:val="519209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24902E5"/>
    <w:multiLevelType w:val="multilevel"/>
    <w:tmpl w:val="524902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29D24E4"/>
    <w:multiLevelType w:val="multilevel"/>
    <w:tmpl w:val="529D24E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5">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6">
    <w:nsid w:val="53C7396D"/>
    <w:multiLevelType w:val="multilevel"/>
    <w:tmpl w:val="53C7396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7">
    <w:nsid w:val="54BA21FC"/>
    <w:multiLevelType w:val="multilevel"/>
    <w:tmpl w:val="54BA21F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2"/>
      <w:numFmt w:val="bullet"/>
      <w:lvlText w:val="-"/>
      <w:lvlJc w:val="left"/>
      <w:pPr>
        <w:ind w:left="108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8">
    <w:nsid w:val="5624685A"/>
    <w:multiLevelType w:val="multilevel"/>
    <w:tmpl w:val="562468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9">
    <w:nsid w:val="567813E2"/>
    <w:multiLevelType w:val="multilevel"/>
    <w:tmpl w:val="567813E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0">
    <w:nsid w:val="56E976A0"/>
    <w:multiLevelType w:val="multilevel"/>
    <w:tmpl w:val="56E976A0"/>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1">
    <w:nsid w:val="5785521C"/>
    <w:multiLevelType w:val="multilevel"/>
    <w:tmpl w:val="578552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3">
    <w:nsid w:val="592C4004"/>
    <w:multiLevelType w:val="multilevel"/>
    <w:tmpl w:val="592C4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5B087EFE"/>
    <w:multiLevelType w:val="multilevel"/>
    <w:tmpl w:val="5B087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5BEA7556"/>
    <w:multiLevelType w:val="multilevel"/>
    <w:tmpl w:val="5BEA7556"/>
    <w:lvl w:ilvl="0" w:tentative="0">
      <w:start w:val="1"/>
      <w:numFmt w:val="bullet"/>
      <w:lvlText w:val="‐"/>
      <w:lvlJc w:val="left"/>
      <w:pPr>
        <w:ind w:left="400" w:hanging="400"/>
      </w:pPr>
      <w:rPr>
        <w:rFonts w:hint="eastAsia" w:ascii="宋体" w:hAnsi="宋体" w:eastAsia="宋体"/>
        <w:lang w:val="en-GB"/>
      </w:rPr>
    </w:lvl>
    <w:lvl w:ilvl="1" w:tentative="0">
      <w:start w:val="1"/>
      <w:numFmt w:val="bullet"/>
      <w:lvlText w:val="‐"/>
      <w:lvlJc w:val="left"/>
      <w:pPr>
        <w:ind w:left="709" w:hanging="400"/>
      </w:pPr>
      <w:rPr>
        <w:rFonts w:hint="eastAsia" w:ascii="宋体" w:hAnsi="宋体" w:eastAsia="宋体"/>
        <w:lang w:val="en-GB"/>
      </w:rPr>
    </w:lvl>
    <w:lvl w:ilvl="2" w:tentative="0">
      <w:start w:val="1"/>
      <w:numFmt w:val="bullet"/>
      <w:lvlText w:val=""/>
      <w:lvlJc w:val="left"/>
      <w:pPr>
        <w:ind w:left="1240" w:hanging="440"/>
      </w:pPr>
      <w:rPr>
        <w:rFonts w:hint="default" w:ascii="Symbol" w:hAnsi="Symbol"/>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96">
    <w:nsid w:val="5C6A15CC"/>
    <w:multiLevelType w:val="multilevel"/>
    <w:tmpl w:val="5C6A1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7">
    <w:nsid w:val="5D763755"/>
    <w:multiLevelType w:val="multilevel"/>
    <w:tmpl w:val="5D763755"/>
    <w:lvl w:ilvl="0" w:tentative="0">
      <w:start w:val="1"/>
      <w:numFmt w:val="decimal"/>
      <w:pStyle w:val="134"/>
      <w:lvlText w:val="Proposal %1: "/>
      <w:lvlJc w:val="left"/>
      <w:pPr>
        <w:ind w:left="420" w:hanging="420"/>
      </w:pPr>
      <w:rPr>
        <w:rFonts w:hint="eastAsia" w:ascii="Times New Roman" w:hAnsi="Times New Roman"/>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8">
    <w:nsid w:val="5E371FC3"/>
    <w:multiLevelType w:val="multilevel"/>
    <w:tmpl w:val="5E371FC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9">
    <w:nsid w:val="5E51153F"/>
    <w:multiLevelType w:val="multilevel"/>
    <w:tmpl w:val="5E51153F"/>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0">
    <w:nsid w:val="5F1912B1"/>
    <w:multiLevelType w:val="multilevel"/>
    <w:tmpl w:val="5F1912B1"/>
    <w:lvl w:ilvl="0" w:tentative="0">
      <w:start w:val="1"/>
      <w:numFmt w:val="bullet"/>
      <w:pStyle w:val="117"/>
      <w:lvlText w:val=""/>
      <w:lvlJc w:val="left"/>
      <w:pPr>
        <w:ind w:left="360" w:hanging="360"/>
      </w:pPr>
      <w:rPr>
        <w:rFonts w:hint="default" w:ascii="Symbol" w:hAnsi="Symbol"/>
      </w:rPr>
    </w:lvl>
    <w:lvl w:ilvl="1" w:tentative="0">
      <w:start w:val="1"/>
      <w:numFmt w:val="bullet"/>
      <w:pStyle w:val="118"/>
      <w:lvlText w:val="o"/>
      <w:lvlJc w:val="left"/>
      <w:pPr>
        <w:ind w:left="1080" w:hanging="360"/>
      </w:pPr>
      <w:rPr>
        <w:rFonts w:hint="default" w:ascii="Courier New" w:hAnsi="Courier New" w:cs="Courier New"/>
      </w:rPr>
    </w:lvl>
    <w:lvl w:ilvl="2" w:tentative="0">
      <w:start w:val="1"/>
      <w:numFmt w:val="bullet"/>
      <w:pStyle w:val="120"/>
      <w:lvlText w:val=""/>
      <w:lvlJc w:val="left"/>
      <w:pPr>
        <w:ind w:left="1800" w:hanging="360"/>
      </w:pPr>
      <w:rPr>
        <w:rFonts w:hint="default" w:ascii="Wingdings" w:hAnsi="Wingdings"/>
      </w:rPr>
    </w:lvl>
    <w:lvl w:ilvl="3" w:tentative="0">
      <w:start w:val="1"/>
      <w:numFmt w:val="bullet"/>
      <w:pStyle w:val="121"/>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1">
    <w:nsid w:val="618D318A"/>
    <w:multiLevelType w:val="multilevel"/>
    <w:tmpl w:val="618D31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62692C34"/>
    <w:multiLevelType w:val="multilevel"/>
    <w:tmpl w:val="62692C3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3">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240" w:hanging="360"/>
      </w:pPr>
      <w:rPr>
        <w:rFonts w:hint="eastAsia" w:ascii="Malgun Gothic" w:hAnsi="Malgun Gothic" w:eastAsia="Malgun Gothic"/>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4">
    <w:nsid w:val="64044BEF"/>
    <w:multiLevelType w:val="multilevel"/>
    <w:tmpl w:val="64044BE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6A29080D"/>
    <w:multiLevelType w:val="multilevel"/>
    <w:tmpl w:val="6A2908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6A7B4971"/>
    <w:multiLevelType w:val="multilevel"/>
    <w:tmpl w:val="6A7B497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08">
    <w:nsid w:val="6B2D7500"/>
    <w:multiLevelType w:val="multilevel"/>
    <w:tmpl w:val="6B2D7500"/>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109">
    <w:nsid w:val="6C9969A9"/>
    <w:multiLevelType w:val="multilevel"/>
    <w:tmpl w:val="6C996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6DD2FF54"/>
    <w:multiLevelType w:val="multilevel"/>
    <w:tmpl w:val="6DD2F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1">
    <w:nsid w:val="6DFC1D23"/>
    <w:multiLevelType w:val="multilevel"/>
    <w:tmpl w:val="6DFC1D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2">
    <w:nsid w:val="6ED12513"/>
    <w:multiLevelType w:val="multilevel"/>
    <w:tmpl w:val="6ED12513"/>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3">
    <w:nsid w:val="6F4A3EAD"/>
    <w:multiLevelType w:val="multilevel"/>
    <w:tmpl w:val="6F4A3EAD"/>
    <w:lvl w:ilvl="0" w:tentative="0">
      <w:start w:val="7"/>
      <w:numFmt w:val="bullet"/>
      <w:lvlText w:val="-"/>
      <w:lvlJc w:val="left"/>
      <w:pPr>
        <w:tabs>
          <w:tab w:val="left" w:pos="0"/>
        </w:tabs>
        <w:ind w:left="440" w:hanging="440"/>
      </w:pPr>
      <w:rPr>
        <w:rFonts w:hint="default" w:ascii="Times New Roman" w:hAnsi="Times New Roman" w:cs="Times New Roman" w:eastAsiaTheme="minorEastAsia"/>
      </w:rPr>
    </w:lvl>
    <w:lvl w:ilvl="1" w:tentative="0">
      <w:start w:val="7"/>
      <w:numFmt w:val="bullet"/>
      <w:lvlText w:val="-"/>
      <w:lvlJc w:val="left"/>
      <w:pPr>
        <w:tabs>
          <w:tab w:val="left" w:pos="0"/>
        </w:tabs>
        <w:ind w:left="880" w:hanging="440"/>
      </w:pPr>
      <w:rPr>
        <w:rFonts w:hint="default" w:ascii="Times New Roman" w:hAnsi="Times New Roman" w:cs="Times New Roman" w:eastAsiaTheme="minorEastAsia"/>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4">
    <w:nsid w:val="70163D6C"/>
    <w:multiLevelType w:val="multilevel"/>
    <w:tmpl w:val="70163D6C"/>
    <w:lvl w:ilvl="0" w:tentative="0">
      <w:start w:val="1"/>
      <w:numFmt w:val="bullet"/>
      <w:lvlText w:val=""/>
      <w:lvlJc w:val="left"/>
      <w:pPr>
        <w:tabs>
          <w:tab w:val="left" w:pos="-420"/>
        </w:tabs>
        <w:ind w:left="300" w:hanging="360"/>
      </w:pPr>
      <w:rPr>
        <w:rFonts w:hint="default" w:ascii="Symbol" w:hAnsi="Symbol"/>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115">
    <w:nsid w:val="73472E1C"/>
    <w:multiLevelType w:val="multilevel"/>
    <w:tmpl w:val="73472E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6">
    <w:nsid w:val="73600325"/>
    <w:multiLevelType w:val="multilevel"/>
    <w:tmpl w:val="73600325"/>
    <w:lvl w:ilvl="0" w:tentative="0">
      <w:start w:val="0"/>
      <w:numFmt w:val="bullet"/>
      <w:lvlText w:val="-"/>
      <w:lvlJc w:val="left"/>
      <w:pPr>
        <w:ind w:left="846" w:hanging="420"/>
      </w:pPr>
      <w:rPr>
        <w:rFonts w:hint="default" w:ascii="Arial" w:hAnsi="Arial" w:cs="Arial" w:eastAsiaTheme="minorHAnsi"/>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17">
    <w:nsid w:val="75940EAD"/>
    <w:multiLevelType w:val="multilevel"/>
    <w:tmpl w:val="75940EA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8">
    <w:nsid w:val="76B3138F"/>
    <w:multiLevelType w:val="multilevel"/>
    <w:tmpl w:val="76B3138F"/>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119">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0">
    <w:nsid w:val="776B1B08"/>
    <w:multiLevelType w:val="multilevel"/>
    <w:tmpl w:val="776B1B08"/>
    <w:lvl w:ilvl="0" w:tentative="0">
      <w:start w:val="1"/>
      <w:numFmt w:val="bullet"/>
      <w:lvlText w:val=""/>
      <w:lvlJc w:val="left"/>
      <w:pPr>
        <w:tabs>
          <w:tab w:val="left" w:pos="-1140"/>
        </w:tabs>
        <w:ind w:left="-720" w:hanging="420"/>
      </w:pPr>
      <w:rPr>
        <w:rFonts w:hint="default" w:ascii="Symbol" w:hAnsi="Symbol"/>
      </w:rPr>
    </w:lvl>
    <w:lvl w:ilvl="1" w:tentative="0">
      <w:start w:val="1"/>
      <w:numFmt w:val="bullet"/>
      <w:lvlText w:val="o"/>
      <w:lvlJc w:val="left"/>
      <w:pPr>
        <w:ind w:left="-280" w:hanging="440"/>
      </w:pPr>
      <w:rPr>
        <w:rFonts w:hint="default" w:ascii="Courier New" w:hAnsi="Courier New" w:cs="Courier New"/>
      </w:rPr>
    </w:lvl>
    <w:lvl w:ilvl="2" w:tentative="0">
      <w:start w:val="1"/>
      <w:numFmt w:val="bullet"/>
      <w:lvlText w:val=""/>
      <w:lvlJc w:val="left"/>
      <w:pPr>
        <w:tabs>
          <w:tab w:val="left" w:pos="-1140"/>
        </w:tabs>
        <w:ind w:left="120" w:hanging="420"/>
      </w:pPr>
      <w:rPr>
        <w:rFonts w:hint="default" w:ascii="Wingdings" w:hAnsi="Wingdings"/>
      </w:rPr>
    </w:lvl>
    <w:lvl w:ilvl="3" w:tentative="0">
      <w:start w:val="1"/>
      <w:numFmt w:val="bullet"/>
      <w:lvlText w:val=""/>
      <w:lvlJc w:val="left"/>
      <w:pPr>
        <w:tabs>
          <w:tab w:val="left" w:pos="-1140"/>
        </w:tabs>
        <w:ind w:left="540" w:hanging="420"/>
      </w:pPr>
      <w:rPr>
        <w:rFonts w:hint="default" w:ascii="Wingdings" w:hAnsi="Wingdings"/>
      </w:rPr>
    </w:lvl>
    <w:lvl w:ilvl="4" w:tentative="0">
      <w:start w:val="1"/>
      <w:numFmt w:val="bullet"/>
      <w:lvlText w:val=""/>
      <w:lvlJc w:val="left"/>
      <w:pPr>
        <w:tabs>
          <w:tab w:val="left" w:pos="-1140"/>
        </w:tabs>
        <w:ind w:left="960" w:hanging="420"/>
      </w:pPr>
      <w:rPr>
        <w:rFonts w:hint="default" w:ascii="Wingdings" w:hAnsi="Wingdings"/>
      </w:rPr>
    </w:lvl>
    <w:lvl w:ilvl="5" w:tentative="0">
      <w:start w:val="1"/>
      <w:numFmt w:val="bullet"/>
      <w:lvlText w:val=""/>
      <w:lvlJc w:val="left"/>
      <w:pPr>
        <w:tabs>
          <w:tab w:val="left" w:pos="-1140"/>
        </w:tabs>
        <w:ind w:left="1380" w:hanging="420"/>
      </w:pPr>
      <w:rPr>
        <w:rFonts w:hint="default" w:ascii="Wingdings" w:hAnsi="Wingdings"/>
      </w:rPr>
    </w:lvl>
    <w:lvl w:ilvl="6" w:tentative="0">
      <w:start w:val="1"/>
      <w:numFmt w:val="bullet"/>
      <w:lvlText w:val=""/>
      <w:lvlJc w:val="left"/>
      <w:pPr>
        <w:tabs>
          <w:tab w:val="left" w:pos="-1140"/>
        </w:tabs>
        <w:ind w:left="1800" w:hanging="420"/>
      </w:pPr>
      <w:rPr>
        <w:rFonts w:hint="default" w:ascii="Wingdings" w:hAnsi="Wingdings"/>
      </w:rPr>
    </w:lvl>
    <w:lvl w:ilvl="7" w:tentative="0">
      <w:start w:val="1"/>
      <w:numFmt w:val="bullet"/>
      <w:lvlText w:val=""/>
      <w:lvlJc w:val="left"/>
      <w:pPr>
        <w:tabs>
          <w:tab w:val="left" w:pos="-1140"/>
        </w:tabs>
        <w:ind w:left="2220" w:hanging="420"/>
      </w:pPr>
      <w:rPr>
        <w:rFonts w:hint="default" w:ascii="Wingdings" w:hAnsi="Wingdings"/>
      </w:rPr>
    </w:lvl>
    <w:lvl w:ilvl="8" w:tentative="0">
      <w:start w:val="1"/>
      <w:numFmt w:val="bullet"/>
      <w:lvlText w:val=""/>
      <w:lvlJc w:val="left"/>
      <w:pPr>
        <w:tabs>
          <w:tab w:val="left" w:pos="-1140"/>
        </w:tabs>
        <w:ind w:left="2640" w:hanging="420"/>
      </w:pPr>
      <w:rPr>
        <w:rFonts w:hint="default" w:ascii="Wingdings" w:hAnsi="Wingdings"/>
      </w:rPr>
    </w:lvl>
  </w:abstractNum>
  <w:abstractNum w:abstractNumId="121">
    <w:nsid w:val="78290BD6"/>
    <w:multiLevelType w:val="multilevel"/>
    <w:tmpl w:val="78290BD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2">
    <w:nsid w:val="78866FAA"/>
    <w:multiLevelType w:val="multilevel"/>
    <w:tmpl w:val="78866F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798A7717"/>
    <w:multiLevelType w:val="multilevel"/>
    <w:tmpl w:val="798A7717"/>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4">
    <w:nsid w:val="7C464D17"/>
    <w:multiLevelType w:val="multilevel"/>
    <w:tmpl w:val="7C464D17"/>
    <w:lvl w:ilvl="0" w:tentative="0">
      <w:start w:val="1"/>
      <w:numFmt w:val="bullet"/>
      <w:lvlText w:val="-"/>
      <w:lvlJc w:val="left"/>
      <w:pPr>
        <w:ind w:left="760" w:hanging="360"/>
      </w:pPr>
      <w:rPr>
        <w:rFonts w:hint="eastAsia" w:ascii="LG Smart_H Regular" w:hAnsi="LG Smart_H Regular" w:eastAsia="LG Smart_H Regular"/>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5">
    <w:nsid w:val="7C9F221A"/>
    <w:multiLevelType w:val="multilevel"/>
    <w:tmpl w:val="7C9F221A"/>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6">
    <w:nsid w:val="7E6374B5"/>
    <w:multiLevelType w:val="multilevel"/>
    <w:tmpl w:val="7E6374B5"/>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27">
    <w:nsid w:val="7EDC199C"/>
    <w:multiLevelType w:val="multilevel"/>
    <w:tmpl w:val="7EDC199C"/>
    <w:lvl w:ilvl="0" w:tentative="0">
      <w:start w:val="1"/>
      <w:numFmt w:val="bullet"/>
      <w:lvlText w:val="•"/>
      <w:lvlJc w:val="left"/>
      <w:pPr>
        <w:ind w:left="865" w:hanging="440"/>
      </w:pPr>
      <w:rPr>
        <w:rFonts w:hint="default" w:ascii="Arial" w:hAnsi="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28">
    <w:nsid w:val="7FF05BC2"/>
    <w:multiLevelType w:val="multilevel"/>
    <w:tmpl w:val="7FF05BC2"/>
    <w:lvl w:ilvl="0" w:tentative="0">
      <w:start w:val="0"/>
      <w:numFmt w:val="bullet"/>
      <w:lvlText w:val="-"/>
      <w:lvlJc w:val="left"/>
      <w:pPr>
        <w:ind w:left="720" w:hanging="360"/>
      </w:pPr>
      <w:rPr>
        <w:rFonts w:hint="default" w:ascii="Aptos" w:hAnsi="Aptos" w:eastAsia="Apto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0"/>
  </w:num>
  <w:num w:numId="2">
    <w:abstractNumId w:val="58"/>
  </w:num>
  <w:num w:numId="3">
    <w:abstractNumId w:val="100"/>
  </w:num>
  <w:num w:numId="4">
    <w:abstractNumId w:val="97"/>
  </w:num>
  <w:num w:numId="5">
    <w:abstractNumId w:val="10"/>
  </w:num>
  <w:num w:numId="6">
    <w:abstractNumId w:val="70"/>
  </w:num>
  <w:num w:numId="7">
    <w:abstractNumId w:val="45"/>
  </w:num>
  <w:num w:numId="8">
    <w:abstractNumId w:val="81"/>
  </w:num>
  <w:num w:numId="9">
    <w:abstractNumId w:val="92"/>
  </w:num>
  <w:num w:numId="10">
    <w:abstractNumId w:val="24"/>
  </w:num>
  <w:num w:numId="11">
    <w:abstractNumId w:val="101"/>
  </w:num>
  <w:num w:numId="12">
    <w:abstractNumId w:val="20"/>
  </w:num>
  <w:num w:numId="13">
    <w:abstractNumId w:val="4"/>
  </w:num>
  <w:num w:numId="14">
    <w:abstractNumId w:val="105"/>
  </w:num>
  <w:num w:numId="15">
    <w:abstractNumId w:val="119"/>
  </w:num>
  <w:num w:numId="16">
    <w:abstractNumId w:val="12"/>
  </w:num>
  <w:num w:numId="17">
    <w:abstractNumId w:val="85"/>
  </w:num>
  <w:num w:numId="18">
    <w:abstractNumId w:val="115"/>
  </w:num>
  <w:num w:numId="19">
    <w:abstractNumId w:val="86"/>
  </w:num>
  <w:num w:numId="20">
    <w:abstractNumId w:val="34"/>
  </w:num>
  <w:num w:numId="21">
    <w:abstractNumId w:val="107"/>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3"/>
  </w:num>
  <w:num w:numId="25">
    <w:abstractNumId w:val="117"/>
  </w:num>
  <w:num w:numId="26">
    <w:abstractNumId w:val="36"/>
  </w:num>
  <w:num w:numId="27">
    <w:abstractNumId w:val="39"/>
  </w:num>
  <w:num w:numId="28">
    <w:abstractNumId w:val="3"/>
  </w:num>
  <w:num w:numId="29">
    <w:abstractNumId w:val="43"/>
  </w:num>
  <w:num w:numId="30">
    <w:abstractNumId w:val="53"/>
  </w:num>
  <w:num w:numId="31">
    <w:abstractNumId w:val="77"/>
  </w:num>
  <w:num w:numId="32">
    <w:abstractNumId w:val="89"/>
  </w:num>
  <w:num w:numId="33">
    <w:abstractNumId w:val="65"/>
  </w:num>
  <w:num w:numId="34">
    <w:abstractNumId w:val="96"/>
  </w:num>
  <w:num w:numId="35">
    <w:abstractNumId w:val="18"/>
  </w:num>
  <w:num w:numId="36">
    <w:abstractNumId w:val="46"/>
  </w:num>
  <w:num w:numId="37">
    <w:abstractNumId w:val="31"/>
  </w:num>
  <w:num w:numId="38">
    <w:abstractNumId w:val="94"/>
  </w:num>
  <w:num w:numId="39">
    <w:abstractNumId w:val="83"/>
  </w:num>
  <w:num w:numId="40">
    <w:abstractNumId w:val="74"/>
  </w:num>
  <w:num w:numId="41">
    <w:abstractNumId w:val="116"/>
  </w:num>
  <w:num w:numId="42">
    <w:abstractNumId w:val="126"/>
  </w:num>
  <w:num w:numId="43">
    <w:abstractNumId w:val="22"/>
  </w:num>
  <w:num w:numId="44">
    <w:abstractNumId w:val="2"/>
  </w:num>
  <w:num w:numId="45">
    <w:abstractNumId w:val="61"/>
  </w:num>
  <w:num w:numId="46">
    <w:abstractNumId w:val="7"/>
  </w:num>
  <w:num w:numId="47">
    <w:abstractNumId w:val="98"/>
  </w:num>
  <w:num w:numId="48">
    <w:abstractNumId w:val="48"/>
  </w:num>
  <w:num w:numId="49">
    <w:abstractNumId w:val="69"/>
  </w:num>
  <w:num w:numId="50">
    <w:abstractNumId w:val="51"/>
  </w:num>
  <w:num w:numId="51">
    <w:abstractNumId w:val="72"/>
  </w:num>
  <w:num w:numId="52">
    <w:abstractNumId w:val="76"/>
  </w:num>
  <w:num w:numId="53">
    <w:abstractNumId w:val="11"/>
  </w:num>
  <w:num w:numId="54">
    <w:abstractNumId w:val="44"/>
  </w:num>
  <w:num w:numId="55">
    <w:abstractNumId w:val="104"/>
  </w:num>
  <w:num w:numId="56">
    <w:abstractNumId w:val="110"/>
  </w:num>
  <w:num w:numId="57">
    <w:abstractNumId w:val="26"/>
  </w:num>
  <w:num w:numId="58">
    <w:abstractNumId w:val="13"/>
  </w:num>
  <w:num w:numId="59">
    <w:abstractNumId w:val="73"/>
  </w:num>
  <w:num w:numId="60">
    <w:abstractNumId w:val="21"/>
  </w:num>
  <w:num w:numId="61">
    <w:abstractNumId w:val="30"/>
  </w:num>
  <w:num w:numId="62">
    <w:abstractNumId w:val="55"/>
  </w:num>
  <w:num w:numId="63">
    <w:abstractNumId w:val="47"/>
  </w:num>
  <w:num w:numId="64">
    <w:abstractNumId w:val="49"/>
  </w:num>
  <w:num w:numId="65">
    <w:abstractNumId w:val="79"/>
  </w:num>
  <w:num w:numId="66">
    <w:abstractNumId w:val="25"/>
  </w:num>
  <w:num w:numId="67">
    <w:abstractNumId w:val="95"/>
  </w:num>
  <w:num w:numId="68">
    <w:abstractNumId w:val="5"/>
  </w:num>
  <w:num w:numId="69">
    <w:abstractNumId w:val="32"/>
  </w:num>
  <w:num w:numId="70">
    <w:abstractNumId w:val="29"/>
  </w:num>
  <w:num w:numId="71">
    <w:abstractNumId w:val="14"/>
  </w:num>
  <w:num w:numId="72">
    <w:abstractNumId w:val="82"/>
  </w:num>
  <w:num w:numId="73">
    <w:abstractNumId w:val="33"/>
  </w:num>
  <w:num w:numId="74">
    <w:abstractNumId w:val="78"/>
  </w:num>
  <w:num w:numId="75">
    <w:abstractNumId w:val="125"/>
  </w:num>
  <w:num w:numId="76">
    <w:abstractNumId w:val="37"/>
  </w:num>
  <w:num w:numId="77">
    <w:abstractNumId w:val="57"/>
  </w:num>
  <w:num w:numId="78">
    <w:abstractNumId w:val="122"/>
  </w:num>
  <w:num w:numId="79">
    <w:abstractNumId w:val="17"/>
  </w:num>
  <w:num w:numId="80">
    <w:abstractNumId w:val="59"/>
  </w:num>
  <w:num w:numId="81">
    <w:abstractNumId w:val="28"/>
  </w:num>
  <w:num w:numId="82">
    <w:abstractNumId w:val="54"/>
  </w:num>
  <w:num w:numId="83">
    <w:abstractNumId w:val="15"/>
  </w:num>
  <w:num w:numId="84">
    <w:abstractNumId w:val="9"/>
  </w:num>
  <w:num w:numId="85">
    <w:abstractNumId w:val="41"/>
  </w:num>
  <w:num w:numId="86">
    <w:abstractNumId w:val="90"/>
  </w:num>
  <w:num w:numId="87">
    <w:abstractNumId w:val="42"/>
  </w:num>
  <w:num w:numId="88">
    <w:abstractNumId w:val="60"/>
  </w:num>
  <w:num w:numId="89">
    <w:abstractNumId w:val="120"/>
  </w:num>
  <w:num w:numId="90">
    <w:abstractNumId w:val="1"/>
  </w:num>
  <w:num w:numId="91">
    <w:abstractNumId w:val="121"/>
  </w:num>
  <w:num w:numId="92">
    <w:abstractNumId w:val="75"/>
  </w:num>
  <w:num w:numId="93">
    <w:abstractNumId w:val="56"/>
  </w:num>
  <w:num w:numId="94">
    <w:abstractNumId w:val="102"/>
  </w:num>
  <w:num w:numId="95">
    <w:abstractNumId w:val="128"/>
  </w:num>
  <w:num w:numId="96">
    <w:abstractNumId w:val="38"/>
  </w:num>
  <w:num w:numId="97">
    <w:abstractNumId w:val="124"/>
  </w:num>
  <w:num w:numId="98">
    <w:abstractNumId w:val="68"/>
  </w:num>
  <w:num w:numId="99">
    <w:abstractNumId w:val="91"/>
  </w:num>
  <w:num w:numId="100">
    <w:abstractNumId w:val="19"/>
  </w:num>
  <w:num w:numId="101">
    <w:abstractNumId w:val="88"/>
  </w:num>
  <w:num w:numId="102">
    <w:abstractNumId w:val="118"/>
  </w:num>
  <w:num w:numId="103">
    <w:abstractNumId w:val="71"/>
  </w:num>
  <w:num w:numId="104">
    <w:abstractNumId w:val="27"/>
  </w:num>
  <w:num w:numId="105">
    <w:abstractNumId w:val="114"/>
  </w:num>
  <w:num w:numId="106">
    <w:abstractNumId w:val="23"/>
  </w:num>
  <w:num w:numId="107">
    <w:abstractNumId w:val="112"/>
  </w:num>
  <w:num w:numId="108">
    <w:abstractNumId w:val="84"/>
  </w:num>
  <w:num w:numId="109">
    <w:abstractNumId w:val="103"/>
  </w:num>
  <w:num w:numId="110">
    <w:abstractNumId w:val="108"/>
  </w:num>
  <w:num w:numId="111">
    <w:abstractNumId w:val="113"/>
  </w:num>
  <w:num w:numId="112">
    <w:abstractNumId w:val="87"/>
  </w:num>
  <w:num w:numId="113">
    <w:abstractNumId w:val="62"/>
  </w:num>
  <w:num w:numId="114">
    <w:abstractNumId w:val="6"/>
  </w:num>
  <w:num w:numId="115">
    <w:abstractNumId w:val="16"/>
  </w:num>
  <w:num w:numId="116">
    <w:abstractNumId w:val="111"/>
  </w:num>
  <w:num w:numId="117">
    <w:abstractNumId w:val="80"/>
  </w:num>
  <w:num w:numId="118">
    <w:abstractNumId w:val="99"/>
  </w:num>
  <w:num w:numId="119">
    <w:abstractNumId w:val="67"/>
  </w:num>
  <w:num w:numId="120">
    <w:abstractNumId w:val="106"/>
  </w:num>
  <w:num w:numId="121">
    <w:abstractNumId w:val="93"/>
  </w:num>
  <w:num w:numId="122">
    <w:abstractNumId w:val="127"/>
  </w:num>
  <w:num w:numId="123">
    <w:abstractNumId w:val="63"/>
  </w:num>
  <w:num w:numId="124">
    <w:abstractNumId w:val="0"/>
  </w:num>
  <w:num w:numId="125">
    <w:abstractNumId w:val="66"/>
  </w:num>
  <w:num w:numId="126">
    <w:abstractNumId w:val="35"/>
  </w:num>
  <w:num w:numId="127">
    <w:abstractNumId w:val="52"/>
  </w:num>
  <w:num w:numId="128">
    <w:abstractNumId w:val="64"/>
  </w:num>
  <w:num w:numId="129">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removePersonalInformation/>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unhideWhenUsed="0" w:uiPriority="0" w:semiHidden="0" w:name="footer"/>
    <w:lsdException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6"/>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60"/>
    <w:qFormat/>
    <w:uiPriority w:val="0"/>
    <w:pPr>
      <w:keepNext/>
      <w:numPr>
        <w:ilvl w:val="2"/>
        <w:numId w:val="1"/>
      </w:numPr>
      <w:spacing w:after="50" w:afterLines="50"/>
      <w:outlineLvl w:val="2"/>
    </w:pPr>
    <w:rPr>
      <w:b/>
    </w:rPr>
  </w:style>
  <w:style w:type="paragraph" w:styleId="5">
    <w:name w:val="heading 4"/>
    <w:basedOn w:val="1"/>
    <w:next w:val="1"/>
    <w:link w:val="107"/>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index 8"/>
    <w:basedOn w:val="1"/>
    <w:next w:val="1"/>
    <w:autoRedefine/>
    <w:unhideWhenUsed/>
    <w:uiPriority w:val="0"/>
    <w:pPr>
      <w:ind w:left="1760" w:hanging="220"/>
    </w:pPr>
    <w:rPr>
      <w:rFonts w:asciiTheme="minorHAnsi" w:hAnsiTheme="minorHAnsi" w:cstheme="minorHAnsi"/>
      <w:sz w:val="18"/>
      <w:szCs w:val="18"/>
    </w:rPr>
  </w:style>
  <w:style w:type="paragraph" w:styleId="12">
    <w:name w:val="caption"/>
    <w:basedOn w:val="1"/>
    <w:next w:val="1"/>
    <w:link w:val="47"/>
    <w:qFormat/>
    <w:uiPriority w:val="0"/>
    <w:pPr>
      <w:jc w:val="center"/>
    </w:pPr>
    <w:rPr>
      <w:b/>
      <w:bCs/>
      <w:sz w:val="20"/>
      <w:szCs w:val="20"/>
    </w:rPr>
  </w:style>
  <w:style w:type="paragraph" w:styleId="13">
    <w:name w:val="index 5"/>
    <w:basedOn w:val="1"/>
    <w:next w:val="1"/>
    <w:autoRedefine/>
    <w:unhideWhenUsed/>
    <w:uiPriority w:val="0"/>
    <w:pPr>
      <w:ind w:left="1100" w:hanging="220"/>
    </w:pPr>
    <w:rPr>
      <w:rFonts w:asciiTheme="minorHAnsi" w:hAnsiTheme="minorHAnsi" w:cstheme="minorHAnsi"/>
      <w:sz w:val="18"/>
      <w:szCs w:val="18"/>
    </w:rPr>
  </w:style>
  <w:style w:type="paragraph" w:styleId="14">
    <w:name w:val="List Bullet"/>
    <w:basedOn w:val="15"/>
    <w:uiPriority w:val="0"/>
    <w:pPr>
      <w:spacing w:after="180"/>
      <w:ind w:left="568" w:hanging="284"/>
    </w:pPr>
    <w:rPr>
      <w:sz w:val="20"/>
      <w:szCs w:val="20"/>
      <w:lang w:val="en-GB"/>
    </w:rPr>
  </w:style>
  <w:style w:type="paragraph" w:styleId="15">
    <w:name w:val="List"/>
    <w:basedOn w:val="1"/>
    <w:uiPriority w:val="0"/>
    <w:pPr>
      <w:ind w:left="360" w:hanging="360"/>
    </w:pPr>
  </w:style>
  <w:style w:type="paragraph" w:styleId="16">
    <w:name w:val="Document Map"/>
    <w:basedOn w:val="1"/>
    <w:link w:val="64"/>
    <w:semiHidden/>
    <w:unhideWhenUsed/>
    <w:uiPriority w:val="0"/>
    <w:rPr>
      <w:rFonts w:ascii="Tahoma" w:hAnsi="Tahoma"/>
      <w:sz w:val="16"/>
      <w:szCs w:val="16"/>
    </w:rPr>
  </w:style>
  <w:style w:type="paragraph" w:styleId="17">
    <w:name w:val="annotation text"/>
    <w:basedOn w:val="1"/>
    <w:link w:val="56"/>
    <w:qFormat/>
    <w:uiPriority w:val="99"/>
    <w:rPr>
      <w:sz w:val="20"/>
      <w:szCs w:val="20"/>
    </w:rPr>
  </w:style>
  <w:style w:type="paragraph" w:styleId="18">
    <w:name w:val="index 6"/>
    <w:basedOn w:val="1"/>
    <w:next w:val="1"/>
    <w:autoRedefine/>
    <w:unhideWhenUsed/>
    <w:uiPriority w:val="0"/>
    <w:pPr>
      <w:ind w:left="1320" w:hanging="220"/>
    </w:pPr>
    <w:rPr>
      <w:rFonts w:asciiTheme="minorHAnsi" w:hAnsiTheme="minorHAnsi" w:cstheme="minorHAnsi"/>
      <w:sz w:val="18"/>
      <w:szCs w:val="18"/>
    </w:rPr>
  </w:style>
  <w:style w:type="paragraph" w:styleId="19">
    <w:name w:val="Body Text"/>
    <w:basedOn w:val="1"/>
    <w:link w:val="46"/>
    <w:uiPriority w:val="0"/>
    <w:rPr>
      <w:sz w:val="20"/>
      <w:szCs w:val="20"/>
    </w:rPr>
  </w:style>
  <w:style w:type="paragraph" w:styleId="20">
    <w:name w:val="index 4"/>
    <w:basedOn w:val="1"/>
    <w:next w:val="1"/>
    <w:autoRedefine/>
    <w:unhideWhenUsed/>
    <w:uiPriority w:val="0"/>
    <w:pPr>
      <w:ind w:left="880" w:hanging="220"/>
    </w:pPr>
    <w:rPr>
      <w:rFonts w:asciiTheme="minorHAnsi" w:hAnsiTheme="minorHAnsi" w:cstheme="minorHAnsi"/>
      <w:sz w:val="18"/>
      <w:szCs w:val="18"/>
    </w:rPr>
  </w:style>
  <w:style w:type="paragraph" w:styleId="21">
    <w:name w:val="index 3"/>
    <w:basedOn w:val="1"/>
    <w:next w:val="1"/>
    <w:autoRedefine/>
    <w:unhideWhenUsed/>
    <w:uiPriority w:val="0"/>
    <w:pPr>
      <w:ind w:left="660" w:hanging="220"/>
    </w:pPr>
    <w:rPr>
      <w:rFonts w:asciiTheme="minorHAnsi" w:hAnsiTheme="minorHAnsi" w:cstheme="minorHAnsi"/>
      <w:sz w:val="18"/>
      <w:szCs w:val="18"/>
    </w:rPr>
  </w:style>
  <w:style w:type="paragraph" w:styleId="22">
    <w:name w:val="Balloon Text"/>
    <w:basedOn w:val="1"/>
    <w:semiHidden/>
    <w:uiPriority w:val="0"/>
    <w:rPr>
      <w:rFonts w:ascii="Tahoma" w:hAnsi="Tahoma" w:cs="Tahoma"/>
      <w:sz w:val="16"/>
      <w:szCs w:val="16"/>
    </w:rPr>
  </w:style>
  <w:style w:type="paragraph" w:styleId="23">
    <w:name w:val="footer"/>
    <w:basedOn w:val="1"/>
    <w:link w:val="54"/>
    <w:uiPriority w:val="0"/>
    <w:pPr>
      <w:tabs>
        <w:tab w:val="center" w:pos="4680"/>
        <w:tab w:val="right" w:pos="9360"/>
      </w:tabs>
    </w:pPr>
  </w:style>
  <w:style w:type="paragraph" w:styleId="24">
    <w:name w:val="header"/>
    <w:basedOn w:val="1"/>
    <w:link w:val="53"/>
    <w:uiPriority w:val="0"/>
    <w:pPr>
      <w:tabs>
        <w:tab w:val="center" w:pos="4680"/>
        <w:tab w:val="right" w:pos="9360"/>
      </w:tabs>
    </w:pPr>
  </w:style>
  <w:style w:type="paragraph" w:styleId="25">
    <w:name w:val="toc 1"/>
    <w:basedOn w:val="1"/>
    <w:next w:val="1"/>
    <w:autoRedefine/>
    <w:unhideWhenUsed/>
    <w:qFormat/>
    <w:uiPriority w:val="39"/>
    <w:pPr>
      <w:tabs>
        <w:tab w:val="left" w:pos="1680"/>
        <w:tab w:val="right" w:pos="9736"/>
      </w:tabs>
      <w:adjustRightInd/>
      <w:snapToGrid/>
      <w:spacing w:after="180" w:line="0" w:lineRule="atLeast"/>
      <w:ind w:left="1707" w:hanging="1707" w:hangingChars="850"/>
    </w:pPr>
    <w:rPr>
      <w:rFonts w:eastAsia="Arial"/>
      <w:b/>
      <w:bCs/>
      <w:sz w:val="20"/>
      <w:szCs w:val="20"/>
      <w:lang w:val="en-GB" w:eastAsia="zh-CN"/>
    </w:rPr>
  </w:style>
  <w:style w:type="paragraph" w:styleId="26">
    <w:name w:val="index heading"/>
    <w:basedOn w:val="1"/>
    <w:next w:val="27"/>
    <w:unhideWhenUsed/>
    <w:uiPriority w:val="0"/>
    <w:pPr>
      <w:spacing w:before="240"/>
      <w:ind w:left="140"/>
    </w:pPr>
    <w:rPr>
      <w:rFonts w:asciiTheme="majorHAnsi" w:hAnsiTheme="majorHAnsi"/>
      <w:b/>
      <w:bCs/>
      <w:sz w:val="28"/>
      <w:szCs w:val="28"/>
    </w:rPr>
  </w:style>
  <w:style w:type="paragraph" w:styleId="27">
    <w:name w:val="index 1"/>
    <w:basedOn w:val="1"/>
    <w:next w:val="1"/>
    <w:autoRedefine/>
    <w:unhideWhenUsed/>
    <w:uiPriority w:val="0"/>
    <w:pPr>
      <w:ind w:left="220" w:hanging="220"/>
    </w:pPr>
    <w:rPr>
      <w:rFonts w:asciiTheme="minorHAnsi" w:hAnsiTheme="minorHAnsi" w:cstheme="minorHAnsi"/>
      <w:sz w:val="18"/>
      <w:szCs w:val="18"/>
    </w:rPr>
  </w:style>
  <w:style w:type="paragraph" w:styleId="28">
    <w:name w:val="footnote text"/>
    <w:basedOn w:val="1"/>
    <w:semiHidden/>
    <w:uiPriority w:val="0"/>
    <w:rPr>
      <w:sz w:val="20"/>
      <w:szCs w:val="20"/>
    </w:rPr>
  </w:style>
  <w:style w:type="paragraph" w:styleId="29">
    <w:name w:val="index 7"/>
    <w:basedOn w:val="1"/>
    <w:next w:val="1"/>
    <w:autoRedefine/>
    <w:unhideWhenUsed/>
    <w:uiPriority w:val="0"/>
    <w:pPr>
      <w:ind w:left="1540" w:hanging="220"/>
    </w:pPr>
    <w:rPr>
      <w:rFonts w:asciiTheme="minorHAnsi" w:hAnsiTheme="minorHAnsi" w:cstheme="minorHAnsi"/>
      <w:sz w:val="18"/>
      <w:szCs w:val="18"/>
    </w:rPr>
  </w:style>
  <w:style w:type="paragraph" w:styleId="30">
    <w:name w:val="index 9"/>
    <w:basedOn w:val="1"/>
    <w:next w:val="1"/>
    <w:autoRedefine/>
    <w:unhideWhenUsed/>
    <w:uiPriority w:val="0"/>
    <w:pPr>
      <w:ind w:left="1980" w:hanging="220"/>
    </w:pPr>
    <w:rPr>
      <w:rFonts w:asciiTheme="minorHAnsi" w:hAnsiTheme="minorHAnsi" w:cstheme="minorHAnsi"/>
      <w:sz w:val="18"/>
      <w:szCs w:val="18"/>
    </w:rPr>
  </w:style>
  <w:style w:type="paragraph" w:styleId="31">
    <w:name w:val="table of figures"/>
    <w:basedOn w:val="19"/>
    <w:next w:val="1"/>
    <w:uiPriority w:val="99"/>
    <w:pPr>
      <w:adjustRightInd/>
      <w:snapToGrid/>
      <w:spacing w:line="259" w:lineRule="auto"/>
      <w:ind w:left="1701" w:hanging="1701"/>
    </w:pPr>
    <w:rPr>
      <w:rFonts w:ascii="Arial" w:hAnsi="Arial" w:eastAsiaTheme="minorHAnsi" w:cstheme="minorBidi"/>
      <w:b/>
      <w:szCs w:val="22"/>
    </w:rPr>
  </w:style>
  <w:style w:type="paragraph" w:styleId="32">
    <w:name w:val="Body Text 2"/>
    <w:basedOn w:val="1"/>
    <w:uiPriority w:val="0"/>
    <w:rPr>
      <w:szCs w:val="20"/>
    </w:rPr>
  </w:style>
  <w:style w:type="paragraph" w:styleId="33">
    <w:name w:val="HTML Preformatted"/>
    <w:basedOn w:val="1"/>
    <w:link w:val="10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4">
    <w:name w:val="Normal (Web)"/>
    <w:basedOn w:val="1"/>
    <w:unhideWhenUsed/>
    <w:qFormat/>
    <w:uiPriority w:val="99"/>
    <w:pPr>
      <w:spacing w:before="100" w:beforeAutospacing="1" w:after="100" w:afterAutospacing="1"/>
    </w:pPr>
  </w:style>
  <w:style w:type="paragraph" w:styleId="35">
    <w:name w:val="index 2"/>
    <w:basedOn w:val="1"/>
    <w:next w:val="1"/>
    <w:autoRedefine/>
    <w:unhideWhenUsed/>
    <w:uiPriority w:val="0"/>
    <w:pPr>
      <w:ind w:left="440" w:hanging="220"/>
    </w:pPr>
    <w:rPr>
      <w:rFonts w:asciiTheme="minorHAnsi" w:hAnsiTheme="minorHAnsi" w:cstheme="minorHAnsi"/>
      <w:sz w:val="18"/>
      <w:szCs w:val="18"/>
    </w:rPr>
  </w:style>
  <w:style w:type="paragraph" w:styleId="36">
    <w:name w:val="annotation subject"/>
    <w:basedOn w:val="17"/>
    <w:next w:val="17"/>
    <w:link w:val="57"/>
    <w:uiPriority w:val="0"/>
    <w:rPr>
      <w:b/>
      <w:bCs/>
    </w:rPr>
  </w:style>
  <w:style w:type="table" w:styleId="38">
    <w:name w:val="Table Grid"/>
    <w:basedOn w:val="3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FollowedHyperlink"/>
    <w:uiPriority w:val="0"/>
    <w:rPr>
      <w:color w:val="800080"/>
      <w:u w:val="single"/>
    </w:rPr>
  </w:style>
  <w:style w:type="character" w:styleId="42">
    <w:name w:val="Emphasis"/>
    <w:basedOn w:val="39"/>
    <w:qFormat/>
    <w:uiPriority w:val="20"/>
    <w:rPr>
      <w:i/>
      <w:iCs/>
    </w:rPr>
  </w:style>
  <w:style w:type="character" w:styleId="43">
    <w:name w:val="Hyperlink"/>
    <w:uiPriority w:val="0"/>
    <w:rPr>
      <w:color w:val="0000FF"/>
      <w:u w:val="single"/>
    </w:rPr>
  </w:style>
  <w:style w:type="character" w:styleId="44">
    <w:name w:val="annotation reference"/>
    <w:qFormat/>
    <w:uiPriority w:val="0"/>
    <w:rPr>
      <w:sz w:val="16"/>
      <w:szCs w:val="16"/>
    </w:rPr>
  </w:style>
  <w:style w:type="character" w:styleId="45">
    <w:name w:val="footnote reference"/>
    <w:semiHidden/>
    <w:uiPriority w:val="0"/>
    <w:rPr>
      <w:vertAlign w:val="superscript"/>
    </w:rPr>
  </w:style>
  <w:style w:type="character" w:customStyle="1" w:styleId="46">
    <w:name w:val="Body Text Char"/>
    <w:basedOn w:val="39"/>
    <w:link w:val="19"/>
    <w:uiPriority w:val="0"/>
  </w:style>
  <w:style w:type="character" w:customStyle="1" w:styleId="47">
    <w:name w:val="Caption Char3"/>
    <w:link w:val="12"/>
    <w:qFormat/>
    <w:uiPriority w:val="0"/>
    <w:rPr>
      <w:b/>
      <w:bCs/>
    </w:rPr>
  </w:style>
  <w:style w:type="paragraph" w:customStyle="1" w:styleId="48">
    <w:name w:val="References"/>
    <w:basedOn w:val="1"/>
    <w:uiPriority w:val="0"/>
    <w:pPr>
      <w:numPr>
        <w:ilvl w:val="0"/>
        <w:numId w:val="2"/>
      </w:numPr>
      <w:spacing w:after="60"/>
    </w:pPr>
    <w:rPr>
      <w:sz w:val="20"/>
      <w:szCs w:val="16"/>
    </w:rPr>
  </w:style>
  <w:style w:type="paragraph" w:customStyle="1" w:styleId="49">
    <w:name w:val="1"/>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pPr>
  </w:style>
  <w:style w:type="character" w:customStyle="1" w:styleId="53">
    <w:name w:val="Header Char"/>
    <w:link w:val="24"/>
    <w:uiPriority w:val="0"/>
    <w:rPr>
      <w:sz w:val="22"/>
      <w:szCs w:val="22"/>
    </w:rPr>
  </w:style>
  <w:style w:type="character" w:customStyle="1" w:styleId="54">
    <w:name w:val="Footer Char"/>
    <w:link w:val="23"/>
    <w:uiPriority w:val="0"/>
    <w:rPr>
      <w:sz w:val="22"/>
      <w:szCs w:val="22"/>
    </w:rPr>
  </w:style>
  <w:style w:type="paragraph" w:customStyle="1" w:styleId="55">
    <w:name w:val="tablecol"/>
    <w:basedOn w:val="52"/>
    <w:qFormat/>
    <w:uiPriority w:val="0"/>
    <w:pPr>
      <w:jc w:val="center"/>
    </w:pPr>
    <w:rPr>
      <w:b/>
    </w:rPr>
  </w:style>
  <w:style w:type="character" w:customStyle="1" w:styleId="56">
    <w:name w:val="Comment Text Char"/>
    <w:basedOn w:val="39"/>
    <w:link w:val="17"/>
    <w:qFormat/>
    <w:uiPriority w:val="99"/>
  </w:style>
  <w:style w:type="character" w:customStyle="1" w:styleId="57">
    <w:name w:val="Comment Subject Char"/>
    <w:link w:val="36"/>
    <w:uiPriority w:val="0"/>
    <w:rPr>
      <w:b/>
      <w:bCs/>
    </w:rPr>
  </w:style>
  <w:style w:type="character" w:customStyle="1" w:styleId="58">
    <w:name w:val="Book Title1"/>
    <w:qFormat/>
    <w:uiPriority w:val="33"/>
    <w:rPr>
      <w:b/>
      <w:bCs/>
      <w:smallCaps/>
      <w:spacing w:val="5"/>
    </w:rPr>
  </w:style>
  <w:style w:type="paragraph" w:customStyle="1" w:styleId="59">
    <w:name w:val="Defaul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60">
    <w:name w:val="Heading 3 Char"/>
    <w:link w:val="4"/>
    <w:qFormat/>
    <w:uiPriority w:val="0"/>
    <w:rPr>
      <w:rFonts w:eastAsia="Times New Roman"/>
      <w:b/>
      <w:sz w:val="22"/>
      <w:szCs w:val="24"/>
    </w:rPr>
  </w:style>
  <w:style w:type="paragraph" w:customStyle="1" w:styleId="61">
    <w:name w:val="Revision1"/>
    <w:hidden/>
    <w:semiHidden/>
    <w:uiPriority w:val="99"/>
    <w:rPr>
      <w:rFonts w:ascii="Times New Roman" w:hAnsi="Times New Roman" w:eastAsia="宋体" w:cs="Times New Roman"/>
      <w:sz w:val="22"/>
      <w:szCs w:val="22"/>
      <w:lang w:val="en-US" w:eastAsia="en-US" w:bidi="ar-SA"/>
    </w:rPr>
  </w:style>
  <w:style w:type="paragraph" w:customStyle="1" w:styleId="62">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3">
    <w:name w:val="List Paragraph"/>
    <w:basedOn w:val="1"/>
    <w:link w:val="65"/>
    <w:qFormat/>
    <w:uiPriority w:val="34"/>
    <w:pPr>
      <w:ind w:left="420"/>
    </w:pPr>
  </w:style>
  <w:style w:type="character" w:customStyle="1" w:styleId="64">
    <w:name w:val="Document Map Char"/>
    <w:link w:val="16"/>
    <w:semiHidden/>
    <w:uiPriority w:val="0"/>
    <w:rPr>
      <w:rFonts w:ascii="Tahoma" w:hAnsi="Tahoma" w:cs="Tahoma"/>
      <w:sz w:val="16"/>
      <w:szCs w:val="16"/>
    </w:rPr>
  </w:style>
  <w:style w:type="character" w:customStyle="1" w:styleId="65">
    <w:name w:val="List Paragraph Char"/>
    <w:link w:val="63"/>
    <w:qFormat/>
    <w:uiPriority w:val="34"/>
    <w:rPr>
      <w:rFonts w:eastAsia="Times New Roman"/>
      <w:sz w:val="24"/>
      <w:szCs w:val="24"/>
      <w:lang w:eastAsia="zh-CN"/>
    </w:rPr>
  </w:style>
  <w:style w:type="character" w:customStyle="1" w:styleId="66">
    <w:name w:val="Heading 2 Char"/>
    <w:basedOn w:val="39"/>
    <w:link w:val="3"/>
    <w:uiPriority w:val="0"/>
    <w:rPr>
      <w:rFonts w:eastAsia="Times New Roman"/>
      <w:b/>
      <w:bCs/>
      <w:sz w:val="22"/>
      <w:szCs w:val="24"/>
    </w:rPr>
  </w:style>
  <w:style w:type="character" w:styleId="67">
    <w:name w:val="Placeholder Text"/>
    <w:basedOn w:val="39"/>
    <w:semiHidden/>
    <w:uiPriority w:val="99"/>
    <w:rPr>
      <w:color w:val="808080"/>
    </w:rPr>
  </w:style>
  <w:style w:type="table" w:customStyle="1" w:styleId="68">
    <w:name w:val="Table Style"/>
    <w:basedOn w:val="37"/>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9">
    <w:name w:val="TableGrid11"/>
    <w:basedOn w:val="37"/>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Texts"/>
    <w:basedOn w:val="1"/>
    <w:link w:val="71"/>
    <w:qFormat/>
    <w:uiPriority w:val="0"/>
    <w:pPr>
      <w:keepLines/>
      <w:widowControl w:val="0"/>
      <w:autoSpaceDE w:val="0"/>
      <w:autoSpaceDN w:val="0"/>
      <w:jc w:val="center"/>
    </w:pPr>
    <w:rPr>
      <w:rFonts w:eastAsia="等线"/>
      <w:lang w:val="en-GB"/>
    </w:rPr>
  </w:style>
  <w:style w:type="character" w:customStyle="1" w:styleId="71">
    <w:name w:val="Table Texts Char"/>
    <w:basedOn w:val="39"/>
    <w:link w:val="70"/>
    <w:uiPriority w:val="0"/>
    <w:rPr>
      <w:rFonts w:eastAsia="等线"/>
      <w:sz w:val="24"/>
      <w:szCs w:val="24"/>
      <w:lang w:val="en-GB" w:eastAsia="zh-CN"/>
    </w:rPr>
  </w:style>
  <w:style w:type="paragraph" w:customStyle="1" w:styleId="72">
    <w:name w:val="Image"/>
    <w:basedOn w:val="73"/>
    <w:link w:val="74"/>
    <w:qFormat/>
    <w:uiPriority w:val="0"/>
    <w:pPr>
      <w:widowControl w:val="0"/>
      <w:autoSpaceDE w:val="0"/>
      <w:autoSpaceDN w:val="0"/>
      <w:adjustRightInd w:val="0"/>
      <w:spacing w:beforeLines="0"/>
      <w:jc w:val="center"/>
    </w:pPr>
    <w:rPr>
      <w:sz w:val="21"/>
      <w:szCs w:val="21"/>
    </w:rPr>
  </w:style>
  <w:style w:type="paragraph" w:styleId="73">
    <w:name w:val="No Spacing"/>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4">
    <w:name w:val="Image Char"/>
    <w:basedOn w:val="39"/>
    <w:link w:val="72"/>
    <w:uiPriority w:val="0"/>
    <w:rPr>
      <w:rFonts w:eastAsia="Times New Roman"/>
      <w:sz w:val="21"/>
      <w:szCs w:val="21"/>
      <w:lang w:eastAsia="zh-CN"/>
    </w:rPr>
  </w:style>
  <w:style w:type="character" w:customStyle="1" w:styleId="75">
    <w:name w:val="Caption Char1"/>
    <w:qFormat/>
    <w:uiPriority w:val="0"/>
    <w:rPr>
      <w:rFonts w:ascii="Times New Roman" w:hAnsi="Times New Roman" w:eastAsia="Times"/>
      <w:lang w:val="en-GB" w:eastAsia="en-US"/>
    </w:rPr>
  </w:style>
  <w:style w:type="table" w:customStyle="1" w:styleId="76">
    <w:name w:val="TableGrid1"/>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Grid2"/>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9">
    <w:name w:val="Table Normal1"/>
    <w:basedOn w:val="37"/>
    <w:semiHidden/>
    <w:uiPriority w:val="0"/>
  </w:style>
  <w:style w:type="paragraph" w:customStyle="1" w:styleId="80">
    <w:name w:val="正文1"/>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81">
    <w:name w:val="katex-mathml"/>
    <w:basedOn w:val="39"/>
    <w:uiPriority w:val="0"/>
  </w:style>
  <w:style w:type="character" w:customStyle="1" w:styleId="82">
    <w:name w:val="mord"/>
    <w:basedOn w:val="39"/>
    <w:uiPriority w:val="0"/>
  </w:style>
  <w:style w:type="character" w:customStyle="1" w:styleId="83">
    <w:name w:val="mrel"/>
    <w:basedOn w:val="39"/>
    <w:uiPriority w:val="0"/>
  </w:style>
  <w:style w:type="character" w:customStyle="1" w:styleId="84">
    <w:name w:val="vlist-s"/>
    <w:basedOn w:val="39"/>
    <w:uiPriority w:val="0"/>
  </w:style>
  <w:style w:type="character" w:customStyle="1" w:styleId="85">
    <w:name w:val="mpunct"/>
    <w:basedOn w:val="39"/>
    <w:uiPriority w:val="0"/>
  </w:style>
  <w:style w:type="paragraph" w:customStyle="1" w:styleId="86">
    <w:name w:val="TAC"/>
    <w:basedOn w:val="1"/>
    <w:link w:val="87"/>
    <w:qFormat/>
    <w:uiPriority w:val="0"/>
    <w:pPr>
      <w:keepNext/>
      <w:keepLines/>
      <w:jc w:val="center"/>
    </w:pPr>
    <w:rPr>
      <w:rFonts w:ascii="Arial" w:hAnsi="Arial" w:eastAsia="Times"/>
      <w:sz w:val="18"/>
      <w:szCs w:val="20"/>
      <w:lang w:val="en-GB" w:eastAsia="en-US"/>
    </w:rPr>
  </w:style>
  <w:style w:type="character" w:customStyle="1" w:styleId="87">
    <w:name w:val="TAC Char"/>
    <w:link w:val="86"/>
    <w:qFormat/>
    <w:uiPriority w:val="0"/>
    <w:rPr>
      <w:rFonts w:ascii="Arial" w:hAnsi="Arial" w:eastAsia="Times"/>
      <w:sz w:val="18"/>
      <w:lang w:val="en-GB"/>
    </w:rPr>
  </w:style>
  <w:style w:type="character" w:customStyle="1" w:styleId="88">
    <w:name w:val="Heading 7 Char"/>
    <w:basedOn w:val="39"/>
    <w:uiPriority w:val="0"/>
    <w:rPr>
      <w:rFonts w:hint="default" w:ascii="Times New Roman" w:hAnsi="Times New Roman" w:eastAsia="Times New Roman" w:cs="Times New Roman"/>
      <w:sz w:val="24"/>
      <w:szCs w:val="24"/>
      <w:lang w:eastAsia="zh-CN"/>
    </w:rPr>
  </w:style>
  <w:style w:type="character" w:customStyle="1" w:styleId="89">
    <w:name w:val="Heading 4 Char"/>
    <w:basedOn w:val="39"/>
    <w:uiPriority w:val="0"/>
    <w:rPr>
      <w:rFonts w:hint="default" w:ascii="Times New Roman" w:hAnsi="Times New Roman" w:eastAsia="Times New Roman" w:cs="Times New Roman"/>
      <w:b/>
      <w:bCs/>
      <w:sz w:val="24"/>
      <w:szCs w:val="28"/>
      <w:lang w:eastAsia="zh-CN"/>
    </w:rPr>
  </w:style>
  <w:style w:type="character" w:customStyle="1" w:styleId="90">
    <w:name w:val="Heading 8 Char"/>
    <w:basedOn w:val="39"/>
    <w:uiPriority w:val="0"/>
    <w:rPr>
      <w:rFonts w:hint="default" w:ascii="Times New Roman" w:hAnsi="Times New Roman" w:eastAsia="Times New Roman" w:cs="Times New Roman"/>
      <w:i/>
      <w:iCs/>
      <w:sz w:val="24"/>
      <w:szCs w:val="24"/>
      <w:lang w:eastAsia="zh-CN"/>
    </w:rPr>
  </w:style>
  <w:style w:type="character" w:customStyle="1" w:styleId="91">
    <w:name w:val="Heading 5 Char"/>
    <w:basedOn w:val="39"/>
    <w:uiPriority w:val="0"/>
    <w:rPr>
      <w:rFonts w:hint="default" w:ascii="Times New Roman" w:hAnsi="Times New Roman" w:eastAsia="Times New Roman" w:cs="Times New Roman"/>
      <w:b/>
      <w:bCs/>
      <w:i/>
      <w:iCs/>
      <w:sz w:val="24"/>
      <w:szCs w:val="26"/>
      <w:lang w:eastAsia="zh-CN"/>
    </w:rPr>
  </w:style>
  <w:style w:type="character" w:customStyle="1" w:styleId="92">
    <w:name w:val="Heading 1 Char"/>
    <w:basedOn w:val="39"/>
    <w:uiPriority w:val="0"/>
    <w:rPr>
      <w:rFonts w:hint="default" w:ascii="Times New Roman" w:hAnsi="Times New Roman" w:eastAsia="Times New Roman" w:cs="Times New Roman"/>
      <w:b/>
      <w:bCs/>
      <w:sz w:val="28"/>
      <w:szCs w:val="28"/>
      <w:lang w:eastAsia="zh-CN"/>
    </w:rPr>
  </w:style>
  <w:style w:type="character" w:customStyle="1" w:styleId="93">
    <w:name w:val="Heading 9 Char"/>
    <w:basedOn w:val="39"/>
    <w:uiPriority w:val="0"/>
    <w:rPr>
      <w:rFonts w:ascii="Arial" w:hAnsi="Arial" w:eastAsia="Times New Roman" w:cs="Arial"/>
      <w:sz w:val="24"/>
      <w:szCs w:val="24"/>
      <w:lang w:eastAsia="zh-CN"/>
    </w:rPr>
  </w:style>
  <w:style w:type="character" w:customStyle="1" w:styleId="94">
    <w:name w:val="Heading 6 Char"/>
    <w:basedOn w:val="39"/>
    <w:uiPriority w:val="0"/>
    <w:rPr>
      <w:rFonts w:hint="default" w:ascii="Times New Roman" w:hAnsi="Times New Roman" w:eastAsia="Times New Roman" w:cs="Times New Roman"/>
      <w:b/>
      <w:bCs/>
      <w:sz w:val="24"/>
      <w:szCs w:val="24"/>
      <w:lang w:eastAsia="zh-CN"/>
    </w:rPr>
  </w:style>
  <w:style w:type="table" w:customStyle="1" w:styleId="95">
    <w:name w:val="Table Normal2"/>
    <w:basedOn w:val="37"/>
    <w:semiHidden/>
    <w:uiPriority w:val="0"/>
    <w:rPr>
      <w:lang w:eastAsia="en-US"/>
    </w:rPr>
  </w:style>
  <w:style w:type="character" w:customStyle="1" w:styleId="96">
    <w:name w:val="Caption Char"/>
    <w:basedOn w:val="39"/>
    <w:uiPriority w:val="0"/>
    <w:rPr>
      <w:rFonts w:hint="default" w:ascii="Times New Roman" w:hAnsi="Times New Roman" w:eastAsia="Times New Roman" w:cs="Times New Roman"/>
      <w:b/>
      <w:bCs/>
      <w:lang w:eastAsia="zh-CN"/>
    </w:rPr>
  </w:style>
  <w:style w:type="character" w:customStyle="1" w:styleId="97">
    <w:name w:val="TAL Char"/>
    <w:link w:val="98"/>
    <w:qFormat/>
    <w:locked/>
    <w:uiPriority w:val="0"/>
    <w:rPr>
      <w:rFonts w:ascii="Arial" w:hAnsi="Arial" w:cs="Arial"/>
      <w:sz w:val="18"/>
      <w:lang w:val="en-GB"/>
    </w:rPr>
  </w:style>
  <w:style w:type="paragraph" w:customStyle="1" w:styleId="98">
    <w:name w:val="TAL"/>
    <w:basedOn w:val="1"/>
    <w:link w:val="97"/>
    <w:qFormat/>
    <w:uiPriority w:val="0"/>
    <w:pPr>
      <w:keepNext/>
      <w:keepLines/>
    </w:pPr>
    <w:rPr>
      <w:rFonts w:ascii="Arial" w:hAnsi="Arial" w:eastAsia="宋体" w:cs="Arial"/>
      <w:sz w:val="18"/>
      <w:szCs w:val="20"/>
      <w:lang w:val="en-GB"/>
    </w:rPr>
  </w:style>
  <w:style w:type="character" w:customStyle="1" w:styleId="99">
    <w:name w:val="TAH Car"/>
    <w:link w:val="100"/>
    <w:qFormat/>
    <w:locked/>
    <w:uiPriority w:val="0"/>
    <w:rPr>
      <w:rFonts w:ascii="Arial" w:hAnsi="Arial" w:cs="Arial"/>
      <w:b/>
      <w:sz w:val="18"/>
      <w:lang w:val="en-GB"/>
    </w:rPr>
  </w:style>
  <w:style w:type="paragraph" w:customStyle="1" w:styleId="100">
    <w:name w:val="TAH"/>
    <w:basedOn w:val="1"/>
    <w:link w:val="99"/>
    <w:qFormat/>
    <w:uiPriority w:val="0"/>
    <w:pPr>
      <w:keepNext/>
      <w:keepLines/>
      <w:jc w:val="center"/>
    </w:pPr>
    <w:rPr>
      <w:rFonts w:ascii="Arial" w:hAnsi="Arial" w:eastAsia="宋体" w:cs="Arial"/>
      <w:b/>
      <w:sz w:val="18"/>
      <w:szCs w:val="20"/>
      <w:lang w:val="en-GB"/>
    </w:rPr>
  </w:style>
  <w:style w:type="paragraph" w:customStyle="1" w:styleId="101">
    <w:name w:val="Revision"/>
    <w:hidden/>
    <w:semiHidden/>
    <w:uiPriority w:val="99"/>
    <w:rPr>
      <w:rFonts w:ascii="Times New Roman" w:hAnsi="Times New Roman" w:eastAsia="Times New Roman" w:cs="Times New Roman"/>
      <w:sz w:val="24"/>
      <w:szCs w:val="24"/>
      <w:lang w:val="en-US" w:eastAsia="zh-CN" w:bidi="ar-SA"/>
    </w:rPr>
  </w:style>
  <w:style w:type="paragraph" w:customStyle="1" w:styleId="102">
    <w:name w:val="TAN"/>
    <w:basedOn w:val="1"/>
    <w:link w:val="104"/>
    <w:qFormat/>
    <w:uiPriority w:val="0"/>
    <w:pPr>
      <w:keepNext/>
      <w:keepLines/>
      <w:ind w:left="851" w:hanging="851"/>
    </w:pPr>
    <w:rPr>
      <w:rFonts w:ascii="Arial" w:hAnsi="Arial" w:eastAsiaTheme="minorEastAsia"/>
      <w:sz w:val="18"/>
      <w:szCs w:val="20"/>
      <w:lang w:val="en-GB" w:eastAsia="en-US"/>
    </w:rPr>
  </w:style>
  <w:style w:type="paragraph" w:customStyle="1" w:styleId="103">
    <w:name w:val="x_msonormal"/>
    <w:basedOn w:val="1"/>
    <w:qFormat/>
    <w:uiPriority w:val="0"/>
    <w:rPr>
      <w:rFonts w:ascii="Calibri" w:hAnsi="Calibri" w:eastAsia="宋体" w:cs="Calibri"/>
      <w:szCs w:val="22"/>
    </w:rPr>
  </w:style>
  <w:style w:type="character" w:customStyle="1" w:styleId="104">
    <w:name w:val="TAN Char"/>
    <w:link w:val="102"/>
    <w:qFormat/>
    <w:uiPriority w:val="0"/>
    <w:rPr>
      <w:rFonts w:ascii="Arial" w:hAnsi="Arial" w:eastAsiaTheme="minorEastAsia"/>
      <w:sz w:val="18"/>
      <w:lang w:val="en-GB" w:eastAsia="en-US"/>
    </w:rPr>
  </w:style>
  <w:style w:type="character" w:customStyle="1" w:styleId="105">
    <w:name w:val="HTML Preformatted Char"/>
    <w:basedOn w:val="39"/>
    <w:link w:val="33"/>
    <w:semiHidden/>
    <w:uiPriority w:val="99"/>
    <w:rPr>
      <w:rFonts w:ascii="宋体" w:hAnsi="宋体" w:cs="宋体"/>
      <w:sz w:val="24"/>
      <w:szCs w:val="24"/>
    </w:rPr>
  </w:style>
  <w:style w:type="table" w:customStyle="1" w:styleId="106">
    <w:name w:val="Grid Table 1 Light1"/>
    <w:basedOn w:val="37"/>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Heading 4 Char1"/>
    <w:basedOn w:val="39"/>
    <w:link w:val="5"/>
    <w:uiPriority w:val="0"/>
    <w:rPr>
      <w:rFonts w:eastAsia="Times New Roman"/>
      <w:b/>
      <w:bCs/>
      <w:sz w:val="22"/>
      <w:szCs w:val="28"/>
    </w:rPr>
  </w:style>
  <w:style w:type="paragraph" w:customStyle="1" w:styleId="108">
    <w:name w:val="B2"/>
    <w:basedOn w:val="1"/>
    <w:uiPriority w:val="0"/>
    <w:pPr>
      <w:spacing w:after="180"/>
      <w:ind w:left="851" w:hanging="284"/>
    </w:pPr>
    <w:rPr>
      <w:rFonts w:eastAsia="等线"/>
      <w:sz w:val="20"/>
      <w:szCs w:val="20"/>
      <w:lang w:val="en-GB" w:eastAsia="en-US"/>
    </w:rPr>
  </w:style>
  <w:style w:type="paragraph" w:customStyle="1" w:styleId="109">
    <w:name w:val="B3"/>
    <w:basedOn w:val="1"/>
    <w:uiPriority w:val="0"/>
    <w:pPr>
      <w:spacing w:after="180"/>
      <w:ind w:left="1135" w:hanging="284"/>
    </w:pPr>
    <w:rPr>
      <w:rFonts w:eastAsia="等线"/>
      <w:sz w:val="20"/>
      <w:szCs w:val="20"/>
      <w:lang w:val="en-GB" w:eastAsia="en-US"/>
    </w:rPr>
  </w:style>
  <w:style w:type="paragraph" w:customStyle="1" w:styleId="110">
    <w:name w:val="Doc-text2"/>
    <w:basedOn w:val="1"/>
    <w:link w:val="111"/>
    <w:qFormat/>
    <w:uiPriority w:val="0"/>
    <w:pPr>
      <w:tabs>
        <w:tab w:val="left" w:pos="1622"/>
      </w:tabs>
      <w:ind w:left="1622" w:hanging="363"/>
    </w:pPr>
    <w:rPr>
      <w:rFonts w:ascii="Arial" w:hAnsi="Arial" w:eastAsia="MS Mincho"/>
      <w:sz w:val="20"/>
      <w:lang w:val="en-GB" w:eastAsia="en-GB"/>
    </w:rPr>
  </w:style>
  <w:style w:type="character" w:customStyle="1" w:styleId="111">
    <w:name w:val="Doc-text2 Char"/>
    <w:basedOn w:val="39"/>
    <w:link w:val="110"/>
    <w:qFormat/>
    <w:uiPriority w:val="0"/>
    <w:rPr>
      <w:rFonts w:ascii="Arial" w:hAnsi="Arial" w:eastAsia="MS Mincho"/>
      <w:szCs w:val="24"/>
      <w:lang w:val="en-GB" w:eastAsia="en-GB"/>
    </w:rPr>
  </w:style>
  <w:style w:type="paragraph" w:customStyle="1" w:styleId="112">
    <w:name w:val="B1"/>
    <w:basedOn w:val="15"/>
    <w:link w:val="113"/>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3">
    <w:name w:val="B1 Char1"/>
    <w:link w:val="112"/>
    <w:qFormat/>
    <w:uiPriority w:val="0"/>
    <w:rPr>
      <w:rFonts w:eastAsia="Times New Roman"/>
      <w:lang w:val="en-GB" w:eastAsia="en-GB"/>
    </w:rPr>
  </w:style>
  <w:style w:type="table" w:customStyle="1" w:styleId="114">
    <w:name w:val="Grid Table 6 Colorful1"/>
    <w:basedOn w:val="37"/>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5">
    <w:name w:val="ui-provider"/>
    <w:basedOn w:val="39"/>
    <w:qFormat/>
    <w:uiPriority w:val="0"/>
  </w:style>
  <w:style w:type="table" w:customStyle="1" w:styleId="116">
    <w:name w:val="网格型1"/>
    <w:basedOn w:val="37"/>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bullet1"/>
    <w:basedOn w:val="1"/>
    <w:link w:val="119"/>
    <w:qFormat/>
    <w:uiPriority w:val="0"/>
    <w:pPr>
      <w:numPr>
        <w:ilvl w:val="0"/>
        <w:numId w:val="3"/>
      </w:numPr>
      <w:adjustRightInd/>
      <w:snapToGrid/>
      <w:spacing w:after="0" w:line="278" w:lineRule="auto"/>
      <w:jc w:val="both"/>
    </w:pPr>
    <w:rPr>
      <w:rFonts w:eastAsia="Batang"/>
      <w:szCs w:val="28"/>
      <w:lang w:eastAsia="en-US"/>
    </w:rPr>
  </w:style>
  <w:style w:type="paragraph" w:customStyle="1" w:styleId="118">
    <w:name w:val="bullet2"/>
    <w:basedOn w:val="1"/>
    <w:link w:val="122"/>
    <w:qFormat/>
    <w:uiPriority w:val="0"/>
    <w:pPr>
      <w:numPr>
        <w:ilvl w:val="1"/>
        <w:numId w:val="3"/>
      </w:numPr>
      <w:adjustRightInd/>
      <w:snapToGrid/>
      <w:spacing w:after="0" w:line="278" w:lineRule="auto"/>
      <w:jc w:val="both"/>
    </w:pPr>
    <w:rPr>
      <w:rFonts w:eastAsia="Batang"/>
      <w:lang w:eastAsia="en-US"/>
    </w:rPr>
  </w:style>
  <w:style w:type="character" w:customStyle="1" w:styleId="119">
    <w:name w:val="bullet1 Char"/>
    <w:link w:val="117"/>
    <w:qFormat/>
    <w:uiPriority w:val="0"/>
    <w:rPr>
      <w:rFonts w:eastAsia="Batang"/>
      <w:sz w:val="22"/>
      <w:szCs w:val="28"/>
      <w:lang w:eastAsia="en-US"/>
    </w:rPr>
  </w:style>
  <w:style w:type="paragraph" w:customStyle="1" w:styleId="120">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21">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2">
    <w:name w:val="bullet2 Char"/>
    <w:link w:val="118"/>
    <w:qFormat/>
    <w:uiPriority w:val="0"/>
    <w:rPr>
      <w:rFonts w:eastAsia="Batang"/>
      <w:sz w:val="22"/>
      <w:szCs w:val="24"/>
      <w:lang w:eastAsia="en-US"/>
    </w:rPr>
  </w:style>
  <w:style w:type="paragraph" w:customStyle="1" w:styleId="123">
    <w:name w:val="0 Main text"/>
    <w:basedOn w:val="1"/>
    <w:link w:val="124"/>
    <w:qFormat/>
    <w:uiPriority w:val="0"/>
    <w:pPr>
      <w:adjustRightInd/>
      <w:snapToGrid/>
      <w:spacing w:after="100" w:afterAutospacing="1" w:line="288" w:lineRule="auto"/>
      <w:ind w:firstLine="360"/>
      <w:jc w:val="both"/>
    </w:pPr>
    <w:rPr>
      <w:rFonts w:cs="Batang"/>
      <w:sz w:val="20"/>
      <w:szCs w:val="20"/>
      <w:lang w:val="en-GB" w:eastAsia="en-US"/>
    </w:rPr>
  </w:style>
  <w:style w:type="character" w:customStyle="1" w:styleId="124">
    <w:name w:val="0 Main text Char"/>
    <w:basedOn w:val="39"/>
    <w:link w:val="123"/>
    <w:qFormat/>
    <w:uiPriority w:val="0"/>
    <w:rPr>
      <w:rFonts w:eastAsia="Times New Roman" w:cs="Batang"/>
      <w:lang w:val="en-GB" w:eastAsia="en-US"/>
    </w:rPr>
  </w:style>
  <w:style w:type="paragraph" w:customStyle="1" w:styleId="125">
    <w:name w:val="3GPP Normal Text"/>
    <w:basedOn w:val="19"/>
    <w:link w:val="126"/>
    <w:qFormat/>
    <w:uiPriority w:val="0"/>
    <w:pPr>
      <w:adjustRightInd/>
      <w:snapToGrid/>
      <w:jc w:val="both"/>
    </w:pPr>
    <w:rPr>
      <w:rFonts w:eastAsia="MS Mincho"/>
      <w:sz w:val="22"/>
      <w:lang w:eastAsia="en-US"/>
    </w:rPr>
  </w:style>
  <w:style w:type="character" w:customStyle="1" w:styleId="126">
    <w:name w:val="3GPP Normal Text Char"/>
    <w:link w:val="125"/>
    <w:qFormat/>
    <w:uiPriority w:val="0"/>
    <w:rPr>
      <w:rFonts w:eastAsia="MS Mincho"/>
      <w:sz w:val="22"/>
      <w:lang w:eastAsia="en-US"/>
    </w:rPr>
  </w:style>
  <w:style w:type="paragraph" w:customStyle="1" w:styleId="127">
    <w:name w:val="3gpp txt"/>
    <w:basedOn w:val="1"/>
    <w:link w:val="128"/>
    <w:qFormat/>
    <w:uiPriority w:val="0"/>
    <w:pPr>
      <w:overflowPunct w:val="0"/>
      <w:autoSpaceDE w:val="0"/>
      <w:autoSpaceDN w:val="0"/>
      <w:snapToGrid/>
      <w:spacing w:after="180"/>
      <w:textAlignment w:val="baseline"/>
    </w:pPr>
    <w:rPr>
      <w:sz w:val="20"/>
      <w:szCs w:val="20"/>
      <w:lang w:val="en-GB" w:eastAsia="ja-JP"/>
    </w:rPr>
  </w:style>
  <w:style w:type="character" w:customStyle="1" w:styleId="128">
    <w:name w:val="3gpp txt 字符"/>
    <w:basedOn w:val="39"/>
    <w:link w:val="127"/>
    <w:qFormat/>
    <w:uiPriority w:val="0"/>
    <w:rPr>
      <w:rFonts w:eastAsia="Times New Roman"/>
      <w:lang w:val="en-GB" w:eastAsia="ja-JP"/>
    </w:rPr>
  </w:style>
  <w:style w:type="character" w:customStyle="1" w:styleId="129">
    <w:name w:val="列表段落 字符1"/>
    <w:qFormat/>
    <w:locked/>
    <w:uiPriority w:val="34"/>
    <w:rPr>
      <w:rFonts w:eastAsia="Times New Roman"/>
      <w:szCs w:val="24"/>
      <w:lang w:eastAsia="en-US"/>
    </w:rPr>
  </w:style>
  <w:style w:type="paragraph" w:customStyle="1" w:styleId="130">
    <w:name w:val="main text"/>
    <w:basedOn w:val="1"/>
    <w:link w:val="131"/>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31">
    <w:name w:val="main text Char"/>
    <w:basedOn w:val="39"/>
    <w:link w:val="130"/>
    <w:uiPriority w:val="0"/>
    <w:rPr>
      <w:rFonts w:eastAsia="Malgun Gothic" w:cs="Batang"/>
      <w:lang w:val="en-GB" w:eastAsia="ko-KR"/>
    </w:rPr>
  </w:style>
  <w:style w:type="paragraph" w:customStyle="1" w:styleId="132">
    <w:name w:val="Proposal"/>
    <w:basedOn w:val="19"/>
    <w:link w:val="133"/>
    <w:autoRedefine/>
    <w:qFormat/>
    <w:uiPriority w:val="0"/>
    <w:pPr>
      <w:adjustRightInd/>
      <w:snapToGrid/>
      <w:jc w:val="both"/>
    </w:pPr>
    <w:rPr>
      <w:rFonts w:eastAsia="宋体"/>
      <w:b/>
      <w:bCs/>
      <w:i/>
      <w:iCs/>
      <w:sz w:val="22"/>
      <w:szCs w:val="22"/>
    </w:rPr>
  </w:style>
  <w:style w:type="character" w:customStyle="1" w:styleId="133">
    <w:name w:val="Proposal Char"/>
    <w:link w:val="132"/>
    <w:qFormat/>
    <w:uiPriority w:val="0"/>
    <w:rPr>
      <w:b/>
      <w:bCs/>
      <w:i/>
      <w:iCs/>
      <w:sz w:val="22"/>
      <w:szCs w:val="22"/>
    </w:rPr>
  </w:style>
  <w:style w:type="paragraph" w:customStyle="1" w:styleId="134">
    <w:name w:val="!ZTE-Proposal-2021 + 段前: 0.5 行 段后: 0.5 行"/>
    <w:basedOn w:val="1"/>
    <w:qFormat/>
    <w:uiPriority w:val="0"/>
    <w:pPr>
      <w:numPr>
        <w:ilvl w:val="0"/>
        <w:numId w:val="4"/>
      </w:numPr>
      <w:adjustRightInd/>
      <w:snapToGrid/>
      <w:spacing w:before="120" w:beforeLines="50" w:afterLines="50" w:line="259" w:lineRule="auto"/>
    </w:pPr>
    <w:rPr>
      <w:rFonts w:cs="宋体" w:eastAsiaTheme="minorEastAsia"/>
      <w:b/>
      <w:bCs/>
      <w:i/>
      <w:iCs/>
      <w:kern w:val="2"/>
      <w:sz w:val="21"/>
      <w:szCs w:val="20"/>
      <w:lang w:val="en-GB"/>
    </w:rPr>
  </w:style>
  <w:style w:type="table" w:customStyle="1" w:styleId="135">
    <w:name w:val="表（文字列）3"/>
    <w:basedOn w:val="37"/>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pro"/>
    <w:basedOn w:val="1"/>
    <w:link w:val="137"/>
    <w:uiPriority w:val="0"/>
    <w:pPr>
      <w:numPr>
        <w:ilvl w:val="0"/>
        <w:numId w:val="5"/>
      </w:numPr>
      <w:adjustRightInd/>
      <w:snapToGrid/>
      <w:spacing w:before="120" w:beforeLines="50" w:after="0"/>
      <w:jc w:val="both"/>
    </w:pPr>
    <w:rPr>
      <w:b/>
      <w:bCs/>
      <w:i/>
      <w:iCs/>
      <w:sz w:val="24"/>
      <w:lang w:val="en-GB"/>
    </w:rPr>
  </w:style>
  <w:style w:type="character" w:customStyle="1" w:styleId="137">
    <w:name w:val="pro 字符"/>
    <w:basedOn w:val="39"/>
    <w:link w:val="136"/>
    <w:uiPriority w:val="0"/>
    <w:rPr>
      <w:rFonts w:eastAsia="Times New Roman"/>
      <w:b/>
      <w:bCs/>
      <w:i/>
      <w:iCs/>
      <w:sz w:val="24"/>
      <w:szCs w:val="24"/>
      <w:lang w:val="en-GB"/>
    </w:rPr>
  </w:style>
  <w:style w:type="character" w:customStyle="1" w:styleId="138">
    <w:name w:val="标题 1 字符"/>
    <w:qFormat/>
    <w:uiPriority w:val="99"/>
    <w:rPr>
      <w:rFonts w:ascii="Arial" w:hAnsi="Arial"/>
      <w:b/>
      <w:kern w:val="2"/>
      <w:sz w:val="28"/>
      <w:lang w:val="zh-CN" w:eastAsia="zh-CN"/>
    </w:rPr>
  </w:style>
  <w:style w:type="paragraph" w:customStyle="1" w:styleId="139">
    <w:name w:val="Spec Text Num"/>
    <w:basedOn w:val="1"/>
    <w:uiPriority w:val="0"/>
    <w:pPr>
      <w:numPr>
        <w:ilvl w:val="0"/>
        <w:numId w:val="6"/>
      </w:numPr>
      <w:tabs>
        <w:tab w:val="clear" w:pos="1134"/>
      </w:tabs>
      <w:adjustRightInd/>
      <w:snapToGrid/>
      <w:spacing w:after="0"/>
    </w:pPr>
    <w:rPr>
      <w:rFonts w:eastAsia="MS Mincho"/>
      <w:sz w:val="24"/>
      <w:lang w:eastAsia="ja-JP"/>
    </w:rPr>
  </w:style>
  <w:style w:type="paragraph" w:customStyle="1" w:styleId="140">
    <w:name w:val="paragraph"/>
    <w:basedOn w:val="1"/>
    <w:uiPriority w:val="0"/>
    <w:pPr>
      <w:adjustRightInd/>
      <w:snapToGrid/>
      <w:spacing w:before="100" w:beforeAutospacing="1" w:after="100" w:afterAutospacing="1"/>
    </w:pPr>
    <w:rPr>
      <w:sz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46D20E93-3904-4C06-B7C8-F2F6DE5DE172}">
  <ds:schemaRefs/>
</ds:datastoreItem>
</file>

<file path=docProps/app.xml><?xml version="1.0" encoding="utf-8"?>
<Properties xmlns="http://schemas.openxmlformats.org/officeDocument/2006/extended-properties" xmlns:vt="http://schemas.openxmlformats.org/officeDocument/2006/docPropsVTypes">
  <Template>Normal</Template>
  <Pages>42</Pages>
  <Words>35758</Words>
  <Characters>203827</Characters>
  <Lines>1698</Lines>
  <Paragraphs>478</Paragraphs>
  <TotalTime>0</TotalTime>
  <ScaleCrop>false</ScaleCrop>
  <LinksUpToDate>false</LinksUpToDate>
  <CharactersWithSpaces>239107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2026-02-09T11:43:00Z</dcterms:created>
  <dcterms:modified xsi:type="dcterms:W3CDTF">2026-02-09T13:14:38Z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ies>
</file>