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4B61" w14:textId="1902E9B2"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hint="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hint="eastAsia"/>
                <w:lang w:eastAsia="zh-CN"/>
              </w:rPr>
            </w:pPr>
            <w:r>
              <w:rPr>
                <w:rFonts w:eastAsiaTheme="minorEastAsia" w:hint="eastAsia"/>
                <w:lang w:eastAsia="zh-CN"/>
              </w:rPr>
              <w:t>F</w:t>
            </w:r>
            <w:r>
              <w:rPr>
                <w:rFonts w:eastAsiaTheme="minorEastAsia"/>
                <w:lang w:eastAsia="zh-CN"/>
              </w:rPr>
              <w:t>ine with sending LS to RAN4.</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lastRenderedPageBreak/>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lastRenderedPageBreak/>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lastRenderedPageBreak/>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lastRenderedPageBreak/>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lastRenderedPageBreak/>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lastRenderedPageBreak/>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lastRenderedPageBreak/>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lastRenderedPageBreak/>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lastRenderedPageBreak/>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lastRenderedPageBreak/>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lastRenderedPageBreak/>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lastRenderedPageBreak/>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lastRenderedPageBreak/>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lastRenderedPageBreak/>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lastRenderedPageBreak/>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7B5F8BD7">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lastRenderedPageBreak/>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lastRenderedPageBreak/>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lastRenderedPageBreak/>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lastRenderedPageBreak/>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lastRenderedPageBreak/>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lastRenderedPageBreak/>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lastRenderedPageBreak/>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to be 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hint="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宋体"/>
                <w:lang w:val="en-US" w:eastAsia="zh-CN"/>
              </w:rPr>
            </w:pPr>
            <w:r>
              <w:rPr>
                <w:rFonts w:eastAsia="宋体" w:hint="eastAsia"/>
                <w:lang w:val="en-US" w:eastAsia="zh-CN"/>
              </w:rPr>
              <w:t xml:space="preserve">PS has impact on </w:t>
            </w:r>
            <w:r>
              <w:rPr>
                <w:rFonts w:eastAsia="宋体"/>
                <w:lang w:val="en-US" w:eastAsia="zh-CN"/>
              </w:rPr>
              <w:t>the</w:t>
            </w:r>
            <w:r>
              <w:rPr>
                <w:rFonts w:eastAsia="宋体" w:hint="eastAsia"/>
                <w:lang w:val="en-US" w:eastAsia="zh-CN"/>
              </w:rPr>
              <w:t xml:space="preserve"> modules in the channel coding and modulation in TX/RX chain, which </w:t>
            </w:r>
            <w:r>
              <w:rPr>
                <w:rFonts w:eastAsia="宋体"/>
                <w:lang w:val="en-US" w:eastAsia="zh-CN"/>
              </w:rPr>
              <w:t>are</w:t>
            </w:r>
            <w:r>
              <w:rPr>
                <w:rFonts w:eastAsia="宋体" w:hint="eastAsia"/>
                <w:lang w:val="en-US" w:eastAsia="zh-CN"/>
              </w:rPr>
              <w:t xml:space="preserve"> listed as follows:</w:t>
            </w:r>
          </w:p>
          <w:p w14:paraId="6B024185"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TBS determination,</w:t>
            </w:r>
          </w:p>
          <w:p w14:paraId="50988958"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CB segmentation/concatenation,</w:t>
            </w:r>
          </w:p>
          <w:p w14:paraId="06D9E2E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selection/de-selection,</w:t>
            </w:r>
          </w:p>
          <w:p w14:paraId="6FE20A36"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bit interleaving/de-interleaving,</w:t>
            </w:r>
          </w:p>
          <w:p w14:paraId="4DAE9B19"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scrambling/de-scrambling,</w:t>
            </w:r>
          </w:p>
          <w:p w14:paraId="3E80F40F"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power scaling/boosting,</w:t>
            </w:r>
          </w:p>
          <w:p w14:paraId="741FC574" w14:textId="77777777" w:rsidR="00726D8E" w:rsidRPr="00B6561C" w:rsidRDefault="00726D8E" w:rsidP="00726D8E">
            <w:pPr>
              <w:pStyle w:val="a"/>
              <w:numPr>
                <w:ilvl w:val="0"/>
                <w:numId w:val="34"/>
              </w:numPr>
              <w:rPr>
                <w:rFonts w:eastAsia="宋体"/>
                <w:lang w:val="en-US" w:eastAsia="zh-CN"/>
              </w:rPr>
            </w:pPr>
            <w:r w:rsidRPr="00B6561C">
              <w:rPr>
                <w:rFonts w:eastAsia="宋体" w:hint="eastAsia"/>
                <w:lang w:val="en-US" w:eastAsia="zh-CN"/>
              </w:rPr>
              <w:t>modification on demodulation,</w:t>
            </w:r>
          </w:p>
          <w:p w14:paraId="01E6E376" w14:textId="77777777" w:rsidR="00726D8E" w:rsidRPr="0026798F" w:rsidRDefault="00726D8E" w:rsidP="00726D8E">
            <w:pPr>
              <w:pStyle w:val="a"/>
              <w:numPr>
                <w:ilvl w:val="0"/>
                <w:numId w:val="34"/>
              </w:numPr>
            </w:pPr>
            <w:r w:rsidRPr="00B6561C">
              <w:rPr>
                <w:rFonts w:eastAsia="宋体" w:hint="eastAsia"/>
                <w:lang w:val="en-US" w:eastAsia="zh-CN"/>
              </w:rPr>
              <w:lastRenderedPageBreak/>
              <w:t xml:space="preserve">modification on MIMO </w:t>
            </w:r>
            <w:r>
              <w:rPr>
                <w:rFonts w:eastAsia="宋体"/>
                <w:lang w:val="en-US" w:eastAsia="zh-CN"/>
              </w:rPr>
              <w:t>mapper</w:t>
            </w:r>
            <w:r w:rsidRPr="00B6561C">
              <w:rPr>
                <w:rFonts w:eastAsia="宋体" w:hint="eastAsia"/>
                <w:lang w:val="en-US" w:eastAsia="zh-CN"/>
              </w:rPr>
              <w:t>/</w:t>
            </w:r>
            <w:proofErr w:type="spellStart"/>
            <w:r>
              <w:rPr>
                <w:rFonts w:eastAsia="宋体"/>
                <w:lang w:val="en-US" w:eastAsia="zh-CN"/>
              </w:rPr>
              <w:t>demapper</w:t>
            </w:r>
            <w:proofErr w:type="spellEnd"/>
            <w:r w:rsidRPr="00B6561C">
              <w:rPr>
                <w:rFonts w:eastAsia="宋体"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of bit splitting,</w:t>
            </w:r>
          </w:p>
          <w:p w14:paraId="0327B92B" w14:textId="77777777" w:rsidR="00726D8E" w:rsidRDefault="00726D8E" w:rsidP="00726D8E">
            <w:pPr>
              <w:pStyle w:val="a"/>
              <w:numPr>
                <w:ilvl w:val="0"/>
                <w:numId w:val="35"/>
              </w:numPr>
              <w:rPr>
                <w:rFonts w:eastAsia="宋体"/>
                <w:lang w:val="en-US" w:eastAsia="zh-CN"/>
              </w:rPr>
            </w:pPr>
            <w:r>
              <w:rPr>
                <w:rFonts w:eastAsia="宋体"/>
                <w:lang w:val="en-US" w:eastAsia="zh-CN"/>
              </w:rPr>
              <w:t>N</w:t>
            </w:r>
            <w:r w:rsidRPr="0026798F">
              <w:rPr>
                <w:rFonts w:eastAsia="宋体" w:hint="eastAsia"/>
                <w:lang w:val="en-US" w:eastAsia="zh-CN"/>
              </w:rPr>
              <w:t>ew module for distribution matching,</w:t>
            </w:r>
          </w:p>
          <w:p w14:paraId="0ACB101C" w14:textId="45D12290" w:rsidR="00726D8E" w:rsidRPr="00726D8E" w:rsidRDefault="00726D8E" w:rsidP="00726D8E">
            <w:pPr>
              <w:pStyle w:val="a"/>
              <w:numPr>
                <w:ilvl w:val="0"/>
                <w:numId w:val="35"/>
              </w:numPr>
              <w:rPr>
                <w:rFonts w:eastAsia="宋体"/>
                <w:lang w:val="en-US" w:eastAsia="zh-CN"/>
              </w:rPr>
            </w:pPr>
            <w:r w:rsidRPr="00726D8E">
              <w:rPr>
                <w:rFonts w:eastAsia="宋体"/>
                <w:lang w:val="en-US" w:eastAsia="zh-CN"/>
              </w:rPr>
              <w:t>N</w:t>
            </w:r>
            <w:r w:rsidRPr="00726D8E">
              <w:rPr>
                <w:rFonts w:eastAsia="宋体" w:hint="eastAsia"/>
                <w:lang w:val="en-US" w:eastAsia="zh-CN"/>
              </w:rPr>
              <w:t>ew module of bit concatenation,</w:t>
            </w: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af9"/>
                  <w:rFonts w:eastAsia="Batang"/>
                  <w:lang w:eastAsia="ko-KR"/>
                </w:rPr>
                <w:t>R1-2600799</w:t>
              </w:r>
            </w:hyperlink>
            <w:r>
              <w:rPr>
                <w:rFonts w:eastAsia="Batang"/>
                <w:u w:val="single"/>
                <w:lang w:eastAsia="ko-KR"/>
              </w:rPr>
              <w:t xml:space="preserve">, </w:t>
            </w:r>
            <w:hyperlink r:id="rId17" w:history="1">
              <w:r w:rsidRPr="000B68CE">
                <w:rPr>
                  <w:rStyle w:val="af9"/>
                  <w:rFonts w:eastAsia="Batang"/>
                  <w:lang w:eastAsia="ko-KR"/>
                </w:rPr>
                <w:t>R1-2508623</w:t>
              </w:r>
            </w:hyperlink>
            <w:r>
              <w:rPr>
                <w:rFonts w:eastAsia="Batang"/>
                <w:u w:val="single"/>
                <w:lang w:eastAsia="ko-KR"/>
              </w:rPr>
              <w:t xml:space="preserve">, </w:t>
            </w:r>
            <w:hyperlink r:id="rId18"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hint="eastAsia"/>
                <w:lang w:eastAsia="zh-CN"/>
              </w:rPr>
            </w:pPr>
            <w:bookmarkStart w:id="10" w:name="_GoBack" w:colFirst="0" w:colLast="0"/>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hint="eastAsia"/>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bookmarkEnd w:id="10"/>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lastRenderedPageBreak/>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lastRenderedPageBreak/>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lastRenderedPageBreak/>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lastRenderedPageBreak/>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w:t>
            </w:r>
            <w:r w:rsidRPr="001D6897">
              <w:rPr>
                <w:lang w:val="en-US"/>
              </w:rPr>
              <w:lastRenderedPageBreak/>
              <w:t xml:space="preserve">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afa"/>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lastRenderedPageBreak/>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lastRenderedPageBreak/>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lastRenderedPageBreak/>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EFBF" w14:textId="77777777" w:rsidR="00F0496D" w:rsidRDefault="00F0496D" w:rsidP="00DF622A">
      <w:r>
        <w:separator/>
      </w:r>
    </w:p>
  </w:endnote>
  <w:endnote w:type="continuationSeparator" w:id="0">
    <w:p w14:paraId="652590D4" w14:textId="77777777" w:rsidR="00F0496D" w:rsidRDefault="00F0496D"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1EEE" w14:textId="77777777" w:rsidR="00F0496D" w:rsidRDefault="00F0496D" w:rsidP="00DF622A">
      <w:r>
        <w:separator/>
      </w:r>
    </w:p>
  </w:footnote>
  <w:footnote w:type="continuationSeparator" w:id="0">
    <w:p w14:paraId="699820F3" w14:textId="77777777" w:rsidR="00F0496D" w:rsidRDefault="00F0496D"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6"/>
  </w:num>
  <w:num w:numId="4">
    <w:abstractNumId w:val="4"/>
  </w:num>
  <w:num w:numId="5">
    <w:abstractNumId w:val="12"/>
  </w:num>
  <w:num w:numId="6">
    <w:abstractNumId w:val="11"/>
  </w:num>
  <w:num w:numId="7">
    <w:abstractNumId w:val="20"/>
  </w:num>
  <w:num w:numId="8">
    <w:abstractNumId w:val="30"/>
  </w:num>
  <w:num w:numId="9">
    <w:abstractNumId w:val="2"/>
  </w:num>
  <w:num w:numId="10">
    <w:abstractNumId w:val="17"/>
  </w:num>
  <w:num w:numId="11">
    <w:abstractNumId w:val="9"/>
  </w:num>
  <w:num w:numId="12">
    <w:abstractNumId w:val="22"/>
  </w:num>
  <w:num w:numId="13">
    <w:abstractNumId w:val="10"/>
  </w:num>
  <w:num w:numId="14">
    <w:abstractNumId w:val="16"/>
  </w:num>
  <w:num w:numId="15">
    <w:abstractNumId w:val="18"/>
  </w:num>
  <w:num w:numId="16">
    <w:abstractNumId w:val="2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31"/>
  </w:num>
  <w:num w:numId="19">
    <w:abstractNumId w:val="4"/>
  </w:num>
  <w:num w:numId="20">
    <w:abstractNumId w:val="8"/>
  </w:num>
  <w:num w:numId="21">
    <w:abstractNumId w:val="1"/>
  </w:num>
  <w:num w:numId="22">
    <w:abstractNumId w:val="24"/>
  </w:num>
  <w:num w:numId="23">
    <w:abstractNumId w:val="29"/>
  </w:num>
  <w:num w:numId="24">
    <w:abstractNumId w:val="13"/>
  </w:num>
  <w:num w:numId="25">
    <w:abstractNumId w:val="19"/>
  </w:num>
  <w:num w:numId="26">
    <w:abstractNumId w:val="15"/>
  </w:num>
  <w:num w:numId="27">
    <w:abstractNumId w:val="3"/>
  </w:num>
  <w:num w:numId="28">
    <w:abstractNumId w:val="23"/>
  </w:num>
  <w:num w:numId="29">
    <w:abstractNumId w:val="14"/>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0"/>
  </w:num>
  <w:num w:numId="33">
    <w:abstractNumId w:val="25"/>
  </w:num>
  <w:num w:numId="34">
    <w:abstractNumId w:val="5"/>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24635</Words>
  <Characters>140426</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Jiajun, Xu (ZTE, Sanechips)</cp:lastModifiedBy>
  <cp:revision>2</cp:revision>
  <dcterms:created xsi:type="dcterms:W3CDTF">2026-02-10T12:22:00Z</dcterms:created>
  <dcterms:modified xsi:type="dcterms:W3CDTF">2026-02-10T12:22:00Z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