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B61" w14:textId="1902E9B2"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154</w:t>
      </w:r>
      <w:r w:rsidR="007141EE">
        <w:rPr>
          <w:rFonts w:cs="Arial"/>
          <w:szCs w:val="22"/>
        </w:rPr>
        <w:t>9</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476C3BEA" w:rsidR="00705C5F" w:rsidRDefault="00DF41B8" w:rsidP="00DF622A">
      <w:bookmarkStart w:id="3" w:name="OLE_LINK57"/>
      <w:bookmarkStart w:id="4" w:name="OLE_LINK58"/>
      <w:r>
        <w:t>Title:</w:t>
      </w:r>
      <w:r>
        <w:tab/>
      </w:r>
      <w:r w:rsidR="001B273B">
        <w:tab/>
      </w:r>
      <w:r>
        <w:t>FL summary #</w:t>
      </w:r>
      <w:r w:rsidR="007141EE">
        <w:t>2</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particular waveforms.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lastRenderedPageBreak/>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to include basic SLS/LLS parameters, </w:t>
            </w:r>
            <w:proofErr w:type="gramStart"/>
            <w:r>
              <w:rPr>
                <w:rFonts w:eastAsiaTheme="minorEastAsia"/>
                <w:lang w:eastAsia="zh-CN"/>
              </w:rPr>
              <w:t>e.g.</w:t>
            </w:r>
            <w:proofErr w:type="gramEnd"/>
            <w:r>
              <w:rPr>
                <w:rFonts w:eastAsiaTheme="minorEastAsia"/>
                <w:lang w:eastAsia="zh-CN"/>
              </w:rPr>
              <w:t xml:space="preserve">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bl>
    <w:p w14:paraId="54D26205" w14:textId="77777777" w:rsidR="007141EE" w:rsidRDefault="007141EE"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lastRenderedPageBreak/>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1644AF" w:rsidRPr="00FB09D3" w14:paraId="125CBB86" w14:textId="77777777" w:rsidTr="00472A78">
        <w:tc>
          <w:tcPr>
            <w:tcW w:w="1841" w:type="dxa"/>
          </w:tcPr>
          <w:p w14:paraId="281FC82F" w14:textId="77777777" w:rsidR="001644AF" w:rsidRDefault="001644AF" w:rsidP="0061418E">
            <w:pPr>
              <w:rPr>
                <w:rFonts w:eastAsia="Batang"/>
                <w:lang w:eastAsia="ko-KR"/>
              </w:rPr>
            </w:pPr>
          </w:p>
        </w:tc>
        <w:tc>
          <w:tcPr>
            <w:tcW w:w="6890" w:type="dxa"/>
          </w:tcPr>
          <w:p w14:paraId="664F7C34" w14:textId="77777777" w:rsidR="001644AF" w:rsidRDefault="001644AF" w:rsidP="0061418E">
            <w:pPr>
              <w:rPr>
                <w:rFonts w:eastAsia="Batang"/>
                <w:lang w:eastAsia="ko-KR"/>
              </w:rPr>
            </w:pP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lastRenderedPageBreak/>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lastRenderedPageBreak/>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lastRenderedPageBreak/>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lastRenderedPageBreak/>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lastRenderedPageBreak/>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lastRenderedPageBreak/>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lastRenderedPageBreak/>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lastRenderedPageBreak/>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lastRenderedPageBreak/>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w:t>
            </w:r>
            <w:r>
              <w:lastRenderedPageBreak/>
              <w:t xml:space="preserve">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00E8085E">
              <w:fldChar w:fldCharType="begin"/>
            </w:r>
            <w:r w:rsidR="00E8085E">
              <w:instrText xml:space="preserve"> SEQ Obs</w:instrText>
            </w:r>
            <w:r w:rsidR="00E8085E">
              <w:instrText xml:space="preserve">ervation \* ARABIC </w:instrText>
            </w:r>
            <w:r w:rsidR="00E8085E">
              <w:fldChar w:fldCharType="separate"/>
            </w:r>
            <w:r w:rsidRPr="00895C42">
              <w:t>7</w:t>
            </w:r>
            <w:r w:rsidR="00E8085E">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lastRenderedPageBreak/>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lastRenderedPageBreak/>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lastRenderedPageBreak/>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lastRenderedPageBreak/>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lastRenderedPageBreak/>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drawing>
                <wp:inline distT="0" distB="0" distL="0" distR="0" wp14:anchorId="323F1BAA" wp14:editId="7B91AD68">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lastRenderedPageBreak/>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w:t>
            </w:r>
            <w:r w:rsidRPr="009A65F5">
              <w:rPr>
                <w:lang w:val="en-US"/>
              </w:rPr>
              <w:lastRenderedPageBreak/>
              <w:t>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lastRenderedPageBreak/>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in order to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lastRenderedPageBreak/>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lastRenderedPageBreak/>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w:t>
            </w:r>
            <w:r>
              <w:rPr>
                <w:rFonts w:eastAsiaTheme="minorEastAsia"/>
                <w:lang w:eastAsia="zh-CN"/>
              </w:rPr>
              <w:lastRenderedPageBreak/>
              <w:t xml:space="preserve">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lastRenderedPageBreak/>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to delete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B47203" w14:paraId="4C8726B0" w14:textId="77777777" w:rsidTr="00AA7780">
        <w:tc>
          <w:tcPr>
            <w:tcW w:w="1784" w:type="dxa"/>
          </w:tcPr>
          <w:p w14:paraId="023A59BD" w14:textId="77777777" w:rsidR="00B47203" w:rsidRDefault="00B47203" w:rsidP="00AA7780"/>
        </w:tc>
        <w:tc>
          <w:tcPr>
            <w:tcW w:w="6947" w:type="dxa"/>
          </w:tcPr>
          <w:p w14:paraId="13916973" w14:textId="77777777" w:rsidR="00B47203" w:rsidRDefault="00B47203" w:rsidP="00AA7780"/>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lastRenderedPageBreak/>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77777777" w:rsidR="00C7345B" w:rsidRDefault="00C7345B" w:rsidP="00AA7780"/>
        </w:tc>
        <w:tc>
          <w:tcPr>
            <w:tcW w:w="6947" w:type="dxa"/>
          </w:tcPr>
          <w:p w14:paraId="34C57384" w14:textId="77777777" w:rsidR="00C7345B" w:rsidRDefault="00C7345B" w:rsidP="00AA7780"/>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xml:space="preserve">, in addition to mapper in TX chain and </w:t>
      </w:r>
      <w:proofErr w:type="spellStart"/>
      <w:r w:rsidR="00DA3D14">
        <w:t>demapper</w:t>
      </w:r>
      <w:proofErr w:type="spellEnd"/>
      <w:r w:rsidR="00DA3D14">
        <w:t xml:space="preserve">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 xml:space="preserve">In our view, GS does not require any modifications to the TX/RX functionality beyond the mapper in the TX chain and the de-mapper in the RX chain. Potential enhancements to the bit </w:t>
            </w:r>
            <w:proofErr w:type="spellStart"/>
            <w:r w:rsidRPr="008855A3">
              <w:t>interleaver</w:t>
            </w:r>
            <w:proofErr w:type="spellEnd"/>
            <w:r w:rsidRPr="008855A3">
              <w:t xml:space="preserve"> can be explored, and these would apply equally to both GS and uniform QAM</w:t>
            </w:r>
            <w:r w:rsidR="006709D4">
              <w:t>.</w:t>
            </w:r>
          </w:p>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lastRenderedPageBreak/>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lastRenderedPageBreak/>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D57952" w:rsidRPr="00DE73EA" w14:paraId="21D3C212" w14:textId="77777777" w:rsidTr="00472A78">
        <w:tc>
          <w:tcPr>
            <w:tcW w:w="1822" w:type="dxa"/>
          </w:tcPr>
          <w:p w14:paraId="0C2289B5" w14:textId="77777777" w:rsidR="00D57952" w:rsidRDefault="00D57952" w:rsidP="00A83B27">
            <w:pPr>
              <w:rPr>
                <w:rFonts w:eastAsia="MS Mincho"/>
                <w:lang w:eastAsia="ja-JP"/>
              </w:rPr>
            </w:pPr>
          </w:p>
        </w:tc>
        <w:tc>
          <w:tcPr>
            <w:tcW w:w="6909" w:type="dxa"/>
          </w:tcPr>
          <w:p w14:paraId="2409AA37" w14:textId="77777777" w:rsidR="00D57952" w:rsidRDefault="00D57952" w:rsidP="00A83B27">
            <w:pPr>
              <w:rPr>
                <w:rFonts w:eastAsia="MS Mincho"/>
                <w:lang w:eastAsia="ja-JP"/>
              </w:rPr>
            </w:pP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77777777" w:rsidR="00DB317B" w:rsidRDefault="00DB317B"/>
        </w:tc>
        <w:tc>
          <w:tcPr>
            <w:tcW w:w="7877" w:type="dxa"/>
          </w:tcPr>
          <w:p w14:paraId="2D9CC3F4" w14:textId="77777777" w:rsidR="00DB317B" w:rsidRDefault="00DB317B"/>
        </w:tc>
      </w:tr>
    </w:tbl>
    <w:p w14:paraId="00AB4D81" w14:textId="77777777" w:rsidR="00267F6F" w:rsidRDefault="00267F6F" w:rsidP="00DF622A"/>
    <w:p w14:paraId="3C826742" w14:textId="32FAD135" w:rsidR="00F47B84" w:rsidRDefault="00F47B84" w:rsidP="00F47B84">
      <w:pPr>
        <w:pStyle w:val="Heading2"/>
      </w:pPr>
      <w:r>
        <w:lastRenderedPageBreak/>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max-log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xml:space="preserve">.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w:t>
            </w:r>
            <w:r>
              <w:rPr>
                <w:rFonts w:eastAsiaTheme="minorEastAsia"/>
                <w:lang w:eastAsia="zh-CN"/>
              </w:rPr>
              <w:lastRenderedPageBreak/>
              <w:t>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lastRenderedPageBreak/>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lastRenderedPageBreak/>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lastRenderedPageBreak/>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lastRenderedPageBreak/>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CC12" w14:textId="77777777" w:rsidR="00E8085E" w:rsidRDefault="00E8085E" w:rsidP="00DF622A">
      <w:r>
        <w:separator/>
      </w:r>
    </w:p>
  </w:endnote>
  <w:endnote w:type="continuationSeparator" w:id="0">
    <w:p w14:paraId="5FBBA425" w14:textId="77777777" w:rsidR="00E8085E" w:rsidRDefault="00E8085E"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96C5" w14:textId="77777777" w:rsidR="00E8085E" w:rsidRDefault="00E8085E" w:rsidP="00DF622A">
      <w:r>
        <w:separator/>
      </w:r>
    </w:p>
  </w:footnote>
  <w:footnote w:type="continuationSeparator" w:id="0">
    <w:p w14:paraId="751E9985" w14:textId="77777777" w:rsidR="00E8085E" w:rsidRDefault="00E8085E"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4"/>
  </w:num>
  <w:num w:numId="4">
    <w:abstractNumId w:val="4"/>
  </w:num>
  <w:num w:numId="5">
    <w:abstractNumId w:val="10"/>
  </w:num>
  <w:num w:numId="6">
    <w:abstractNumId w:val="9"/>
  </w:num>
  <w:num w:numId="7">
    <w:abstractNumId w:val="18"/>
  </w:num>
  <w:num w:numId="8">
    <w:abstractNumId w:val="28"/>
  </w:num>
  <w:num w:numId="9">
    <w:abstractNumId w:val="2"/>
  </w:num>
  <w:num w:numId="10">
    <w:abstractNumId w:val="15"/>
  </w:num>
  <w:num w:numId="11">
    <w:abstractNumId w:val="7"/>
  </w:num>
  <w:num w:numId="12">
    <w:abstractNumId w:val="20"/>
  </w:num>
  <w:num w:numId="13">
    <w:abstractNumId w:val="8"/>
  </w:num>
  <w:num w:numId="14">
    <w:abstractNumId w:val="14"/>
  </w:num>
  <w:num w:numId="15">
    <w:abstractNumId w:val="16"/>
  </w:num>
  <w:num w:numId="16">
    <w:abstractNumId w:val="26"/>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29"/>
  </w:num>
  <w:num w:numId="19">
    <w:abstractNumId w:val="4"/>
  </w:num>
  <w:num w:numId="20">
    <w:abstractNumId w:val="6"/>
  </w:num>
  <w:num w:numId="21">
    <w:abstractNumId w:val="1"/>
  </w:num>
  <w:num w:numId="22">
    <w:abstractNumId w:val="22"/>
  </w:num>
  <w:num w:numId="23">
    <w:abstractNumId w:val="27"/>
  </w:num>
  <w:num w:numId="24">
    <w:abstractNumId w:val="11"/>
  </w:num>
  <w:num w:numId="25">
    <w:abstractNumId w:val="17"/>
  </w:num>
  <w:num w:numId="26">
    <w:abstractNumId w:val="13"/>
  </w:num>
  <w:num w:numId="27">
    <w:abstractNumId w:val="3"/>
  </w:num>
  <w:num w:numId="28">
    <w:abstractNumId w:val="21"/>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0"/>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F3510D65-D1AA-4B8B-8C3E-0CAE82C700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44</Pages>
  <Words>23853</Words>
  <Characters>135965</Characters>
  <Application>Microsoft Office Word</Application>
  <DocSecurity>0</DocSecurity>
  <Lines>1133</Lines>
  <Paragraphs>318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159500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Subrahmanya Kondageri Shankaraiah</cp:lastModifiedBy>
  <cp:revision>5</cp:revision>
  <dcterms:created xsi:type="dcterms:W3CDTF">2026-02-09T20:31:00Z</dcterms:created>
  <dcterms:modified xsi:type="dcterms:W3CDTF">2026-02-10T03:17:00Z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7ecU5nqkGT0GjmQnluWjFVQ==</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