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902E9B2"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77777777" w:rsidR="00B46217" w:rsidRDefault="00B46217" w:rsidP="00A83B27">
            <w:pPr>
              <w:rPr>
                <w:rFonts w:eastAsia="MS Mincho"/>
                <w:lang w:eastAsia="ja-JP"/>
              </w:rPr>
            </w:pPr>
          </w:p>
        </w:tc>
        <w:tc>
          <w:tcPr>
            <w:tcW w:w="7877" w:type="dxa"/>
          </w:tcPr>
          <w:p w14:paraId="6832BAE7" w14:textId="77777777" w:rsidR="00B46217" w:rsidRDefault="00B46217" w:rsidP="00A83B27">
            <w:pPr>
              <w:rPr>
                <w:rFonts w:eastAsia="MS Mincho"/>
                <w:lang w:eastAsia="ja-JP"/>
              </w:rPr>
            </w:pP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lastRenderedPageBreak/>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77777777" w:rsidR="003C7D8A" w:rsidRDefault="003C7D8A" w:rsidP="00B339E8">
            <w:pPr>
              <w:rPr>
                <w:rFonts w:eastAsiaTheme="minorEastAsia"/>
                <w:lang w:eastAsia="zh-CN"/>
              </w:rPr>
            </w:pPr>
          </w:p>
        </w:tc>
        <w:tc>
          <w:tcPr>
            <w:tcW w:w="7877" w:type="dxa"/>
          </w:tcPr>
          <w:p w14:paraId="7AFBD62E" w14:textId="77777777" w:rsidR="003C7D8A" w:rsidRDefault="003C7D8A" w:rsidP="00B339E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lastRenderedPageBreak/>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 xml:space="preserve">Observation 1: The practical utilization of 4096-QAM (DL) and 1024-QAM (UL) is restricted to high-SINR environments. Without significant improvements in interference coordination </w:t>
            </w:r>
            <w:r w:rsidRPr="00DA73DA">
              <w:lastRenderedPageBreak/>
              <w:t>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lastRenderedPageBreak/>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lastRenderedPageBreak/>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77777777" w:rsidR="007141EE" w:rsidRDefault="007141EE" w:rsidP="00AA7780"/>
        </w:tc>
        <w:tc>
          <w:tcPr>
            <w:tcW w:w="7877" w:type="dxa"/>
          </w:tcPr>
          <w:p w14:paraId="5FF5F544" w14:textId="77777777" w:rsidR="007141EE" w:rsidRDefault="007141EE" w:rsidP="00AA7780"/>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lastRenderedPageBreak/>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lastRenderedPageBreak/>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1644AF" w:rsidRPr="00FB09D3" w14:paraId="125CBB86" w14:textId="77777777" w:rsidTr="00472A78">
        <w:tc>
          <w:tcPr>
            <w:tcW w:w="1841" w:type="dxa"/>
          </w:tcPr>
          <w:p w14:paraId="281FC82F" w14:textId="77777777" w:rsidR="001644AF" w:rsidRDefault="001644AF" w:rsidP="0061418E">
            <w:pPr>
              <w:rPr>
                <w:rFonts w:eastAsia="Batang"/>
                <w:lang w:eastAsia="ko-KR"/>
              </w:rPr>
            </w:pPr>
          </w:p>
        </w:tc>
        <w:tc>
          <w:tcPr>
            <w:tcW w:w="6890" w:type="dxa"/>
          </w:tcPr>
          <w:p w14:paraId="664F7C34" w14:textId="77777777" w:rsidR="001644AF" w:rsidRDefault="001644AF" w:rsidP="0061418E">
            <w:pPr>
              <w:rPr>
                <w:rFonts w:eastAsia="Batang"/>
                <w:lang w:eastAsia="ko-KR"/>
              </w:rPr>
            </w:pP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lastRenderedPageBreak/>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lastRenderedPageBreak/>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lastRenderedPageBreak/>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lastRenderedPageBreak/>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lastRenderedPageBreak/>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lastRenderedPageBreak/>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lastRenderedPageBreak/>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lastRenderedPageBreak/>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lastRenderedPageBreak/>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BE599F">
              <w:fldChar w:fldCharType="begin"/>
            </w:r>
            <w:r w:rsidR="00BE599F">
              <w:instrText xml:space="preserve"> SEQ Observation \* ARABIC </w:instrText>
            </w:r>
            <w:r w:rsidR="00BE599F">
              <w:fldChar w:fldCharType="separate"/>
            </w:r>
            <w:r w:rsidRPr="00895C42">
              <w:t>7</w:t>
            </w:r>
            <w:r w:rsidR="00BE599F">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lastRenderedPageBreak/>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 xml:space="preserve">Observation 2. The SNR gains of NUC range from 0.15 to 0.5 dB over AWGN channels, from 0.1 to 0.6 dB over TDL channels in SISO systems, and from 0.1 to 0.5 dB over CDL channels </w:t>
            </w:r>
            <w:r>
              <w:lastRenderedPageBreak/>
              <w:t>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lastRenderedPageBreak/>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lastRenderedPageBreak/>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lastRenderedPageBreak/>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1A9DFB45">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 xml:space="preserve">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B47203" w14:paraId="4C8726B0" w14:textId="77777777" w:rsidTr="00AA7780">
        <w:tc>
          <w:tcPr>
            <w:tcW w:w="1784" w:type="dxa"/>
          </w:tcPr>
          <w:p w14:paraId="023A59BD" w14:textId="77777777" w:rsidR="00B47203" w:rsidRDefault="00B47203" w:rsidP="00AA7780"/>
        </w:tc>
        <w:tc>
          <w:tcPr>
            <w:tcW w:w="6947" w:type="dxa"/>
          </w:tcPr>
          <w:p w14:paraId="13916973" w14:textId="77777777" w:rsidR="00B47203" w:rsidRDefault="00B47203" w:rsidP="00AA7780"/>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lastRenderedPageBreak/>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77777777" w:rsidR="00C7345B" w:rsidRDefault="00C7345B" w:rsidP="00AA7780"/>
        </w:tc>
        <w:tc>
          <w:tcPr>
            <w:tcW w:w="6947" w:type="dxa"/>
          </w:tcPr>
          <w:p w14:paraId="34C57384" w14:textId="77777777" w:rsidR="00C7345B" w:rsidRDefault="00C7345B" w:rsidP="00AA7780"/>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77777777" w:rsidR="00C7345B" w:rsidRDefault="00C7345B" w:rsidP="00AA7780"/>
        </w:tc>
        <w:tc>
          <w:tcPr>
            <w:tcW w:w="6947" w:type="dxa"/>
          </w:tcPr>
          <w:p w14:paraId="23215644" w14:textId="77777777" w:rsidR="00C7345B" w:rsidRDefault="00C7345B" w:rsidP="00AA7780"/>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lastRenderedPageBreak/>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lastRenderedPageBreak/>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D57952" w:rsidRPr="00DE73EA" w14:paraId="21D3C212" w14:textId="77777777" w:rsidTr="00472A78">
        <w:tc>
          <w:tcPr>
            <w:tcW w:w="1822" w:type="dxa"/>
          </w:tcPr>
          <w:p w14:paraId="0C2289B5" w14:textId="77777777" w:rsidR="00D57952" w:rsidRDefault="00D57952" w:rsidP="00A83B27">
            <w:pPr>
              <w:rPr>
                <w:rFonts w:eastAsia="MS Mincho"/>
                <w:lang w:eastAsia="ja-JP"/>
              </w:rPr>
            </w:pPr>
          </w:p>
        </w:tc>
        <w:tc>
          <w:tcPr>
            <w:tcW w:w="6909" w:type="dxa"/>
          </w:tcPr>
          <w:p w14:paraId="2409AA37" w14:textId="77777777" w:rsidR="00D57952" w:rsidRDefault="00D57952" w:rsidP="00A83B27">
            <w:pPr>
              <w:rPr>
                <w:rFonts w:eastAsia="MS Mincho"/>
                <w:lang w:eastAsia="ja-JP"/>
              </w:rPr>
            </w:pP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lastRenderedPageBreak/>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lastRenderedPageBreak/>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77777777" w:rsidR="00DB317B" w:rsidRDefault="00DB317B"/>
        </w:tc>
        <w:tc>
          <w:tcPr>
            <w:tcW w:w="7877" w:type="dxa"/>
          </w:tcPr>
          <w:p w14:paraId="2D9CC3F4" w14:textId="77777777" w:rsidR="00DB317B" w:rsidRDefault="00DB317B"/>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lastRenderedPageBreak/>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lastRenderedPageBreak/>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lastRenderedPageBreak/>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lastRenderedPageBreak/>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lastRenderedPageBreak/>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lastRenderedPageBreak/>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lastRenderedPageBreak/>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lastRenderedPageBreak/>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9218" w14:textId="77777777" w:rsidR="00C83C46" w:rsidRDefault="00C83C46" w:rsidP="00DF622A">
      <w:r>
        <w:separator/>
      </w:r>
    </w:p>
  </w:endnote>
  <w:endnote w:type="continuationSeparator" w:id="0">
    <w:p w14:paraId="5F2AE3E0" w14:textId="77777777" w:rsidR="00C83C46" w:rsidRDefault="00C83C46"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3CAF" w14:textId="77777777" w:rsidR="00C83C46" w:rsidRDefault="00C83C46" w:rsidP="00DF622A">
      <w:r>
        <w:separator/>
      </w:r>
    </w:p>
  </w:footnote>
  <w:footnote w:type="continuationSeparator" w:id="0">
    <w:p w14:paraId="4DE45E25" w14:textId="77777777" w:rsidR="00C83C46" w:rsidRDefault="00C83C46"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064132">
    <w:abstractNumId w:val="5"/>
  </w:num>
  <w:num w:numId="2" w16cid:durableId="1441143133">
    <w:abstractNumId w:val="23"/>
  </w:num>
  <w:num w:numId="3" w16cid:durableId="976495141">
    <w:abstractNumId w:val="24"/>
  </w:num>
  <w:num w:numId="4" w16cid:durableId="665280617">
    <w:abstractNumId w:val="4"/>
  </w:num>
  <w:num w:numId="5" w16cid:durableId="1424108651">
    <w:abstractNumId w:val="10"/>
  </w:num>
  <w:num w:numId="6" w16cid:durableId="809981745">
    <w:abstractNumId w:val="9"/>
  </w:num>
  <w:num w:numId="7" w16cid:durableId="1356611599">
    <w:abstractNumId w:val="18"/>
  </w:num>
  <w:num w:numId="8" w16cid:durableId="867258319">
    <w:abstractNumId w:val="28"/>
  </w:num>
  <w:num w:numId="9" w16cid:durableId="1902328672">
    <w:abstractNumId w:val="2"/>
  </w:num>
  <w:num w:numId="10" w16cid:durableId="1825707484">
    <w:abstractNumId w:val="15"/>
  </w:num>
  <w:num w:numId="11" w16cid:durableId="402028389">
    <w:abstractNumId w:val="7"/>
  </w:num>
  <w:num w:numId="12" w16cid:durableId="1928807877">
    <w:abstractNumId w:val="20"/>
  </w:num>
  <w:num w:numId="13" w16cid:durableId="1827091058">
    <w:abstractNumId w:val="8"/>
  </w:num>
  <w:num w:numId="14" w16cid:durableId="1247114675">
    <w:abstractNumId w:val="14"/>
  </w:num>
  <w:num w:numId="15" w16cid:durableId="1225603030">
    <w:abstractNumId w:val="16"/>
  </w:num>
  <w:num w:numId="16" w16cid:durableId="1584214978">
    <w:abstractNumId w:val="26"/>
  </w:num>
  <w:num w:numId="17" w16cid:durableId="1972898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335113986">
    <w:abstractNumId w:val="29"/>
  </w:num>
  <w:num w:numId="19" w16cid:durableId="879587929">
    <w:abstractNumId w:val="4"/>
  </w:num>
  <w:num w:numId="20" w16cid:durableId="1252740286">
    <w:abstractNumId w:val="6"/>
  </w:num>
  <w:num w:numId="21" w16cid:durableId="537083704">
    <w:abstractNumId w:val="1"/>
  </w:num>
  <w:num w:numId="22" w16cid:durableId="863245810">
    <w:abstractNumId w:val="22"/>
  </w:num>
  <w:num w:numId="23" w16cid:durableId="1943105878">
    <w:abstractNumId w:val="27"/>
  </w:num>
  <w:num w:numId="24" w16cid:durableId="1805005788">
    <w:abstractNumId w:val="11"/>
  </w:num>
  <w:num w:numId="25" w16cid:durableId="1666590328">
    <w:abstractNumId w:val="17"/>
  </w:num>
  <w:num w:numId="26" w16cid:durableId="288316911">
    <w:abstractNumId w:val="13"/>
  </w:num>
  <w:num w:numId="27" w16cid:durableId="1814248751">
    <w:abstractNumId w:val="3"/>
  </w:num>
  <w:num w:numId="28" w16cid:durableId="1383212435">
    <w:abstractNumId w:val="21"/>
  </w:num>
  <w:num w:numId="29" w16cid:durableId="1286501157">
    <w:abstractNumId w:val="12"/>
  </w:num>
  <w:num w:numId="30" w16cid:durableId="169877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0561742">
    <w:abstractNumId w:val="19"/>
  </w:num>
  <w:num w:numId="32" w16cid:durableId="672799659">
    <w:abstractNumId w:val="0"/>
  </w:num>
  <w:num w:numId="33" w16cid:durableId="7884766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38</TotalTime>
  <Pages>44</Pages>
  <Words>24470</Words>
  <Characters>134341</Characters>
  <Application>Microsoft Office Word</Application>
  <DocSecurity>0</DocSecurity>
  <Lines>2920</Lines>
  <Paragraphs>1784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47</cp:revision>
  <dcterms:created xsi:type="dcterms:W3CDTF">2026-02-09T13:12:00Z</dcterms:created>
  <dcterms:modified xsi:type="dcterms:W3CDTF">2026-02-09T17:53:00Z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