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xml:space="preserve">, and </w:t>
      </w:r>
      <w:r w:rsidRPr="000A0B05">
        <w:rPr>
          <w:rFonts w:eastAsiaTheme="minorEastAsia"/>
          <w:lang w:eastAsia="zh-CN"/>
        </w:rPr>
        <w:lastRenderedPageBreak/>
        <w:t>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lastRenderedPageBreak/>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lastRenderedPageBreak/>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lastRenderedPageBreak/>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lastRenderedPageBreak/>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lastRenderedPageBreak/>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 xml:space="preserve">The probabilistic shaping based on arithmetic coding, including CCDM, MPDM, and AESS, cannot work if the details of quantization method and the bit width are not aligned between receiver side and transmitter side, which significantly limit the </w:t>
            </w:r>
            <w:r w:rsidRPr="006E2CDE">
              <w:lastRenderedPageBreak/>
              <w:t>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lastRenderedPageBreak/>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4 :- Fading‑channel simulations with NUC integrated into the 5G‑NR PUSCH chain, targeting a BLER of 10% using MCS Table 2 under TDL‑A, TDL‑C, and TDL‑D </w:t>
            </w:r>
            <w:r>
              <w:lastRenderedPageBreak/>
              <w:t>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lastRenderedPageBreak/>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lastRenderedPageBreak/>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lastRenderedPageBreak/>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lastRenderedPageBreak/>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lastRenderedPageBreak/>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CommentReference"/>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 xml:space="preserve">Net Gain will be used as metric for such </w:t>
      </w:r>
      <w:r w:rsidR="00361D68">
        <w:lastRenderedPageBreak/>
        <w:t>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66F3CB01" w:rsidR="00267F6F" w:rsidRDefault="00267F6F"/>
        </w:tc>
        <w:tc>
          <w:tcPr>
            <w:tcW w:w="7877" w:type="dxa"/>
          </w:tcPr>
          <w:p w14:paraId="7BE7E827" w14:textId="63F85050" w:rsidR="00267F6F" w:rsidRDefault="00267F6F"/>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 xml:space="preserve">Proposal 4: AI/ML-based (de)modulation sub-cases involving two-sided models (e.g., sub-case B) should not be considered in Rel-20 due to their significant complexity for the inter-vendor </w:t>
            </w:r>
            <w:r w:rsidRPr="001D6897">
              <w:rPr>
                <w:lang w:val="en-US"/>
              </w:rPr>
              <w:lastRenderedPageBreak/>
              <w:t>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CommentReference"/>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bl>
    <w:p w14:paraId="059EB3B8" w14:textId="77777777" w:rsidR="003A0603" w:rsidRPr="007D4E0C" w:rsidRDefault="003A0603" w:rsidP="00DF622A"/>
    <w:p w14:paraId="48270BF8" w14:textId="639E656F" w:rsidR="00705C5F" w:rsidRDefault="00DF41B8">
      <w:pPr>
        <w:pStyle w:val="Heading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lastRenderedPageBreak/>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lastRenderedPageBreak/>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lastRenderedPageBreak/>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lastRenderedPageBreak/>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lastRenderedPageBreak/>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DB6D15" w:rsidRDefault="00DB6D15"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4F54" w14:textId="77777777" w:rsidR="00472B53" w:rsidRDefault="00472B53" w:rsidP="00DF622A">
      <w:r>
        <w:separator/>
      </w:r>
    </w:p>
  </w:endnote>
  <w:endnote w:type="continuationSeparator" w:id="0">
    <w:p w14:paraId="4E370BA8" w14:textId="77777777" w:rsidR="00472B53" w:rsidRDefault="00472B5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D084" w14:textId="77777777" w:rsidR="00472B53" w:rsidRDefault="00472B53" w:rsidP="00DF622A">
      <w:r>
        <w:separator/>
      </w:r>
    </w:p>
  </w:footnote>
  <w:footnote w:type="continuationSeparator" w:id="0">
    <w:p w14:paraId="0C4689F6" w14:textId="77777777" w:rsidR="00472B53" w:rsidRDefault="00472B5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825664">
    <w:abstractNumId w:val="3"/>
  </w:num>
  <w:num w:numId="2" w16cid:durableId="1937781860">
    <w:abstractNumId w:val="15"/>
  </w:num>
  <w:num w:numId="3" w16cid:durableId="1648972375">
    <w:abstractNumId w:val="16"/>
  </w:num>
  <w:num w:numId="4" w16cid:durableId="1956129676">
    <w:abstractNumId w:val="2"/>
  </w:num>
  <w:num w:numId="5" w16cid:durableId="1686857812">
    <w:abstractNumId w:val="8"/>
  </w:num>
  <w:num w:numId="6" w16cid:durableId="1965306082">
    <w:abstractNumId w:val="7"/>
  </w:num>
  <w:num w:numId="7" w16cid:durableId="515726954">
    <w:abstractNumId w:val="12"/>
  </w:num>
  <w:num w:numId="8" w16cid:durableId="746726364">
    <w:abstractNumId w:val="18"/>
  </w:num>
  <w:num w:numId="9" w16cid:durableId="1044329273">
    <w:abstractNumId w:val="1"/>
  </w:num>
  <w:num w:numId="10" w16cid:durableId="303893457">
    <w:abstractNumId w:val="10"/>
  </w:num>
  <w:num w:numId="11" w16cid:durableId="575826784">
    <w:abstractNumId w:val="5"/>
  </w:num>
  <w:num w:numId="12" w16cid:durableId="1768963243">
    <w:abstractNumId w:val="13"/>
  </w:num>
  <w:num w:numId="13" w16cid:durableId="1987276945">
    <w:abstractNumId w:val="6"/>
  </w:num>
  <w:num w:numId="14" w16cid:durableId="2097971043">
    <w:abstractNumId w:val="9"/>
  </w:num>
  <w:num w:numId="15" w16cid:durableId="929124998">
    <w:abstractNumId w:val="11"/>
  </w:num>
  <w:num w:numId="16" w16cid:durableId="1290429621">
    <w:abstractNumId w:val="17"/>
  </w:num>
  <w:num w:numId="17" w16cid:durableId="707072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538742314">
    <w:abstractNumId w:val="19"/>
  </w:num>
  <w:num w:numId="19" w16cid:durableId="338042273">
    <w:abstractNumId w:val="2"/>
  </w:num>
  <w:num w:numId="20" w16cid:durableId="76099221">
    <w:abstractNumId w:val="4"/>
  </w:num>
  <w:num w:numId="21" w16cid:durableId="1186674684">
    <w:abstractNumId w:val="0"/>
  </w:num>
  <w:num w:numId="22" w16cid:durableId="1158112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9030</TotalTime>
  <Pages>34</Pages>
  <Words>17930</Words>
  <Characters>102201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Mohamad Mostafa (Nokia)</cp:lastModifiedBy>
  <cp:revision>610</cp:revision>
  <dcterms:created xsi:type="dcterms:W3CDTF">2025-11-20T22:06:00Z</dcterms:created>
  <dcterms:modified xsi:type="dcterms:W3CDTF">2026-02-08T22:05:00Z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