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2849DE50" w:rsidR="00F33497" w:rsidRPr="00E44840" w:rsidRDefault="00F33497" w:rsidP="00DF622A">
            <w:pPr>
              <w:rPr>
                <w:rFonts w:eastAsiaTheme="minorEastAsia"/>
                <w:lang w:eastAsia="zh-CN"/>
              </w:rPr>
            </w:pPr>
          </w:p>
        </w:tc>
        <w:tc>
          <w:tcPr>
            <w:tcW w:w="7877" w:type="dxa"/>
          </w:tcPr>
          <w:p w14:paraId="63B706E7" w14:textId="2F08A802" w:rsidR="00F33497" w:rsidRPr="00E44840" w:rsidRDefault="00F33497" w:rsidP="00DF622A">
            <w:pPr>
              <w:rPr>
                <w:rFonts w:eastAsiaTheme="minorEastAsia"/>
                <w:lang w:eastAsia="zh-CN"/>
              </w:rPr>
            </w:pP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mmWave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lastRenderedPageBreak/>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lastRenderedPageBreak/>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 xml:space="preserve">We would like to clarify </w:t>
            </w:r>
            <w:r w:rsidR="00C82260">
              <w:rPr>
                <w:rFonts w:eastAsiaTheme="minorEastAsia"/>
                <w:lang w:eastAsia="zh-CN"/>
              </w:rPr>
              <w:lastRenderedPageBreak/>
              <w:t>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lastRenderedPageBreak/>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lastRenderedPageBreak/>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lastRenderedPageBreak/>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lastRenderedPageBreak/>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lastRenderedPageBreak/>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lastRenderedPageBreak/>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lastRenderedPageBreak/>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lastRenderedPageBreak/>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43E07199">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hint="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lastRenderedPageBreak/>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hint="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hint="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proofErr w:type="spellStart"/>
            <w:r w:rsidR="00AC4094">
              <w:rPr>
                <w:highlight w:val="green"/>
              </w:rPr>
              <w:t>green</w:t>
            </w:r>
            <w:proofErr w:type="spellEnd"/>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w:t>
            </w:r>
            <w:proofErr w:type="gramStart"/>
            <w:r>
              <w:t>both show</w:t>
            </w:r>
            <w:proofErr w:type="gramEnd"/>
            <w:r>
              <w:t xml:space="preserve">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lastRenderedPageBreak/>
        <w:t xml:space="preserve">For DFT-s-OFDM, PS/GS further degrades PAPR </w:t>
      </w:r>
      <w:r w:rsidRPr="00CA30E6">
        <w:t>if PS/GS design is only optimized for link performance gain</w:t>
      </w:r>
      <w:commentRangeEnd w:id="7"/>
      <w:r w:rsidR="00DB6D15">
        <w:rPr>
          <w:rStyle w:val="CommentReference"/>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hint="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hint="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lastRenderedPageBreak/>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lastRenderedPageBreak/>
        <w:t>Please provide your view</w:t>
      </w:r>
    </w:p>
    <w:tbl>
      <w:tblPr>
        <w:tblStyle w:val="TableGrid"/>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77777777" w:rsidR="00267F6F" w:rsidRDefault="00267F6F"/>
        </w:tc>
        <w:tc>
          <w:tcPr>
            <w:tcW w:w="7877" w:type="dxa"/>
          </w:tcPr>
          <w:p w14:paraId="7BE7E827" w14:textId="77777777" w:rsidR="00267F6F" w:rsidRDefault="00267F6F"/>
        </w:tc>
      </w:tr>
    </w:tbl>
    <w:p w14:paraId="00AB4D81" w14:textId="77777777" w:rsidR="00267F6F" w:rsidRDefault="00267F6F" w:rsidP="00DF622A"/>
    <w:p w14:paraId="3C826742" w14:textId="32FAD135" w:rsidR="00F47B84" w:rsidRDefault="00F47B84" w:rsidP="00F47B84">
      <w:pPr>
        <w:pStyle w:val="Heading2"/>
      </w:pPr>
      <w:r>
        <w:lastRenderedPageBreak/>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CommentReference"/>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77777777" w:rsidR="003A0603" w:rsidRDefault="003A0603"/>
        </w:tc>
        <w:tc>
          <w:tcPr>
            <w:tcW w:w="7877" w:type="dxa"/>
          </w:tcPr>
          <w:p w14:paraId="16F0D16B" w14:textId="77777777" w:rsidR="003A0603" w:rsidRDefault="003A0603"/>
        </w:tc>
      </w:tr>
    </w:tbl>
    <w:p w14:paraId="059EB3B8" w14:textId="77777777" w:rsidR="003A0603" w:rsidRPr="007D4E0C" w:rsidRDefault="003A0603" w:rsidP="00DF622A"/>
    <w:p w14:paraId="48270BF8" w14:textId="639E656F" w:rsidR="00705C5F" w:rsidRDefault="00DF41B8">
      <w:pPr>
        <w:pStyle w:val="Heading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lastRenderedPageBreak/>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lastRenderedPageBreak/>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lastRenderedPageBreak/>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ng Jiang" w:date="2026-02-07T08:58:00Z" w:initials="JJ">
    <w:p w14:paraId="163F748B" w14:textId="77777777" w:rsidR="00DB6D15" w:rsidRDefault="00DB6D15"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7EFC" w14:textId="77777777" w:rsidR="00690E1B" w:rsidRDefault="00690E1B" w:rsidP="00DF622A">
      <w:r>
        <w:separator/>
      </w:r>
    </w:p>
  </w:endnote>
  <w:endnote w:type="continuationSeparator" w:id="0">
    <w:p w14:paraId="46324350" w14:textId="77777777" w:rsidR="00690E1B" w:rsidRDefault="00690E1B"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191A" w14:textId="77777777" w:rsidR="00690E1B" w:rsidRDefault="00690E1B" w:rsidP="00DF622A">
      <w:r>
        <w:separator/>
      </w:r>
    </w:p>
  </w:footnote>
  <w:footnote w:type="continuationSeparator" w:id="0">
    <w:p w14:paraId="381A7993" w14:textId="77777777" w:rsidR="00690E1B" w:rsidRDefault="00690E1B"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825664">
    <w:abstractNumId w:val="3"/>
  </w:num>
  <w:num w:numId="2" w16cid:durableId="1937781860">
    <w:abstractNumId w:val="15"/>
  </w:num>
  <w:num w:numId="3" w16cid:durableId="1648972375">
    <w:abstractNumId w:val="16"/>
  </w:num>
  <w:num w:numId="4" w16cid:durableId="1956129676">
    <w:abstractNumId w:val="2"/>
  </w:num>
  <w:num w:numId="5" w16cid:durableId="1686857812">
    <w:abstractNumId w:val="8"/>
  </w:num>
  <w:num w:numId="6" w16cid:durableId="1965306082">
    <w:abstractNumId w:val="7"/>
  </w:num>
  <w:num w:numId="7" w16cid:durableId="515726954">
    <w:abstractNumId w:val="12"/>
  </w:num>
  <w:num w:numId="8" w16cid:durableId="746726364">
    <w:abstractNumId w:val="18"/>
  </w:num>
  <w:num w:numId="9" w16cid:durableId="1044329273">
    <w:abstractNumId w:val="1"/>
  </w:num>
  <w:num w:numId="10" w16cid:durableId="303893457">
    <w:abstractNumId w:val="10"/>
  </w:num>
  <w:num w:numId="11" w16cid:durableId="575826784">
    <w:abstractNumId w:val="5"/>
  </w:num>
  <w:num w:numId="12" w16cid:durableId="1768963243">
    <w:abstractNumId w:val="13"/>
  </w:num>
  <w:num w:numId="13" w16cid:durableId="1987276945">
    <w:abstractNumId w:val="6"/>
  </w:num>
  <w:num w:numId="14" w16cid:durableId="2097971043">
    <w:abstractNumId w:val="9"/>
  </w:num>
  <w:num w:numId="15" w16cid:durableId="929124998">
    <w:abstractNumId w:val="11"/>
  </w:num>
  <w:num w:numId="16" w16cid:durableId="1290429621">
    <w:abstractNumId w:val="17"/>
  </w:num>
  <w:num w:numId="17" w16cid:durableId="707072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538742314">
    <w:abstractNumId w:val="19"/>
  </w:num>
  <w:num w:numId="19" w16cid:durableId="338042273">
    <w:abstractNumId w:val="2"/>
  </w:num>
  <w:num w:numId="20" w16cid:durableId="76099221">
    <w:abstractNumId w:val="4"/>
  </w:num>
  <w:num w:numId="21" w16cid:durableId="1186674684">
    <w:abstractNumId w:val="0"/>
  </w:num>
  <w:num w:numId="22" w16cid:durableId="1158112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B24"/>
    <w:rsid w:val="00004C79"/>
    <w:rsid w:val="00005273"/>
    <w:rsid w:val="0000561E"/>
    <w:rsid w:val="00005F3F"/>
    <w:rsid w:val="0000628D"/>
    <w:rsid w:val="0000725F"/>
    <w:rsid w:val="000108CC"/>
    <w:rsid w:val="00010B82"/>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5684"/>
    <w:rsid w:val="00AF62BA"/>
    <w:rsid w:val="00AF6827"/>
    <w:rsid w:val="00AF69FE"/>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9004</TotalTime>
  <Pages>33</Pages>
  <Words>17542</Words>
  <Characters>99990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Venkata Srinivas Kothapalli</cp:lastModifiedBy>
  <cp:revision>606</cp:revision>
  <dcterms:created xsi:type="dcterms:W3CDTF">2025-11-20T22:06:00Z</dcterms:created>
  <dcterms:modified xsi:type="dcterms:W3CDTF">2026-02-08T20:47:00Z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