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FE4446"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FE4446">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FE4446">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FE4446">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FE4446">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FE4446">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FE4446">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FE4446">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FE4446">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FE4446">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FE4446">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FE4446">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FE4446">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FE4446">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FE4446">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FE4446">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FE4446">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FE4446">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FE4446">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649D70C3" w14:textId="77777777" w:rsidR="002D5D79" w:rsidRDefault="00FE4446">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FE4446">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FE4446">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m:t>
                    </m:r>
                    <m:r>
                      <w:rPr>
                        <w:rFonts w:ascii="Cambria Math" w:eastAsia="PMingLiU" w:hAnsi="Cambria Math"/>
                        <w:lang w:eastAsia="zh-TW"/>
                      </w:rPr>
                      <m:t>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450704F7" w14:textId="77777777" w:rsidR="002D5D79" w:rsidRDefault="00FE4446">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FE4446">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FE4446">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FE4446">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FE4446">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FE4446">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bookmarkStart w:id="23" w:name="_GoBack"/>
      <w:bookmarkEnd w:id="23"/>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(i)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(i)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 xml:space="preserve">The metrics of 'area efficiency' and 'computational complexity' appear to be somewhat redundant (or correlated). It is suggested to replace one of them with latency. This would </w:t>
            </w:r>
            <w:r w:rsidRPr="00FC3780">
              <w:rPr>
                <w:rFonts w:eastAsiaTheme="minorEastAsia"/>
                <w:kern w:val="2"/>
                <w:lang w:val="en-US" w:eastAsia="zh-CN"/>
              </w:rPr>
              <w:lastRenderedPageBreak/>
              <w:t>allow for a more meaningful comparison by incorporating the impact of parallelism (or row-orthogonality).</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lastRenderedPageBreak/>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lastRenderedPageBreak/>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w:t>
            </w:r>
            <w:r>
              <w:lastRenderedPageBreak/>
              <w:t>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lastRenderedPageBreak/>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lastRenderedPageBreak/>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lastRenderedPageBreak/>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lastRenderedPageBreak/>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lastRenderedPageBreak/>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lastRenderedPageBreak/>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lastRenderedPageBreak/>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lastRenderedPageBreak/>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lastRenderedPageBreak/>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FE4446">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FE4446">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FE4446">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FE4446">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FE4446">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FE4446">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FE4446">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FE4446">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lastRenderedPageBreak/>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lastRenderedPageBreak/>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FE4446">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lastRenderedPageBreak/>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lastRenderedPageBreak/>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lastRenderedPageBreak/>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8B7449" w14:paraId="272EC4DC" w14:textId="77777777" w:rsidTr="004C140F">
        <w:trPr>
          <w:jc w:val="center"/>
        </w:trPr>
        <w:tc>
          <w:tcPr>
            <w:tcW w:w="1838" w:type="dxa"/>
            <w:shd w:val="clear" w:color="auto" w:fill="FFFFFF" w:themeFill="background1"/>
          </w:tcPr>
          <w:p w14:paraId="37922D35" w14:textId="45EEEDE7" w:rsidR="008B7449" w:rsidRPr="00930FC7" w:rsidRDefault="008B7449"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We are okay with this. We suggest clarifying the intended roles/constraints for sub-matrices B and D and confirming that the chosen structure supports the targeted code-rate range without excessive puncturing and without introducing high-risk error-floor behavior.</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 xml:space="preserve">As mentioned by vivo in the previous round, the design of the BG structure must first take into account the impact on encoding. Any details that deviate from the typical 5G NR </w:t>
            </w:r>
            <w:r w:rsidRPr="00930FC7">
              <w:lastRenderedPageBreak/>
              <w:t>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D97801" w14:paraId="6309E9AC" w14:textId="77777777" w:rsidTr="004C140F">
        <w:trPr>
          <w:jc w:val="center"/>
        </w:trPr>
        <w:tc>
          <w:tcPr>
            <w:tcW w:w="1838" w:type="dxa"/>
            <w:shd w:val="clear" w:color="auto" w:fill="FFFFFF" w:themeFill="background1"/>
          </w:tcPr>
          <w:p w14:paraId="0C5F2A91" w14:textId="5A3218FE" w:rsidR="00D97801" w:rsidRPr="00930FC7" w:rsidRDefault="00D97801" w:rsidP="004C140F">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4"/>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5"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5"/>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6"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6"/>
          </w:p>
          <w:p w14:paraId="0AD7B8DD" w14:textId="77777777" w:rsidR="002D5D79" w:rsidRDefault="004D466D">
            <w:pPr>
              <w:pStyle w:val="a3"/>
              <w:spacing w:after="0"/>
              <w:jc w:val="left"/>
              <w:rPr>
                <w:b w:val="0"/>
                <w:bCs w:val="0"/>
                <w:lang w:eastAsia="zh-CN"/>
              </w:rPr>
            </w:pPr>
            <w:bookmarkStart w:id="27"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7"/>
          </w:p>
          <w:p w14:paraId="10DB9ADA" w14:textId="77777777" w:rsidR="002D5D79" w:rsidRDefault="004D466D">
            <w:pPr>
              <w:pStyle w:val="a3"/>
              <w:spacing w:after="0"/>
              <w:jc w:val="left"/>
              <w:rPr>
                <w:b w:val="0"/>
                <w:bCs w:val="0"/>
                <w:lang w:eastAsia="zh-CN"/>
              </w:rPr>
            </w:pPr>
            <w:bookmarkStart w:id="28"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8"/>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9" w:name="_Ref210116524"/>
            <w:bookmarkStart w:id="30"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9"/>
            <w:r>
              <w:rPr>
                <w:b w:val="0"/>
                <w:bCs w:val="0"/>
                <w:lang w:eastAsia="zh-CN"/>
              </w:rPr>
              <w:t>.</w:t>
            </w:r>
            <w:bookmarkEnd w:id="30"/>
          </w:p>
          <w:p w14:paraId="7D627DBC" w14:textId="77777777" w:rsidR="002D5D79" w:rsidRDefault="004D466D">
            <w:pPr>
              <w:pStyle w:val="a3"/>
              <w:spacing w:after="0"/>
              <w:jc w:val="left"/>
              <w:rPr>
                <w:b w:val="0"/>
                <w:bCs w:val="0"/>
                <w:lang w:eastAsia="zh-CN"/>
              </w:rPr>
            </w:pPr>
            <w:bookmarkStart w:id="31"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1"/>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2" w:name="_Ref220675020"/>
            <w:bookmarkStart w:id="33"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2"/>
            <w:r>
              <w:rPr>
                <w:rFonts w:eastAsia="宋体"/>
                <w:b w:val="0"/>
                <w:bCs w:val="0"/>
              </w:rPr>
              <w:t xml:space="preserve"> </w:t>
            </w:r>
            <w:bookmarkEnd w:id="33"/>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lastRenderedPageBreak/>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(i) details and spec impact, (ii) BLER/throughput gains, and (iii) clear evaluation assumptions (channel, allocation, MCS, estimation, antenna config). In particular, for inter-CB coding and bit-interleaver enhancements, we suggest throughput be reported at TB level (including code-block segmentation effects) and that the baseline/variant use identical resources and effective code rates to avoid hidden gains from resource changes.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4"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4"/>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5"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6" w:name="OLE_LINK18"/>
            <w:bookmarkEnd w:id="35"/>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6"/>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lastRenderedPageBreak/>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8195" w:type="dxa"/>
          </w:tcPr>
          <w:p w14:paraId="074BB9FE" w14:textId="77777777" w:rsidR="002D5D79" w:rsidRDefault="004D466D">
            <w:pPr>
              <w:spacing w:after="0" w:line="240" w:lineRule="auto"/>
              <w:rPr>
                <w:rFonts w:eastAsiaTheme="minorEastAsia"/>
                <w:lang w:eastAsia="zh-CN"/>
              </w:rPr>
            </w:pPr>
            <w:bookmarkStart w:id="37" w:name="OLE_LINK110"/>
            <w:bookmarkStart w:id="38" w:name="OLE_LINK187"/>
            <w:bookmarkStart w:id="39"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40" w:name="OLE_LINK588"/>
            <w:bookmarkStart w:id="41" w:name="OLE_LINK174"/>
            <w:bookmarkStart w:id="42" w:name="OLE_LINK145"/>
            <w:bookmarkStart w:id="43" w:name="OLE_LINK589"/>
          </w:p>
          <w:p w14:paraId="7F2AF393" w14:textId="77777777" w:rsidR="002D5D79" w:rsidRDefault="004D466D">
            <w:pPr>
              <w:spacing w:after="0" w:line="240" w:lineRule="auto"/>
              <w:rPr>
                <w:rFonts w:eastAsiaTheme="minorEastAsia"/>
                <w:lang w:eastAsia="zh-CN"/>
              </w:rPr>
            </w:pPr>
            <w:bookmarkStart w:id="44" w:name="OLE_LINK179"/>
            <w:bookmarkStart w:id="45" w:name="OLE_LINK176"/>
            <w:bookmarkStart w:id="46" w:name="OLE_LINK105"/>
            <w:bookmarkStart w:id="47" w:name="OLE_LINK106"/>
            <w:bookmarkEnd w:id="37"/>
            <w:bookmarkEnd w:id="38"/>
            <w:bookmarkEnd w:id="39"/>
            <w:bookmarkEnd w:id="40"/>
            <w:bookmarkEnd w:id="41"/>
            <w:bookmarkEnd w:id="42"/>
            <w:bookmarkEnd w:id="43"/>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8" w:name="OLE_LINK107"/>
            <w:bookmarkStart w:id="49" w:name="OLE_LINK108"/>
            <w:bookmarkStart w:id="50" w:name="_Hlk212837494"/>
            <w:bookmarkStart w:id="51" w:name="OLE_LINK180"/>
            <w:bookmarkEnd w:id="44"/>
            <w:bookmarkEnd w:id="45"/>
            <w:bookmarkEnd w:id="46"/>
            <w:bookmarkEnd w:id="47"/>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2" w:name="OLE_LINK181"/>
            <w:bookmarkStart w:id="53" w:name="OLE_LINK182"/>
            <w:bookmarkStart w:id="54" w:name="OLE_LINK183"/>
            <w:bookmarkEnd w:id="48"/>
            <w:bookmarkEnd w:id="49"/>
            <w:bookmarkEnd w:id="50"/>
            <w:bookmarkEnd w:id="51"/>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2"/>
            <w:bookmarkEnd w:id="53"/>
            <w:bookmarkEnd w:id="54"/>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5"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5"/>
          </w:p>
          <w:p w14:paraId="1AC9FB2C" w14:textId="77777777" w:rsidR="002D5D79" w:rsidRDefault="004D466D">
            <w:pPr>
              <w:pStyle w:val="a3"/>
              <w:spacing w:after="0"/>
              <w:jc w:val="left"/>
              <w:rPr>
                <w:b w:val="0"/>
                <w:bCs w:val="0"/>
                <w:lang w:eastAsia="zh-CN"/>
              </w:rPr>
            </w:pPr>
            <w:bookmarkStart w:id="56" w:name="_Ref220687084"/>
            <w:bookmarkStart w:id="57"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6"/>
            <w:r>
              <w:rPr>
                <w:b w:val="0"/>
                <w:bCs w:val="0"/>
                <w:lang w:eastAsia="zh-CN"/>
              </w:rPr>
              <w:t xml:space="preserve"> </w:t>
            </w:r>
            <w:bookmarkEnd w:id="57"/>
          </w:p>
          <w:p w14:paraId="51B57AC2" w14:textId="77777777" w:rsidR="002D5D79" w:rsidRDefault="004D466D">
            <w:pPr>
              <w:pStyle w:val="a3"/>
              <w:spacing w:after="0"/>
              <w:jc w:val="left"/>
              <w:rPr>
                <w:b w:val="0"/>
                <w:bCs w:val="0"/>
                <w:lang w:eastAsia="zh-CN"/>
              </w:rPr>
            </w:pPr>
            <w:bookmarkStart w:id="58"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8"/>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9"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9"/>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60"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60"/>
          </w:p>
          <w:p w14:paraId="1C1A07E0" w14:textId="77777777" w:rsidR="002D5D79" w:rsidRDefault="004D466D">
            <w:pPr>
              <w:pStyle w:val="a3"/>
              <w:spacing w:after="0"/>
              <w:jc w:val="left"/>
              <w:rPr>
                <w:b w:val="0"/>
                <w:bCs w:val="0"/>
                <w:lang w:eastAsia="zh-CN"/>
              </w:rPr>
            </w:pPr>
            <w:bookmarkStart w:id="61" w:name="_Ref213339886"/>
            <w:bookmarkStart w:id="6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1"/>
          </w:p>
          <w:p w14:paraId="2DACDE63" w14:textId="77777777" w:rsidR="002D5D79" w:rsidRDefault="004D466D">
            <w:pPr>
              <w:pStyle w:val="a3"/>
              <w:spacing w:after="0"/>
              <w:jc w:val="left"/>
              <w:rPr>
                <w:b w:val="0"/>
                <w:bCs w:val="0"/>
                <w:lang w:eastAsia="zh-CN"/>
              </w:rPr>
            </w:pPr>
            <w:bookmarkStart w:id="63" w:name="_Ref210116527"/>
            <w:bookmarkEnd w:id="6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3"/>
          </w:p>
          <w:p w14:paraId="5BDC56C7" w14:textId="77777777" w:rsidR="002D5D79" w:rsidRDefault="004D466D">
            <w:pPr>
              <w:pStyle w:val="a3"/>
              <w:spacing w:after="0"/>
              <w:jc w:val="left"/>
              <w:rPr>
                <w:b w:val="0"/>
                <w:bCs w:val="0"/>
                <w:lang w:eastAsia="zh-CN"/>
              </w:rPr>
            </w:pPr>
            <w:bookmarkStart w:id="64"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4"/>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5"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5"/>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xml:space="preserve">: The proposed length-1024 polar codes with enhanced mid-block termination outperform the legacy NR polar codes across the entire beyond-NR operating range, providing an </w:t>
            </w:r>
            <w:r>
              <w:lastRenderedPageBreak/>
              <w:t>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6" w:name="_Toc216858330"/>
            <w:bookmarkStart w:id="67"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6"/>
            <w:bookmarkEnd w:id="67"/>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8" w:name="_Toc210391746"/>
            <w:bookmarkStart w:id="69" w:name="_Toc210315421"/>
            <w:bookmarkStart w:id="70" w:name="_Toc210392316"/>
            <w:bookmarkStart w:id="71" w:name="_Toc210391787"/>
            <w:bookmarkStart w:id="72" w:name="_Toc210315483"/>
            <w:bookmarkStart w:id="73" w:name="_Toc210391863"/>
            <w:bookmarkStart w:id="74" w:name="_Toc210392319"/>
            <w:bookmarkStart w:id="75" w:name="_Toc210313300"/>
            <w:bookmarkStart w:id="76" w:name="_Toc210392317"/>
            <w:bookmarkStart w:id="77" w:name="_Toc210391939"/>
            <w:bookmarkStart w:id="78" w:name="_Toc210391975"/>
            <w:bookmarkStart w:id="79" w:name="_Toc210391894"/>
            <w:bookmarkStart w:id="80" w:name="_Toc210314626"/>
            <w:bookmarkStart w:id="81" w:name="_Toc210315485"/>
            <w:bookmarkStart w:id="82" w:name="_Toc210392029"/>
            <w:bookmarkStart w:id="83" w:name="_Toc210391865"/>
            <w:bookmarkStart w:id="84" w:name="_Toc210392314"/>
            <w:bookmarkStart w:id="85" w:name="_Toc210391938"/>
            <w:bookmarkStart w:id="86" w:name="_Toc210391748"/>
            <w:bookmarkStart w:id="87" w:name="_Toc210313262"/>
            <w:bookmarkStart w:id="88" w:name="_Toc210392030"/>
            <w:bookmarkStart w:id="89" w:name="_Toc210391976"/>
            <w:bookmarkStart w:id="90" w:name="_Toc210391745"/>
            <w:bookmarkStart w:id="91" w:name="_Toc210392150"/>
            <w:bookmarkStart w:id="92" w:name="_Toc210313337"/>
            <w:bookmarkStart w:id="93" w:name="_Toc210392148"/>
            <w:bookmarkStart w:id="94" w:name="_Toc210391893"/>
            <w:bookmarkStart w:id="95" w:name="_Toc210392028"/>
            <w:bookmarkStart w:id="96" w:name="_Toc210391977"/>
            <w:bookmarkStart w:id="97" w:name="_Toc210313225"/>
            <w:bookmarkStart w:id="98" w:name="_Toc210391866"/>
            <w:bookmarkStart w:id="99" w:name="_Toc210392031"/>
            <w:bookmarkStart w:id="100" w:name="_Toc210392315"/>
            <w:bookmarkStart w:id="101" w:name="_Toc210391864"/>
            <w:bookmarkStart w:id="102" w:name="_Toc210391790"/>
            <w:bookmarkStart w:id="103" w:name="_Toc210314380"/>
            <w:bookmarkStart w:id="104" w:name="_Toc210391940"/>
            <w:bookmarkStart w:id="105" w:name="_Toc210315318"/>
            <w:bookmarkStart w:id="106" w:name="_Toc210315356"/>
            <w:bookmarkStart w:id="107" w:name="_Toc210391788"/>
            <w:bookmarkStart w:id="108" w:name="_Toc210315484"/>
            <w:bookmarkStart w:id="109" w:name="_Toc210315423"/>
            <w:bookmarkStart w:id="110" w:name="_Toc210392146"/>
            <w:bookmarkStart w:id="111" w:name="_Toc210315422"/>
            <w:bookmarkStart w:id="112" w:name="_Toc210391789"/>
            <w:bookmarkStart w:id="113" w:name="_Toc210391892"/>
            <w:bookmarkStart w:id="114" w:name="_Toc210392145"/>
            <w:bookmarkStart w:id="115" w:name="_Toc210391974"/>
            <w:bookmarkStart w:id="116" w:name="_Toc210392147"/>
            <w:bookmarkStart w:id="117" w:name="_Toc210391941"/>
            <w:bookmarkStart w:id="118" w:name="_Toc210391747"/>
            <w:bookmarkStart w:id="119" w:name="_Toc210391895"/>
            <w:bookmarkStart w:id="120" w:name="_Toc216858331"/>
            <w:bookmarkStart w:id="121" w:name="_Toc220675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b w:val="0"/>
                <w:bCs w:val="0"/>
              </w:rPr>
              <w:t xml:space="preserve">Regarding polar code extension for downlink control channels, DCI payload size extension beyond NR range </w:t>
            </w:r>
            <w:bookmarkEnd w:id="120"/>
            <w:r>
              <w:rPr>
                <w:b w:val="0"/>
                <w:bCs w:val="0"/>
              </w:rPr>
              <w:t>is feasible from coding perspective with following possible options, with each option providing different complexity-performance trade-off, including on UE blind decoding complexity/ NW scheduling flexibility</w:t>
            </w:r>
            <w:bookmarkEnd w:id="121"/>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6"/>
            <w:r>
              <w:rPr>
                <w:b w:val="0"/>
                <w:bCs w:val="0"/>
              </w:rPr>
              <w:t>Option 1: Single DCI with maximum payload size (e.g. ~224 bits) larger than NR and DL Polar mother code length of 512</w:t>
            </w:r>
            <w:bookmarkEnd w:id="122"/>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7"/>
            <w:r>
              <w:rPr>
                <w:b w:val="0"/>
                <w:bCs w:val="0"/>
              </w:rPr>
              <w:t>Option 2: Single DCI with payload (e.g. ~224 bits) larger than NR and DL Polar mother code length of 1024</w:t>
            </w:r>
            <w:bookmarkEnd w:id="123"/>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4" w:name="_Toc220675908"/>
            <w:r>
              <w:rPr>
                <w:b w:val="0"/>
                <w:bCs w:val="0"/>
              </w:rPr>
              <w:t>Option 3: Single DCI with payload (e.g. ~224 bits) larger than NR segmented into multiple segments (e.g. 2 segments of maximum DL Polar mother code length of 512 each).</w:t>
            </w:r>
            <w:bookmarkEnd w:id="124"/>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5" w:name="_Ref205934731"/>
            <w:bookmarkStart w:id="126"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5"/>
            <w:bookmarkEnd w:id="126"/>
          </w:p>
          <w:p w14:paraId="754E741A" w14:textId="77777777" w:rsidR="002D5D79" w:rsidRDefault="004D466D">
            <w:pPr>
              <w:pStyle w:val="a3"/>
              <w:spacing w:after="0"/>
              <w:jc w:val="left"/>
              <w:rPr>
                <w:b w:val="0"/>
                <w:bCs w:val="0"/>
              </w:rPr>
            </w:pPr>
            <w:bookmarkStart w:id="127"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7"/>
          </w:p>
          <w:p w14:paraId="5DC912A3" w14:textId="77777777" w:rsidR="002D5D79" w:rsidRDefault="004D466D">
            <w:pPr>
              <w:pStyle w:val="a3"/>
              <w:spacing w:after="0"/>
              <w:jc w:val="left"/>
              <w:rPr>
                <w:b w:val="0"/>
                <w:bCs w:val="0"/>
              </w:rPr>
            </w:pPr>
            <w:bookmarkStart w:id="128"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8"/>
            <w:r>
              <w:rPr>
                <w:b w:val="0"/>
                <w:bCs w:val="0"/>
              </w:rPr>
              <w:t>.</w:t>
            </w:r>
          </w:p>
          <w:p w14:paraId="05DCE789" w14:textId="77777777" w:rsidR="002D5D79" w:rsidRDefault="004D466D">
            <w:pPr>
              <w:pStyle w:val="a3"/>
              <w:spacing w:after="0"/>
              <w:jc w:val="left"/>
              <w:rPr>
                <w:b w:val="0"/>
                <w:bCs w:val="0"/>
              </w:rPr>
            </w:pPr>
            <w:bookmarkStart w:id="129"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9"/>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30"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FE4446">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1" w:name="OLE_LINK129"/>
                  <m:r>
                    <m:rPr>
                      <m:sty m:val="p"/>
                    </m:rPr>
                    <w:rPr>
                      <w:rFonts w:ascii="Cambria Math" w:hAnsi="Cambria Math"/>
                    </w:rPr>
                    <m:t>k</m:t>
                  </m:r>
                </m:e>
                <m:sub>
                  <m:r>
                    <m:rPr>
                      <m:sty m:val="p"/>
                    </m:rPr>
                    <w:rPr>
                      <w:rFonts w:ascii="Cambria Math" w:hAnsi="Cambria Math"/>
                    </w:rPr>
                    <m:t>terminate</m:t>
                  </m:r>
                  <w:bookmarkEnd w:id="131"/>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30"/>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lastRenderedPageBreak/>
              <w:t xml:space="preserve">The discussion regarding the necessity of larger DCI/UCI payload sizes than those in 5G should be left to the control discussion on </w:t>
            </w:r>
            <w:bookmarkStart w:id="132" w:name="_Hlk220350608"/>
            <w:r>
              <w:rPr>
                <w:lang w:val="en-US"/>
              </w:rPr>
              <w:t>AI 10.5.4.1 and 10.5.4.3</w:t>
            </w:r>
            <w:bookmarkEnd w:id="132"/>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3"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3"/>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lastRenderedPageBreak/>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 xml:space="preserve">PDCCH early decoding termination </w:t>
      </w:r>
      <w:r>
        <w:lastRenderedPageBreak/>
        <w:t>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4"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5" w:name="_Toc220576102"/>
            <w:bookmarkEnd w:id="134"/>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5"/>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6"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6"/>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lastRenderedPageBreak/>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7" w:name="OLE_LINK97"/>
            <w:bookmarkStart w:id="138" w:name="OLE_LINK98"/>
            <w:bookmarkStart w:id="139"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40" w:name="OLE_LINK100"/>
            <w:bookmarkStart w:id="141" w:name="OLE_LINK99"/>
            <w:bookmarkStart w:id="142" w:name="OLE_LINK170"/>
            <w:bookmarkEnd w:id="137"/>
            <w:bookmarkEnd w:id="138"/>
            <w:bookmarkEnd w:id="139"/>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3" w:name="OLE_LINK171"/>
            <w:bookmarkStart w:id="144" w:name="OLE_LINK172"/>
            <w:bookmarkEnd w:id="140"/>
            <w:bookmarkEnd w:id="141"/>
            <w:bookmarkEnd w:id="142"/>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5" w:name="OLE_LINK158"/>
            <w:bookmarkStart w:id="146" w:name="OLE_LINK159"/>
            <w:bookmarkEnd w:id="143"/>
            <w:bookmarkEnd w:id="144"/>
            <w:r>
              <w:rPr>
                <w:rFonts w:eastAsiaTheme="minorEastAsia"/>
                <w:lang w:eastAsia="zh-CN"/>
              </w:rPr>
              <w:t xml:space="preserve">Observation 8: </w:t>
            </w:r>
            <w:bookmarkStart w:id="147" w:name="OLE_LINK134"/>
            <w:bookmarkStart w:id="148" w:name="OLE_LINK139"/>
            <w:bookmarkStart w:id="149" w:name="OLE_LINK135"/>
            <w:bookmarkStart w:id="150" w:name="OLE_LINK138"/>
            <w:bookmarkStart w:id="151" w:name="OLE_LINK136"/>
            <w:bookmarkStart w:id="152"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7"/>
            <w:bookmarkEnd w:id="148"/>
            <w:bookmarkEnd w:id="149"/>
            <w:bookmarkEnd w:id="150"/>
          </w:p>
          <w:p w14:paraId="4A35A26C" w14:textId="77777777" w:rsidR="002D5D79" w:rsidRDefault="004D466D">
            <w:pPr>
              <w:spacing w:after="0" w:line="240" w:lineRule="auto"/>
              <w:rPr>
                <w:rFonts w:eastAsiaTheme="minorEastAsia"/>
                <w:lang w:eastAsia="zh-CN"/>
              </w:rPr>
            </w:pPr>
            <w:bookmarkStart w:id="153" w:name="OLE_LINK173"/>
            <w:bookmarkStart w:id="154" w:name="OLE_LINK175"/>
            <w:bookmarkEnd w:id="145"/>
            <w:bookmarkEnd w:id="146"/>
            <w:bookmarkEnd w:id="151"/>
            <w:bookmarkEnd w:id="152"/>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3"/>
            <w:bookmarkEnd w:id="154"/>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5"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5"/>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6"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6"/>
          </w:p>
          <w:p w14:paraId="7EB662F0" w14:textId="77777777" w:rsidR="002D5D79" w:rsidRDefault="004D466D">
            <w:pPr>
              <w:pStyle w:val="a3"/>
              <w:spacing w:after="0"/>
              <w:jc w:val="left"/>
              <w:rPr>
                <w:b w:val="0"/>
                <w:bCs w:val="0"/>
                <w:lang w:eastAsia="zh-CN"/>
              </w:rPr>
            </w:pPr>
            <w:bookmarkStart w:id="157"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7"/>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 xml:space="preserve">Proposal 3: Investigate the interaction between CRC architecture, bit-interleaving, and segmentation for Polar codes when using more than two segments. The study should focus on isolating segment dependencies for parallel decoding, optimizing sub-block interleaving for </w:t>
            </w:r>
            <w:r>
              <w:rPr>
                <w:szCs w:val="24"/>
                <w:lang w:eastAsia="en-GB"/>
              </w:rPr>
              <w:lastRenderedPageBreak/>
              <w:t>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xml:space="preserve">: UCI payload sizes are expected to increase in 6G due to advanced MIMO configurations, wider bandwidths, and enhanced CSI reporting requirements; therefore, 6G </w:t>
            </w:r>
            <w:r>
              <w:lastRenderedPageBreak/>
              <w:t>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8" w:name="_Toc220675901"/>
            <w:bookmarkStart w:id="159" w:name="_Toc216858329"/>
            <w:r>
              <w:rPr>
                <w:b w:val="0"/>
                <w:bCs w:val="0"/>
              </w:rPr>
              <w:t>Regarding polar code extension for uplink control channels,</w:t>
            </w:r>
            <w:bookmarkEnd w:id="158"/>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2"/>
            <w:r>
              <w:rPr>
                <w:b w:val="0"/>
                <w:bCs w:val="0"/>
              </w:rPr>
              <w:t>Whether the UCI payloads would exceed the NR range (e.g. 1706 bits payload) is unclear and there exist alternate solutions that do not require increase of Polar code complexity.</w:t>
            </w:r>
            <w:bookmarkEnd w:id="159"/>
            <w:bookmarkEnd w:id="160"/>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1" w:name="_Toc220675903"/>
            <w:r>
              <w:rPr>
                <w:b w:val="0"/>
                <w:bCs w:val="0"/>
              </w:rPr>
              <w:t>For potential L1 UCI payload sizes larger than NR (i.e. &gt; 1706 bits), more than 2 segments and ≤ 6 segments can offer improved BLER performance at the cost of increased decoding complexity and latency.</w:t>
            </w:r>
            <w:bookmarkEnd w:id="161"/>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lastRenderedPageBreak/>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 xml:space="preserve">CATT observed that the 5G NR segmentation rule results in up to about 0.5dB performance loss </w:t>
      </w:r>
      <w:r>
        <w:rPr>
          <w:rFonts w:hint="eastAsia"/>
          <w:iCs/>
          <w:lang w:val="en-US" w:eastAsia="zh-CN"/>
        </w:rPr>
        <w:lastRenderedPageBreak/>
        <w:t>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2" w:name="_Hlk214035182"/>
      <w:r>
        <w:t xml:space="preserve"> more antenna ports:</w:t>
      </w:r>
      <w:bookmarkEnd w:id="162"/>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lastRenderedPageBreak/>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w:t>
            </w:r>
            <w:r>
              <w:rPr>
                <w:rFonts w:eastAsiaTheme="minorEastAsia" w:hint="eastAsia"/>
                <w:kern w:val="2"/>
                <w:lang w:val="en-US" w:eastAsia="zh-CN"/>
              </w:rPr>
              <w:lastRenderedPageBreak/>
              <w:t xml:space="preserve">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behavior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3" w:name="_Toc210234226"/>
            <w:bookmarkStart w:id="164"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3"/>
            <w:bookmarkEnd w:id="164"/>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5" w:name="OLE_LINK185"/>
            <w:bookmarkStart w:id="166"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7" w:name="OLE_LINK186"/>
            <w:bookmarkEnd w:id="165"/>
            <w:bookmarkEnd w:id="166"/>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7"/>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8"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8"/>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9"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9"/>
          </w:p>
          <w:p w14:paraId="5064029B" w14:textId="77777777" w:rsidR="002D5D79" w:rsidRDefault="004D466D">
            <w:pPr>
              <w:pStyle w:val="a3"/>
              <w:spacing w:after="0"/>
              <w:jc w:val="left"/>
              <w:rPr>
                <w:b w:val="0"/>
                <w:bCs w:val="0"/>
                <w:lang w:eastAsia="zh-CN"/>
              </w:rPr>
            </w:pPr>
            <w:bookmarkStart w:id="170"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70"/>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lastRenderedPageBreak/>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1"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1"/>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2" w:name="_Toc220675889"/>
            <w:bookmarkStart w:id="173" w:name="_Toc216858335"/>
            <w:r>
              <w:rPr>
                <w:b w:val="0"/>
                <w:bCs w:val="0"/>
              </w:rPr>
              <w:t>For channel coding of up to K=11 bits, the corresponding NR channel codes are reused, i.e.</w:t>
            </w:r>
            <w:bookmarkEnd w:id="172"/>
            <w:bookmarkEnd w:id="173"/>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4" w:name="_Toc220675890"/>
            <w:bookmarkStart w:id="175" w:name="_Toc216858336"/>
            <w:r>
              <w:rPr>
                <w:b w:val="0"/>
                <w:bCs w:val="0"/>
              </w:rPr>
              <w:t>K=1: repetition code</w:t>
            </w:r>
            <w:bookmarkEnd w:id="174"/>
            <w:bookmarkEnd w:id="175"/>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6" w:name="_Toc216858337"/>
            <w:bookmarkStart w:id="177" w:name="_Toc220675891"/>
            <w:r>
              <w:rPr>
                <w:b w:val="0"/>
                <w:bCs w:val="0"/>
              </w:rPr>
              <w:t>K=2: simplex code</w:t>
            </w:r>
            <w:bookmarkEnd w:id="176"/>
            <w:bookmarkEnd w:id="177"/>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8" w:name="_Toc216858338"/>
            <w:bookmarkStart w:id="179" w:name="_Toc220675892"/>
            <w:r>
              <w:rPr>
                <w:b w:val="0"/>
                <w:bCs w:val="0"/>
              </w:rPr>
              <w:t>3&lt;=K&lt;=11: LTE/NR Reed-Mueller code</w:t>
            </w:r>
            <w:bookmarkEnd w:id="178"/>
            <w:r>
              <w:rPr>
                <w:b w:val="0"/>
                <w:bCs w:val="0"/>
              </w:rPr>
              <w:t>.</w:t>
            </w:r>
            <w:bookmarkEnd w:id="179"/>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80" w:name="_Hlk220664515"/>
            <w:r>
              <w:rPr>
                <w:rFonts w:eastAsia="MS Mincho"/>
              </w:rPr>
              <w:t>Proposal 7:</w:t>
            </w:r>
            <w:r>
              <w:t xml:space="preserve"> </w:t>
            </w:r>
            <w:r>
              <w:rPr>
                <w:rFonts w:eastAsia="MS Mincho"/>
              </w:rPr>
              <w:t>Study the pros and cons of using downloadable, AI/ML-generated sequence(s) for PUCCH carrying HARQ feedback</w:t>
            </w:r>
            <w:bookmarkEnd w:id="180"/>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1" w:name="_Ref210381634"/>
            <w:bookmarkStart w:id="182"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1"/>
            <w:r>
              <w:rPr>
                <w:rFonts w:eastAsia="宋体"/>
                <w:b w:val="0"/>
                <w:bCs w:val="0"/>
              </w:rPr>
              <w:t xml:space="preserve"> FFS the maximal payload size K and coded bits N values supported by this new code.</w:t>
            </w:r>
            <w:bookmarkEnd w:id="182"/>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3"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3"/>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4"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4"/>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lastRenderedPageBreak/>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lastRenderedPageBreak/>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5"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5"/>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6"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6"/>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7"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7"/>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lastRenderedPageBreak/>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lastRenderedPageBreak/>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8"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8"/>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FE4446">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9"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9"/>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90"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FE4446"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90"/>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FE4446"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FE4446"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m:t>
              </m:r>
              <m:r>
                <w:rPr>
                  <w:rFonts w:ascii="Cambria Math" w:hAnsi="Cambria Math"/>
                  <w:color w:val="EE0000"/>
                </w:rPr>
                <m:t>Z</m:t>
              </m:r>
            </m:num>
            <m:den>
              <m:r>
                <w:rPr>
                  <w:rFonts w:ascii="Cambria Math" w:hAnsi="Cambria Math"/>
                  <w:color w:val="EE0000"/>
                </w:rPr>
                <m:t>I</m:t>
              </m:r>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lastRenderedPageBreak/>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lastRenderedPageBreak/>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lastRenderedPageBreak/>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宋体"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FE4446"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lastRenderedPageBreak/>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lastRenderedPageBreak/>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lastRenderedPageBreak/>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lastRenderedPageBreak/>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lastRenderedPageBreak/>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EC407" w14:textId="77777777" w:rsidR="00FE4446" w:rsidRDefault="00FE4446">
      <w:pPr>
        <w:spacing w:line="240" w:lineRule="auto"/>
      </w:pPr>
      <w:r>
        <w:separator/>
      </w:r>
    </w:p>
  </w:endnote>
  <w:endnote w:type="continuationSeparator" w:id="0">
    <w:p w14:paraId="38CC2913" w14:textId="77777777" w:rsidR="00FE4446" w:rsidRDefault="00FE4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altName w:val="Times New Roman"/>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Malgun Gothic Semilight"/>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44040"/>
      <w:docPartObj>
        <w:docPartGallery w:val="AutoText"/>
      </w:docPartObj>
    </w:sdtPr>
    <w:sdtEnd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E974C" w14:textId="77777777" w:rsidR="00FE4446" w:rsidRDefault="00FE4446">
      <w:pPr>
        <w:spacing w:after="0"/>
      </w:pPr>
      <w:r>
        <w:separator/>
      </w:r>
    </w:p>
  </w:footnote>
  <w:footnote w:type="continuationSeparator" w:id="0">
    <w:p w14:paraId="66EBB0F6" w14:textId="77777777" w:rsidR="00FE4446" w:rsidRDefault="00FE44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7"/>
  </w:num>
  <w:num w:numId="3">
    <w:abstractNumId w:val="14"/>
  </w:num>
  <w:num w:numId="4">
    <w:abstractNumId w:val="76"/>
  </w:num>
  <w:num w:numId="5">
    <w:abstractNumId w:val="3"/>
  </w:num>
  <w:num w:numId="6">
    <w:abstractNumId w:val="1"/>
  </w:num>
  <w:num w:numId="7">
    <w:abstractNumId w:val="2"/>
  </w:num>
  <w:num w:numId="8">
    <w:abstractNumId w:val="71"/>
  </w:num>
  <w:num w:numId="9">
    <w:abstractNumId w:val="58"/>
  </w:num>
  <w:num w:numId="10">
    <w:abstractNumId w:val="113"/>
  </w:num>
  <w:num w:numId="11">
    <w:abstractNumId w:val="72"/>
  </w:num>
  <w:num w:numId="12">
    <w:abstractNumId w:val="111"/>
  </w:num>
  <w:num w:numId="13">
    <w:abstractNumId w:val="6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4"/>
  </w:num>
  <w:num w:numId="17">
    <w:abstractNumId w:val="52"/>
  </w:num>
  <w:num w:numId="18">
    <w:abstractNumId w:val="91"/>
  </w:num>
  <w:num w:numId="19">
    <w:abstractNumId w:val="26"/>
  </w:num>
  <w:num w:numId="20">
    <w:abstractNumId w:val="96"/>
  </w:num>
  <w:num w:numId="21">
    <w:abstractNumId w:val="102"/>
  </w:num>
  <w:num w:numId="22">
    <w:abstractNumId w:val="31"/>
  </w:num>
  <w:num w:numId="23">
    <w:abstractNumId w:val="110"/>
  </w:num>
  <w:num w:numId="24">
    <w:abstractNumId w:val="67"/>
  </w:num>
  <w:num w:numId="25">
    <w:abstractNumId w:val="25"/>
  </w:num>
  <w:num w:numId="26">
    <w:abstractNumId w:val="109"/>
  </w:num>
  <w:num w:numId="27">
    <w:abstractNumId w:val="65"/>
  </w:num>
  <w:num w:numId="28">
    <w:abstractNumId w:val="93"/>
  </w:num>
  <w:num w:numId="29">
    <w:abstractNumId w:val="104"/>
  </w:num>
  <w:num w:numId="30">
    <w:abstractNumId w:val="55"/>
  </w:num>
  <w:num w:numId="31">
    <w:abstractNumId w:val="27"/>
  </w:num>
  <w:num w:numId="32">
    <w:abstractNumId w:val="4"/>
  </w:num>
  <w:num w:numId="33">
    <w:abstractNumId w:val="57"/>
  </w:num>
  <w:num w:numId="34">
    <w:abstractNumId w:val="54"/>
  </w:num>
  <w:num w:numId="35">
    <w:abstractNumId w:val="50"/>
  </w:num>
  <w:num w:numId="36">
    <w:abstractNumId w:val="5"/>
  </w:num>
  <w:num w:numId="37">
    <w:abstractNumId w:val="73"/>
  </w:num>
  <w:num w:numId="38">
    <w:abstractNumId w:val="10"/>
  </w:num>
  <w:num w:numId="39">
    <w:abstractNumId w:val="40"/>
  </w:num>
  <w:num w:numId="40">
    <w:abstractNumId w:val="92"/>
  </w:num>
  <w:num w:numId="41">
    <w:abstractNumId w:val="85"/>
  </w:num>
  <w:num w:numId="42">
    <w:abstractNumId w:val="42"/>
  </w:num>
  <w:num w:numId="43">
    <w:abstractNumId w:val="77"/>
  </w:num>
  <w:num w:numId="44">
    <w:abstractNumId w:val="37"/>
  </w:num>
  <w:num w:numId="45">
    <w:abstractNumId w:val="79"/>
  </w:num>
  <w:num w:numId="46">
    <w:abstractNumId w:val="29"/>
  </w:num>
  <w:num w:numId="47">
    <w:abstractNumId w:val="34"/>
  </w:num>
  <w:num w:numId="48">
    <w:abstractNumId w:val="116"/>
  </w:num>
  <w:num w:numId="49">
    <w:abstractNumId w:val="0"/>
  </w:num>
  <w:num w:numId="50">
    <w:abstractNumId w:val="30"/>
  </w:num>
  <w:num w:numId="51">
    <w:abstractNumId w:val="94"/>
  </w:num>
  <w:num w:numId="52">
    <w:abstractNumId w:val="70"/>
  </w:num>
  <w:num w:numId="53">
    <w:abstractNumId w:val="98"/>
  </w:num>
  <w:num w:numId="54">
    <w:abstractNumId w:val="6"/>
  </w:num>
  <w:num w:numId="55">
    <w:abstractNumId w:val="60"/>
  </w:num>
  <w:num w:numId="56">
    <w:abstractNumId w:val="13"/>
  </w:num>
  <w:num w:numId="57">
    <w:abstractNumId w:val="17"/>
  </w:num>
  <w:num w:numId="58">
    <w:abstractNumId w:val="108"/>
  </w:num>
  <w:num w:numId="59">
    <w:abstractNumId w:val="36"/>
  </w:num>
  <w:num w:numId="60">
    <w:abstractNumId w:val="62"/>
  </w:num>
  <w:num w:numId="61">
    <w:abstractNumId w:val="90"/>
  </w:num>
  <w:num w:numId="62">
    <w:abstractNumId w:val="68"/>
  </w:num>
  <w:num w:numId="63">
    <w:abstractNumId w:val="89"/>
  </w:num>
  <w:num w:numId="64">
    <w:abstractNumId w:val="28"/>
  </w:num>
  <w:num w:numId="65">
    <w:abstractNumId w:val="97"/>
  </w:num>
  <w:num w:numId="66">
    <w:abstractNumId w:val="74"/>
  </w:num>
  <w:num w:numId="67">
    <w:abstractNumId w:val="39"/>
  </w:num>
  <w:num w:numId="68">
    <w:abstractNumId w:val="44"/>
  </w:num>
  <w:num w:numId="69">
    <w:abstractNumId w:val="95"/>
  </w:num>
  <w:num w:numId="70">
    <w:abstractNumId w:val="103"/>
  </w:num>
  <w:num w:numId="71">
    <w:abstractNumId w:val="7"/>
  </w:num>
  <w:num w:numId="72">
    <w:abstractNumId w:val="15"/>
  </w:num>
  <w:num w:numId="73">
    <w:abstractNumId w:val="87"/>
  </w:num>
  <w:num w:numId="74">
    <w:abstractNumId w:val="51"/>
  </w:num>
  <w:num w:numId="75">
    <w:abstractNumId w:val="49"/>
  </w:num>
  <w:num w:numId="76">
    <w:abstractNumId w:val="11"/>
  </w:num>
  <w:num w:numId="77">
    <w:abstractNumId w:val="53"/>
  </w:num>
  <w:num w:numId="78">
    <w:abstractNumId w:val="100"/>
  </w:num>
  <w:num w:numId="79">
    <w:abstractNumId w:val="112"/>
  </w:num>
  <w:num w:numId="80">
    <w:abstractNumId w:val="82"/>
  </w:num>
  <w:num w:numId="81">
    <w:abstractNumId w:val="16"/>
  </w:num>
  <w:num w:numId="82">
    <w:abstractNumId w:val="24"/>
  </w:num>
  <w:num w:numId="83">
    <w:abstractNumId w:val="114"/>
  </w:num>
  <w:num w:numId="84">
    <w:abstractNumId w:val="83"/>
  </w:num>
  <w:num w:numId="85">
    <w:abstractNumId w:val="43"/>
  </w:num>
  <w:num w:numId="86">
    <w:abstractNumId w:val="12"/>
  </w:num>
  <w:num w:numId="87">
    <w:abstractNumId w:val="48"/>
  </w:num>
  <w:num w:numId="88">
    <w:abstractNumId w:val="66"/>
  </w:num>
  <w:num w:numId="89">
    <w:abstractNumId w:val="80"/>
  </w:num>
  <w:num w:numId="90">
    <w:abstractNumId w:val="115"/>
  </w:num>
  <w:num w:numId="91">
    <w:abstractNumId w:val="23"/>
  </w:num>
  <w:num w:numId="92">
    <w:abstractNumId w:val="35"/>
  </w:num>
  <w:num w:numId="93">
    <w:abstractNumId w:val="78"/>
  </w:num>
  <w:num w:numId="94">
    <w:abstractNumId w:val="75"/>
  </w:num>
  <w:num w:numId="95">
    <w:abstractNumId w:val="81"/>
  </w:num>
  <w:num w:numId="96">
    <w:abstractNumId w:val="20"/>
  </w:num>
  <w:num w:numId="97">
    <w:abstractNumId w:val="22"/>
  </w:num>
  <w:num w:numId="98">
    <w:abstractNumId w:val="107"/>
  </w:num>
  <w:num w:numId="99">
    <w:abstractNumId w:val="84"/>
  </w:num>
  <w:num w:numId="100">
    <w:abstractNumId w:val="38"/>
  </w:num>
  <w:num w:numId="101">
    <w:abstractNumId w:val="19"/>
  </w:num>
  <w:num w:numId="102">
    <w:abstractNumId w:val="105"/>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num>
  <w:num w:numId="105">
    <w:abstractNumId w:val="33"/>
  </w:num>
  <w:num w:numId="106">
    <w:abstractNumId w:val="21"/>
  </w:num>
  <w:num w:numId="107">
    <w:abstractNumId w:val="41"/>
  </w:num>
  <w:num w:numId="108">
    <w:abstractNumId w:val="69"/>
  </w:num>
  <w:num w:numId="109">
    <w:abstractNumId w:val="88"/>
  </w:num>
  <w:num w:numId="110">
    <w:abstractNumId w:val="56"/>
  </w:num>
  <w:num w:numId="111">
    <w:abstractNumId w:val="101"/>
  </w:num>
  <w:num w:numId="112">
    <w:abstractNumId w:val="116"/>
  </w:num>
  <w:num w:numId="113">
    <w:abstractNumId w:val="45"/>
  </w:num>
  <w:num w:numId="114">
    <w:abstractNumId w:val="59"/>
  </w:num>
  <w:num w:numId="115">
    <w:abstractNumId w:val="86"/>
  </w:num>
  <w:num w:numId="116">
    <w:abstractNumId w:val="18"/>
  </w:num>
  <w:num w:numId="117">
    <w:abstractNumId w:val="106"/>
  </w:num>
  <w:num w:numId="118">
    <w:abstractNumId w:val="9"/>
  </w:num>
  <w:num w:numId="11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出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42076</Words>
  <Characters>239835</Characters>
  <Application>Microsoft Office Word</Application>
  <DocSecurity>0</DocSecurity>
  <Lines>1998</Lines>
  <Paragraphs>562</Paragraphs>
  <ScaleCrop>false</ScaleCrop>
  <Company/>
  <LinksUpToDate>false</LinksUpToDate>
  <CharactersWithSpaces>281349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X13</cp:lastModifiedBy>
  <cp:revision>2</cp:revision>
  <dcterms:created xsi:type="dcterms:W3CDTF">2026-02-11T09:23:00Z</dcterms:created>
  <dcterms:modified xsi:type="dcterms:W3CDTF">2026-02-11T09:23:00Z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