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 ]</w:t>
            </w:r>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FAR</w:t>
            </w:r>
            <w:r w:rsidR="00871EF1">
              <w:rPr>
                <w:rFonts w:eastAsiaTheme="minorEastAsia" w:hint="eastAsia"/>
                <w:kern w:val="24"/>
                <w:lang w:eastAsia="zh-CN"/>
              </w:rPr>
              <w:t>(</w:t>
            </w:r>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F15875" w14:paraId="1C1EB44D" w14:textId="77777777" w:rsidTr="004C140F">
        <w:trPr>
          <w:jc w:val="center"/>
        </w:trPr>
        <w:tc>
          <w:tcPr>
            <w:tcW w:w="1838" w:type="dxa"/>
            <w:shd w:val="clear" w:color="auto" w:fill="FFFFFF" w:themeFill="background1"/>
          </w:tcPr>
          <w:p w14:paraId="76A2D079" w14:textId="7C286314" w:rsidR="00F15875" w:rsidRDefault="00F1587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24A6C5" w14:textId="77777777" w:rsidR="00F15875" w:rsidRPr="00042892" w:rsidRDefault="00F15875" w:rsidP="004C140F">
            <w:pPr>
              <w:adjustRightInd w:val="0"/>
              <w:spacing w:after="50" w:line="240" w:lineRule="auto"/>
              <w:jc w:val="left"/>
              <w:rPr>
                <w:rFonts w:eastAsiaTheme="minorEastAsia"/>
                <w:kern w:val="2"/>
                <w:lang w:val="en-US" w:eastAsia="zh-CN"/>
              </w:rPr>
            </w:pP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lastRenderedPageBreak/>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8"/>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9"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0"/>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761ED5" w14:paraId="51B0601A" w14:textId="77777777" w:rsidTr="004C140F">
        <w:trPr>
          <w:jc w:val="center"/>
        </w:trPr>
        <w:tc>
          <w:tcPr>
            <w:tcW w:w="1838" w:type="dxa"/>
            <w:shd w:val="clear" w:color="auto" w:fill="FFFFFF" w:themeFill="background1"/>
          </w:tcPr>
          <w:p w14:paraId="6EF51485" w14:textId="77777777" w:rsidR="00761ED5" w:rsidRDefault="00761ED5"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B2125B5" w14:textId="77777777" w:rsidR="00761ED5" w:rsidRPr="00750EED" w:rsidRDefault="00761ED5" w:rsidP="004C140F">
            <w:pPr>
              <w:adjustRightInd w:val="0"/>
              <w:spacing w:after="50" w:line="240" w:lineRule="auto"/>
              <w:jc w:val="left"/>
              <w:rPr>
                <w:rFonts w:eastAsiaTheme="minorEastAsia"/>
                <w:kern w:val="2"/>
                <w:lang w:val="en-US" w:eastAsia="zh-CN"/>
              </w:rPr>
            </w:pP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 xml:space="preserve">Improved BLER performance under same complexity within the target code rates </w:t>
            </w:r>
            <w:r>
              <w:rPr>
                <w:lang w:eastAsia="zh-CN"/>
              </w:rPr>
              <w:lastRenderedPageBreak/>
              <w:t>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lastRenderedPageBreak/>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lastRenderedPageBreak/>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t xml:space="preserve">Observation 4: A QC-LDPC code designed based on a larger 4x37 core matrix demonstrates significant advantages over the NR BG1 at the peak code rate for low-iteration decoding. The </w:t>
            </w:r>
            <w:r>
              <w:rPr>
                <w:rFonts w:eastAsia="等线"/>
                <w:lang w:eastAsia="zh-CN"/>
              </w:rPr>
              <w:lastRenderedPageBreak/>
              <w:t>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lastRenderedPageBreak/>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lastRenderedPageBreak/>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lastRenderedPageBreak/>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lastRenderedPageBreak/>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=384, multiple instances of a baseline LDPC decoder implementation achieves 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lastRenderedPageBreak/>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Verizon, CMCC, China Telecom, China Unicom, Samsung, ZTE, Sanechips,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lastRenderedPageBreak/>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Observation 5: Increasing Zc,max can materially 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lastRenderedPageBreak/>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lastRenderedPageBreak/>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lastRenderedPageBreak/>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lastRenderedPageBreak/>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lastRenderedPageBreak/>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lastRenderedPageBreak/>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lastRenderedPageBreak/>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lastRenderedPageBreak/>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r w:rsidR="00D97801">
              <w:rPr>
                <w:rFonts w:eastAsiaTheme="minorEastAsia" w:hint="eastAsia"/>
                <w:b/>
                <w:bCs/>
                <w:kern w:val="2"/>
                <w:lang w:val="en-US" w:eastAsia="zh-CN"/>
              </w:rPr>
              <w:t>c</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w:t>
            </w:r>
            <w:r>
              <w:rPr>
                <w:rFonts w:eastAsiaTheme="minorEastAsia"/>
                <w:kern w:val="2"/>
                <w:lang w:val="en-US" w:eastAsia="zh-CN"/>
              </w:rPr>
              <w:lastRenderedPageBreak/>
              <w:t>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w:t>
            </w:r>
            <w:r>
              <w:rPr>
                <w:rFonts w:eastAsia="MS Mincho"/>
                <w:kern w:val="2"/>
                <w:lang w:val="en-US" w:eastAsia="ja-JP"/>
              </w:rPr>
              <w:lastRenderedPageBreak/>
              <w:t>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lastRenderedPageBreak/>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9"/>
              <w:numPr>
                <w:ilvl w:val="0"/>
                <w:numId w:val="23"/>
              </w:numPr>
              <w:spacing w:before="100" w:beforeAutospacing="1" w:line="259" w:lineRule="auto"/>
              <w:ind w:firstLineChars="0"/>
              <w:jc w:val="left"/>
              <w:rPr>
                <w:rFonts w:eastAsia="等线"/>
              </w:rPr>
            </w:pPr>
            <w:r>
              <w:rPr>
                <w:rFonts w:eastAsiaTheme="minorEastAsia" w:hint="eastAsia"/>
                <w:kern w:val="2"/>
                <w:lang w:val="en-US" w:eastAsia="zh-CN"/>
              </w:rPr>
              <w:t xml:space="preserve"> </w:t>
            </w: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8B7449" w14:paraId="272EC4DC" w14:textId="77777777" w:rsidTr="004C140F">
        <w:trPr>
          <w:jc w:val="center"/>
        </w:trPr>
        <w:tc>
          <w:tcPr>
            <w:tcW w:w="1838" w:type="dxa"/>
            <w:shd w:val="clear" w:color="auto" w:fill="FFFFFF" w:themeFill="background1"/>
          </w:tcPr>
          <w:p w14:paraId="37922D35" w14:textId="45EEEDE7" w:rsidR="008B7449" w:rsidRDefault="008B7449"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DDD2058" w14:textId="5EFA5DD7" w:rsidR="008B7449" w:rsidRDefault="008B7449" w:rsidP="004C140F">
            <w:pPr>
              <w:adjustRightInd w:val="0"/>
              <w:spacing w:after="50" w:line="240" w:lineRule="auto"/>
              <w:jc w:val="left"/>
              <w:rPr>
                <w:rFonts w:eastAsiaTheme="minorEastAsia"/>
                <w:kern w:val="2"/>
                <w:lang w:val="en-US" w:eastAsia="zh-CN"/>
              </w:rPr>
            </w:pP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TW"/>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D97801" w14:paraId="1566307F" w14:textId="77777777" w:rsidTr="004C140F">
        <w:trPr>
          <w:jc w:val="center"/>
        </w:trPr>
        <w:tc>
          <w:tcPr>
            <w:tcW w:w="1838" w:type="dxa"/>
            <w:shd w:val="clear" w:color="auto" w:fill="FFFFFF" w:themeFill="background1"/>
          </w:tcPr>
          <w:p w14:paraId="71FF6967" w14:textId="3055E78A"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7B9092" w14:textId="709F74EF" w:rsidR="00D97801" w:rsidRDefault="00D97801" w:rsidP="004C140F">
            <w:pPr>
              <w:adjustRightInd w:val="0"/>
              <w:spacing w:after="50" w:line="240" w:lineRule="auto"/>
              <w:jc w:val="left"/>
              <w:rPr>
                <w:rFonts w:eastAsiaTheme="minorEastAsia"/>
                <w:kern w:val="2"/>
                <w:lang w:val="en-US" w:eastAsia="zh-CN"/>
              </w:rPr>
            </w:pPr>
          </w:p>
        </w:tc>
      </w:tr>
      <w:tr w:rsidR="00D97801" w14:paraId="6309E9AC" w14:textId="77777777" w:rsidTr="004C140F">
        <w:trPr>
          <w:jc w:val="center"/>
        </w:trPr>
        <w:tc>
          <w:tcPr>
            <w:tcW w:w="1838" w:type="dxa"/>
            <w:shd w:val="clear" w:color="auto" w:fill="FFFFFF" w:themeFill="background1"/>
          </w:tcPr>
          <w:p w14:paraId="0C5F2A91" w14:textId="5A3218FE" w:rsidR="00D97801" w:rsidRDefault="00D97801"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9F0B985" w14:textId="14D8BF5D" w:rsidR="00D97801" w:rsidRDefault="00D97801" w:rsidP="004C140F">
            <w:pPr>
              <w:adjustRightInd w:val="0"/>
              <w:spacing w:after="50" w:line="240" w:lineRule="auto"/>
              <w:jc w:val="left"/>
              <w:rPr>
                <w:rFonts w:eastAsiaTheme="minorEastAsia"/>
                <w:kern w:val="2"/>
                <w:lang w:val="en-US" w:eastAsia="zh-CN"/>
              </w:rPr>
            </w:pPr>
          </w:p>
        </w:tc>
      </w:tr>
    </w:tbl>
    <w:p w14:paraId="57F18BFB" w14:textId="77777777" w:rsidR="00D97801" w:rsidRPr="00D97801" w:rsidRDefault="00D97801">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lastRenderedPageBreak/>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lastRenderedPageBreak/>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lastRenderedPageBreak/>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lastRenderedPageBreak/>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lastRenderedPageBreak/>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Option 2: Redefine the 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 xml:space="preserve">Fraunhofer IIS, </w:t>
            </w:r>
            <w:r>
              <w:rPr>
                <w:rFonts w:eastAsia="宋体"/>
                <w:color w:val="000000"/>
                <w:lang w:val="en-US" w:eastAsia="zh-CN" w:bidi="ar"/>
              </w:rPr>
              <w:lastRenderedPageBreak/>
              <w:t>Fraunhofer HHI</w:t>
            </w:r>
          </w:p>
        </w:tc>
        <w:tc>
          <w:tcPr>
            <w:tcW w:w="8195" w:type="dxa"/>
          </w:tcPr>
          <w:p w14:paraId="1BB9FF53" w14:textId="77777777" w:rsidR="002D5D79" w:rsidRDefault="004D466D">
            <w:pPr>
              <w:spacing w:after="0" w:line="240" w:lineRule="auto"/>
            </w:pPr>
            <w:r>
              <w:lastRenderedPageBreak/>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lastRenderedPageBreak/>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lastRenderedPageBreak/>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lastRenderedPageBreak/>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lastRenderedPageBreak/>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lastRenderedPageBreak/>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 xml:space="preserve">Proposal 2: For the DCI/UCI with payload sizes beyond NR range, on top of more segments, further enhancements on polar code design, e.g., the Polar-SPC scheme can be considered, where </w:t>
            </w:r>
            <w:r>
              <w:rPr>
                <w:lang w:val="en-US" w:eastAsia="zh-CN"/>
              </w:rPr>
              <w:lastRenderedPageBreak/>
              <w:t>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lastRenderedPageBreak/>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lastRenderedPageBreak/>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w:t>
      </w:r>
      <w:r>
        <w:rPr>
          <w:rFonts w:eastAsia="宋体" w:hint="eastAsia"/>
          <w:color w:val="000000"/>
          <w:lang w:val="en-US" w:eastAsia="zh-CN" w:bidi="ar"/>
        </w:rPr>
        <w:lastRenderedPageBreak/>
        <w:t>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lastRenderedPageBreak/>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lastRenderedPageBreak/>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lastRenderedPageBreak/>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the observations. We agree with vivo, that standard fragmentation in this payload regime is not an issue. The second bullet is rather generic and </w:t>
            </w:r>
            <w:r>
              <w:rPr>
                <w:rFonts w:eastAsiaTheme="minorEastAsia"/>
                <w:kern w:val="2"/>
                <w:lang w:val="en-US" w:eastAsia="zh-CN"/>
              </w:rPr>
              <w:lastRenderedPageBreak/>
              <w:t>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lastRenderedPageBreak/>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lastRenderedPageBreak/>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lastRenderedPageBreak/>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lastRenderedPageBreak/>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lastRenderedPageBreak/>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lastRenderedPageBreak/>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lastRenderedPageBreak/>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lastRenderedPageBreak/>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lastRenderedPageBreak/>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4503AF" w14:paraId="218BF13F" w14:textId="77777777" w:rsidTr="004C140F">
        <w:trPr>
          <w:jc w:val="center"/>
        </w:trPr>
        <w:tc>
          <w:tcPr>
            <w:tcW w:w="1838" w:type="dxa"/>
            <w:shd w:val="clear" w:color="auto" w:fill="FFFFFF" w:themeFill="background1"/>
          </w:tcPr>
          <w:p w14:paraId="4131038E" w14:textId="6B9FC56B"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22E03" w14:textId="6149E9EB" w:rsidR="004503AF" w:rsidRDefault="004503AF" w:rsidP="004C140F">
            <w:pPr>
              <w:adjustRightInd w:val="0"/>
              <w:spacing w:after="50" w:line="240" w:lineRule="auto"/>
              <w:jc w:val="left"/>
              <w:rPr>
                <w:rFonts w:eastAsiaTheme="minorEastAsia"/>
                <w:kern w:val="2"/>
                <w:lang w:val="en-US" w:eastAsia="zh-CN"/>
              </w:rPr>
            </w:pPr>
          </w:p>
        </w:tc>
      </w:tr>
      <w:tr w:rsidR="004503AF" w14:paraId="68034A65" w14:textId="77777777" w:rsidTr="004C140F">
        <w:trPr>
          <w:jc w:val="center"/>
        </w:trPr>
        <w:tc>
          <w:tcPr>
            <w:tcW w:w="1838" w:type="dxa"/>
            <w:shd w:val="clear" w:color="auto" w:fill="FFFFFF" w:themeFill="background1"/>
          </w:tcPr>
          <w:p w14:paraId="10B2D4A8" w14:textId="31E07327" w:rsidR="004503AF" w:rsidRDefault="004503AF" w:rsidP="004C140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794F18C" w14:textId="6B658D09" w:rsidR="004503AF" w:rsidRDefault="004503AF" w:rsidP="004C140F">
            <w:pPr>
              <w:adjustRightInd w:val="0"/>
              <w:spacing w:after="50" w:line="240" w:lineRule="auto"/>
              <w:jc w:val="left"/>
              <w:rPr>
                <w:rFonts w:eastAsiaTheme="minorEastAsia"/>
                <w:kern w:val="2"/>
                <w:lang w:val="en-US" w:eastAsia="zh-CN"/>
              </w:rPr>
            </w:pP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lastRenderedPageBreak/>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lastRenderedPageBreak/>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 xml:space="preserve">For UL, </w:t>
            </w:r>
            <w:r w:rsidRPr="00927C59">
              <w:rPr>
                <w:rFonts w:eastAsiaTheme="minorEastAsia" w:hint="eastAsia"/>
                <w:color w:val="EE0000"/>
                <w:kern w:val="24"/>
                <w:lang w:eastAsia="zh-CN"/>
              </w:rPr>
              <w:t>]</w:t>
            </w:r>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lastRenderedPageBreak/>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or sequence</w:t>
                  </w:r>
                  <w:r>
                    <w:rPr>
                      <w:rFonts w:eastAsiaTheme="minorEastAsia" w:hint="eastAsia"/>
                      <w:color w:val="FF0000"/>
                      <w:szCs w:val="21"/>
                      <w:lang w:val="en-US" w:eastAsia="zh-CN"/>
                    </w:rPr>
                    <w:t xml:space="preserve"> </w:t>
                  </w:r>
                  <w:r>
                    <w:rPr>
                      <w:rFonts w:eastAsiaTheme="minorEastAsia"/>
                      <w:color w:val="FF0000"/>
                      <w:szCs w:val="21"/>
                      <w:lang w:eastAsia="zh-CN"/>
                    </w:rPr>
                    <w:t xml:space="preserve">based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or code</w:t>
                  </w:r>
                  <w:r>
                    <w:rPr>
                      <w:rFonts w:eastAsiaTheme="minorEastAsia" w:hint="eastAsia"/>
                      <w:color w:val="FF0000"/>
                      <w:lang w:val="en-US" w:eastAsia="zh-CN"/>
                    </w:rPr>
                    <w:t xml:space="preserve"> based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r>
                    <w:rPr>
                      <w:rFonts w:eastAsia="宋体" w:hint="eastAsia"/>
                      <w:color w:val="FF0000"/>
                      <w:kern w:val="24"/>
                      <w:lang w:val="en-US" w:eastAsia="zh-CN"/>
                    </w:rPr>
                    <w:t>code based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sequence based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code based solution :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sequence based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r>
                    <w:rPr>
                      <w:rFonts w:eastAsiaTheme="minorEastAsia"/>
                      <w:color w:val="FF0000"/>
                      <w:lang w:eastAsia="zh-CN"/>
                    </w:rPr>
                    <w:t xml:space="preserve">ompanies report </w:t>
                  </w:r>
                  <w:r>
                    <w:rPr>
                      <w:rFonts w:eastAsiaTheme="minorEastAsia" w:hint="eastAsia"/>
                      <w:color w:val="FF0000"/>
                      <w:lang w:val="en-US" w:eastAsia="zh-CN"/>
                    </w:rPr>
                    <w:t>s</w:t>
                  </w:r>
                  <w:r>
                    <w:rPr>
                      <w:rFonts w:eastAsiaTheme="minorEastAsia"/>
                      <w:color w:val="FF0000"/>
                      <w:lang w:eastAsia="zh-CN"/>
                    </w:rPr>
                    <w:t>equence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Pr="008D6F2B" w:rsidRDefault="008D6F2B" w:rsidP="00032632">
      <w:pPr>
        <w:rPr>
          <w:rFonts w:eastAsia="等线"/>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lastRenderedPageBreak/>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lastRenderedPageBreak/>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lastRenderedPageBreak/>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lastRenderedPageBreak/>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2"/>
      <w:headerReference w:type="default" r:id="rId13"/>
      <w:foot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F4D2" w14:textId="77777777" w:rsidR="00196C50" w:rsidRDefault="00196C50">
      <w:pPr>
        <w:spacing w:line="240" w:lineRule="auto"/>
      </w:pPr>
      <w:r>
        <w:separator/>
      </w:r>
    </w:p>
  </w:endnote>
  <w:endnote w:type="continuationSeparator" w:id="0">
    <w:p w14:paraId="46F4ECD7" w14:textId="77777777" w:rsidR="00196C50" w:rsidRDefault="00196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77777777" w:rsidR="002D5D79" w:rsidRDefault="004D466D">
        <w:pPr>
          <w:pStyle w:val="ab"/>
          <w:jc w:val="center"/>
        </w:pPr>
        <w:r>
          <w:fldChar w:fldCharType="begin"/>
        </w:r>
        <w:r>
          <w:instrText>PAGE   \* MERGEFORMAT</w:instrText>
        </w:r>
        <w:r>
          <w:fldChar w:fldCharType="separate"/>
        </w:r>
        <w:r>
          <w:rPr>
            <w:lang w:val="zh-CN" w:eastAsia="zh-CN"/>
          </w:rPr>
          <w:t>67</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B7EB" w14:textId="77777777" w:rsidR="00196C50" w:rsidRDefault="00196C50">
      <w:pPr>
        <w:spacing w:after="0"/>
      </w:pPr>
      <w:r>
        <w:separator/>
      </w:r>
    </w:p>
  </w:footnote>
  <w:footnote w:type="continuationSeparator" w:id="0">
    <w:p w14:paraId="7017E665" w14:textId="77777777" w:rsidR="00196C50" w:rsidRDefault="00196C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309549456">
    <w:abstractNumId w:val="8"/>
  </w:num>
  <w:num w:numId="2" w16cid:durableId="25375657">
    <w:abstractNumId w:val="47"/>
  </w:num>
  <w:num w:numId="3" w16cid:durableId="541208937">
    <w:abstractNumId w:val="14"/>
  </w:num>
  <w:num w:numId="4" w16cid:durableId="1567572374">
    <w:abstractNumId w:val="76"/>
  </w:num>
  <w:num w:numId="5" w16cid:durableId="1067999228">
    <w:abstractNumId w:val="3"/>
  </w:num>
  <w:num w:numId="6" w16cid:durableId="1395541287">
    <w:abstractNumId w:val="1"/>
  </w:num>
  <w:num w:numId="7" w16cid:durableId="1740711432">
    <w:abstractNumId w:val="2"/>
  </w:num>
  <w:num w:numId="8" w16cid:durableId="1853521671">
    <w:abstractNumId w:val="71"/>
  </w:num>
  <w:num w:numId="9" w16cid:durableId="2028409342">
    <w:abstractNumId w:val="58"/>
  </w:num>
  <w:num w:numId="10" w16cid:durableId="241523112">
    <w:abstractNumId w:val="113"/>
  </w:num>
  <w:num w:numId="11" w16cid:durableId="1426342540">
    <w:abstractNumId w:val="72"/>
  </w:num>
  <w:num w:numId="12" w16cid:durableId="1204755570">
    <w:abstractNumId w:val="111"/>
  </w:num>
  <w:num w:numId="13" w16cid:durableId="132408740">
    <w:abstractNumId w:val="61"/>
  </w:num>
  <w:num w:numId="14" w16cid:durableId="1383290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706371">
    <w:abstractNumId w:val="46"/>
  </w:num>
  <w:num w:numId="16" w16cid:durableId="1319164">
    <w:abstractNumId w:val="64"/>
  </w:num>
  <w:num w:numId="17" w16cid:durableId="1538851561">
    <w:abstractNumId w:val="52"/>
  </w:num>
  <w:num w:numId="18" w16cid:durableId="1933390634">
    <w:abstractNumId w:val="91"/>
  </w:num>
  <w:num w:numId="19" w16cid:durableId="973489807">
    <w:abstractNumId w:val="26"/>
  </w:num>
  <w:num w:numId="20" w16cid:durableId="1453161196">
    <w:abstractNumId w:val="96"/>
  </w:num>
  <w:num w:numId="21" w16cid:durableId="173427026">
    <w:abstractNumId w:val="102"/>
  </w:num>
  <w:num w:numId="22" w16cid:durableId="388041062">
    <w:abstractNumId w:val="31"/>
  </w:num>
  <w:num w:numId="23" w16cid:durableId="1868056461">
    <w:abstractNumId w:val="110"/>
  </w:num>
  <w:num w:numId="24" w16cid:durableId="1845977143">
    <w:abstractNumId w:val="67"/>
  </w:num>
  <w:num w:numId="25" w16cid:durableId="1759056505">
    <w:abstractNumId w:val="25"/>
  </w:num>
  <w:num w:numId="26" w16cid:durableId="490950185">
    <w:abstractNumId w:val="109"/>
  </w:num>
  <w:num w:numId="27" w16cid:durableId="1969043434">
    <w:abstractNumId w:val="65"/>
  </w:num>
  <w:num w:numId="28" w16cid:durableId="1640304071">
    <w:abstractNumId w:val="93"/>
  </w:num>
  <w:num w:numId="29" w16cid:durableId="446780747">
    <w:abstractNumId w:val="104"/>
  </w:num>
  <w:num w:numId="30" w16cid:durableId="112598969">
    <w:abstractNumId w:val="55"/>
  </w:num>
  <w:num w:numId="31" w16cid:durableId="517543089">
    <w:abstractNumId w:val="27"/>
  </w:num>
  <w:num w:numId="32" w16cid:durableId="517086888">
    <w:abstractNumId w:val="4"/>
  </w:num>
  <w:num w:numId="33" w16cid:durableId="1197815265">
    <w:abstractNumId w:val="57"/>
  </w:num>
  <w:num w:numId="34" w16cid:durableId="688533246">
    <w:abstractNumId w:val="54"/>
  </w:num>
  <w:num w:numId="35" w16cid:durableId="744381038">
    <w:abstractNumId w:val="50"/>
  </w:num>
  <w:num w:numId="36" w16cid:durableId="1804930089">
    <w:abstractNumId w:val="5"/>
  </w:num>
  <w:num w:numId="37" w16cid:durableId="1259945908">
    <w:abstractNumId w:val="73"/>
  </w:num>
  <w:num w:numId="38" w16cid:durableId="725955129">
    <w:abstractNumId w:val="10"/>
  </w:num>
  <w:num w:numId="39" w16cid:durableId="531188013">
    <w:abstractNumId w:val="40"/>
  </w:num>
  <w:num w:numId="40" w16cid:durableId="1844858059">
    <w:abstractNumId w:val="92"/>
  </w:num>
  <w:num w:numId="41" w16cid:durableId="102923736">
    <w:abstractNumId w:val="85"/>
  </w:num>
  <w:num w:numId="42" w16cid:durableId="549221562">
    <w:abstractNumId w:val="42"/>
  </w:num>
  <w:num w:numId="43" w16cid:durableId="1988973561">
    <w:abstractNumId w:val="77"/>
  </w:num>
  <w:num w:numId="44" w16cid:durableId="1532180045">
    <w:abstractNumId w:val="37"/>
  </w:num>
  <w:num w:numId="45" w16cid:durableId="950552943">
    <w:abstractNumId w:val="79"/>
  </w:num>
  <w:num w:numId="46" w16cid:durableId="1616255738">
    <w:abstractNumId w:val="29"/>
  </w:num>
  <w:num w:numId="47" w16cid:durableId="1607812766">
    <w:abstractNumId w:val="34"/>
  </w:num>
  <w:num w:numId="48" w16cid:durableId="1224096533">
    <w:abstractNumId w:val="116"/>
  </w:num>
  <w:num w:numId="49" w16cid:durableId="1958876709">
    <w:abstractNumId w:val="0"/>
  </w:num>
  <w:num w:numId="50" w16cid:durableId="857623966">
    <w:abstractNumId w:val="30"/>
  </w:num>
  <w:num w:numId="51" w16cid:durableId="1380592219">
    <w:abstractNumId w:val="94"/>
  </w:num>
  <w:num w:numId="52" w16cid:durableId="1245920055">
    <w:abstractNumId w:val="70"/>
  </w:num>
  <w:num w:numId="53" w16cid:durableId="1104031549">
    <w:abstractNumId w:val="98"/>
  </w:num>
  <w:num w:numId="54" w16cid:durableId="1297565493">
    <w:abstractNumId w:val="6"/>
  </w:num>
  <w:num w:numId="55" w16cid:durableId="531453614">
    <w:abstractNumId w:val="60"/>
  </w:num>
  <w:num w:numId="56" w16cid:durableId="469135120">
    <w:abstractNumId w:val="13"/>
  </w:num>
  <w:num w:numId="57" w16cid:durableId="660424162">
    <w:abstractNumId w:val="17"/>
  </w:num>
  <w:num w:numId="58" w16cid:durableId="2072993665">
    <w:abstractNumId w:val="108"/>
  </w:num>
  <w:num w:numId="59" w16cid:durableId="1639608471">
    <w:abstractNumId w:val="36"/>
  </w:num>
  <w:num w:numId="60" w16cid:durableId="1389180630">
    <w:abstractNumId w:val="62"/>
  </w:num>
  <w:num w:numId="61" w16cid:durableId="1845440156">
    <w:abstractNumId w:val="90"/>
  </w:num>
  <w:num w:numId="62" w16cid:durableId="901448704">
    <w:abstractNumId w:val="68"/>
  </w:num>
  <w:num w:numId="63" w16cid:durableId="1522351749">
    <w:abstractNumId w:val="89"/>
  </w:num>
  <w:num w:numId="64" w16cid:durableId="2135370664">
    <w:abstractNumId w:val="28"/>
  </w:num>
  <w:num w:numId="65" w16cid:durableId="1881622148">
    <w:abstractNumId w:val="97"/>
  </w:num>
  <w:num w:numId="66" w16cid:durableId="734814694">
    <w:abstractNumId w:val="74"/>
  </w:num>
  <w:num w:numId="67" w16cid:durableId="2046176417">
    <w:abstractNumId w:val="39"/>
  </w:num>
  <w:num w:numId="68" w16cid:durableId="173539745">
    <w:abstractNumId w:val="44"/>
  </w:num>
  <w:num w:numId="69" w16cid:durableId="1858301712">
    <w:abstractNumId w:val="95"/>
  </w:num>
  <w:num w:numId="70" w16cid:durableId="1058553898">
    <w:abstractNumId w:val="103"/>
  </w:num>
  <w:num w:numId="71" w16cid:durableId="1746099746">
    <w:abstractNumId w:val="7"/>
  </w:num>
  <w:num w:numId="72" w16cid:durableId="541555379">
    <w:abstractNumId w:val="15"/>
  </w:num>
  <w:num w:numId="73" w16cid:durableId="1123379481">
    <w:abstractNumId w:val="87"/>
  </w:num>
  <w:num w:numId="74" w16cid:durableId="818036188">
    <w:abstractNumId w:val="51"/>
  </w:num>
  <w:num w:numId="75" w16cid:durableId="718474779">
    <w:abstractNumId w:val="49"/>
  </w:num>
  <w:num w:numId="76" w16cid:durableId="1227062884">
    <w:abstractNumId w:val="11"/>
  </w:num>
  <w:num w:numId="77" w16cid:durableId="351615631">
    <w:abstractNumId w:val="53"/>
  </w:num>
  <w:num w:numId="78" w16cid:durableId="1270088875">
    <w:abstractNumId w:val="100"/>
  </w:num>
  <w:num w:numId="79" w16cid:durableId="864713145">
    <w:abstractNumId w:val="112"/>
  </w:num>
  <w:num w:numId="80" w16cid:durableId="70781595">
    <w:abstractNumId w:val="82"/>
  </w:num>
  <w:num w:numId="81" w16cid:durableId="1232429947">
    <w:abstractNumId w:val="16"/>
  </w:num>
  <w:num w:numId="82" w16cid:durableId="1118644729">
    <w:abstractNumId w:val="24"/>
  </w:num>
  <w:num w:numId="83" w16cid:durableId="173612166">
    <w:abstractNumId w:val="114"/>
  </w:num>
  <w:num w:numId="84" w16cid:durableId="92089397">
    <w:abstractNumId w:val="83"/>
  </w:num>
  <w:num w:numId="85" w16cid:durableId="723212139">
    <w:abstractNumId w:val="43"/>
  </w:num>
  <w:num w:numId="86" w16cid:durableId="1725568615">
    <w:abstractNumId w:val="12"/>
  </w:num>
  <w:num w:numId="87" w16cid:durableId="1637102913">
    <w:abstractNumId w:val="48"/>
  </w:num>
  <w:num w:numId="88" w16cid:durableId="176427747">
    <w:abstractNumId w:val="66"/>
  </w:num>
  <w:num w:numId="89" w16cid:durableId="1992055748">
    <w:abstractNumId w:val="80"/>
  </w:num>
  <w:num w:numId="90" w16cid:durableId="1979335520">
    <w:abstractNumId w:val="115"/>
  </w:num>
  <w:num w:numId="91" w16cid:durableId="648746655">
    <w:abstractNumId w:val="23"/>
  </w:num>
  <w:num w:numId="92" w16cid:durableId="1044212955">
    <w:abstractNumId w:val="35"/>
  </w:num>
  <w:num w:numId="93" w16cid:durableId="1292057473">
    <w:abstractNumId w:val="78"/>
  </w:num>
  <w:num w:numId="94" w16cid:durableId="1550721255">
    <w:abstractNumId w:val="75"/>
  </w:num>
  <w:num w:numId="95" w16cid:durableId="902133554">
    <w:abstractNumId w:val="81"/>
  </w:num>
  <w:num w:numId="96" w16cid:durableId="1753433552">
    <w:abstractNumId w:val="20"/>
  </w:num>
  <w:num w:numId="97" w16cid:durableId="960955653">
    <w:abstractNumId w:val="22"/>
  </w:num>
  <w:num w:numId="98" w16cid:durableId="1219245366">
    <w:abstractNumId w:val="107"/>
  </w:num>
  <w:num w:numId="99" w16cid:durableId="1196388925">
    <w:abstractNumId w:val="84"/>
  </w:num>
  <w:num w:numId="100" w16cid:durableId="1071657084">
    <w:abstractNumId w:val="38"/>
  </w:num>
  <w:num w:numId="101" w16cid:durableId="797992668">
    <w:abstractNumId w:val="19"/>
  </w:num>
  <w:num w:numId="102" w16cid:durableId="748386733">
    <w:abstractNumId w:val="105"/>
  </w:num>
  <w:num w:numId="103" w16cid:durableId="511995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67113522">
    <w:abstractNumId w:val="99"/>
    <w:lvlOverride w:ilvl="0">
      <w:startOverride w:val="1"/>
    </w:lvlOverride>
    <w:lvlOverride w:ilvl="1">
      <w:startOverride w:val="1"/>
    </w:lvlOverride>
  </w:num>
  <w:num w:numId="105" w16cid:durableId="111562686">
    <w:abstractNumId w:val="33"/>
  </w:num>
  <w:num w:numId="106" w16cid:durableId="153421697">
    <w:abstractNumId w:val="21"/>
  </w:num>
  <w:num w:numId="107" w16cid:durableId="193229907">
    <w:abstractNumId w:val="41"/>
  </w:num>
  <w:num w:numId="108" w16cid:durableId="1583492052">
    <w:abstractNumId w:val="69"/>
  </w:num>
  <w:num w:numId="109" w16cid:durableId="593128373">
    <w:abstractNumId w:val="88"/>
  </w:num>
  <w:num w:numId="110" w16cid:durableId="1595817971">
    <w:abstractNumId w:val="56"/>
  </w:num>
  <w:num w:numId="111" w16cid:durableId="1933850676">
    <w:abstractNumId w:val="101"/>
  </w:num>
  <w:num w:numId="112" w16cid:durableId="1257598298">
    <w:abstractNumId w:val="116"/>
  </w:num>
  <w:num w:numId="113" w16cid:durableId="1738438513">
    <w:abstractNumId w:val="45"/>
  </w:num>
  <w:num w:numId="114" w16cid:durableId="1851681009">
    <w:abstractNumId w:val="59"/>
  </w:num>
  <w:num w:numId="115" w16cid:durableId="987325278">
    <w:abstractNumId w:val="86"/>
  </w:num>
  <w:num w:numId="116" w16cid:durableId="772818134">
    <w:abstractNumId w:val="18"/>
  </w:num>
  <w:num w:numId="117" w16cid:durableId="500705949">
    <w:abstractNumId w:val="106"/>
  </w:num>
  <w:num w:numId="118" w16cid:durableId="417168347">
    <w:abstractNumId w:val="9"/>
  </w:num>
  <w:num w:numId="119" w16cid:durableId="696393439">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43430</Words>
  <Characters>234527</Characters>
  <Application>Microsoft Office Word</Application>
  <DocSecurity>0</DocSecurity>
  <Lines>5330</Lines>
  <Paragraphs>3706</Paragraphs>
  <ScaleCrop>false</ScaleCrop>
  <Company/>
  <LinksUpToDate>false</LinksUpToDate>
  <CharactersWithSpaces>274251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Jin, Liqiang/金 立强</cp:lastModifiedBy>
  <cp:revision>6</cp:revision>
  <dcterms:created xsi:type="dcterms:W3CDTF">2026-02-11T08:58:00Z</dcterms:created>
  <dcterms:modified xsi:type="dcterms:W3CDTF">2026-02-11T09:03:00Z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