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ListParagraph"/>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ListParagraph"/>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Caption"/>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BodyText"/>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Caption"/>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Caption"/>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ListParagraph"/>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ListParagraph"/>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ListParagraph"/>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Caption"/>
              <w:spacing w:after="0"/>
              <w:jc w:val="both"/>
              <w:rPr>
                <w:b w:val="0"/>
                <w:bCs w:val="0"/>
                <w:iCs/>
              </w:rPr>
            </w:pPr>
          </w:p>
          <w:p w14:paraId="67DE34AC" w14:textId="45089EF2" w:rsidR="009E765E" w:rsidRPr="0009724D" w:rsidRDefault="00C0597A" w:rsidP="0009724D">
            <w:pPr>
              <w:pStyle w:val="Caption"/>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Logic </w:t>
            </w:r>
            <w:proofErr w:type="gramStart"/>
            <w:r w:rsidRPr="004D6E7D">
              <w:rPr>
                <w:rFonts w:eastAsia="PMingLiU"/>
                <w:iCs/>
                <w:lang w:val="en-US" w:eastAsia="zh-TW"/>
              </w:rPr>
              <w:t>area :</w:t>
            </w:r>
            <w:proofErr w:type="gramEnd"/>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c:number</w:t>
            </w:r>
            <w:proofErr w:type="gramEnd"/>
            <w:r w:rsidRPr="004D6E7D">
              <w:rPr>
                <w:rFonts w:eastAsia="PMingLiU"/>
                <w:iCs/>
                <w:lang w:val="en-US" w:eastAsia="zh-TW"/>
              </w:rPr>
              <w:t xml:space="preserve"> of columns in BG</w:t>
            </w:r>
          </w:p>
          <w:p w14:paraId="72D070D4"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r:number</w:t>
            </w:r>
            <w:proofErr w:type="gramEnd"/>
            <w:r w:rsidRPr="004D6E7D">
              <w:rPr>
                <w:rFonts w:eastAsia="PMingLiU"/>
                <w:iCs/>
                <w:lang w:val="en-US" w:eastAsia="zh-TW"/>
              </w:rPr>
              <w:t xml:space="preserve"> of rows in BG</w:t>
            </w:r>
          </w:p>
          <w:p w14:paraId="37EEB717" w14:textId="29B2DF48" w:rsidR="009E765E" w:rsidRPr="005078E1"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e:number</w:t>
            </w:r>
            <w:proofErr w:type="gramEnd"/>
            <w:r w:rsidRPr="004D6E7D">
              <w:rPr>
                <w:rFonts w:eastAsia="PMingLiU"/>
                <w:iCs/>
                <w:lang w:val="en-US" w:eastAsia="zh-TW"/>
              </w:rPr>
              <w:t xml:space="preserve">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proofErr w:type="spellStart"/>
            <w:r w:rsidRPr="004D6E7D">
              <w:rPr>
                <w:rFonts w:eastAsia="SimSun"/>
                <w:iCs/>
                <w:color w:val="000000"/>
                <w:lang w:val="en-US" w:eastAsia="zh-CN" w:bidi="ar"/>
              </w:rPr>
              <w:lastRenderedPageBreak/>
              <w:t>AccelerComm</w:t>
            </w:r>
            <w:proofErr w:type="spellEnd"/>
            <w:r w:rsidRPr="004D6E7D">
              <w:rPr>
                <w:rFonts w:eastAsia="SimSun"/>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ListParagraph"/>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ListParagraph"/>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proofErr w:type="gramStart"/>
            <w:r w:rsidRPr="004D6E7D">
              <w:rPr>
                <w:iCs/>
              </w:rPr>
              <w:t>Zc,max</w:t>
            </w:r>
            <w:proofErr w:type="spellEnd"/>
            <w:proofErr w:type="gram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ListParagraph"/>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xml:space="preserve">,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BodyText"/>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ListParagraph"/>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Heading4"/>
        <w:spacing w:after="156"/>
        <w:rPr>
          <w:b/>
          <w:szCs w:val="22"/>
          <w:lang w:eastAsia="zh-CN"/>
        </w:rPr>
      </w:pPr>
      <w:r>
        <w:rPr>
          <w:b/>
          <w:szCs w:val="22"/>
          <w:lang w:eastAsia="zh-CN"/>
        </w:rPr>
        <w:t>Round 1</w:t>
      </w:r>
    </w:p>
    <w:p w14:paraId="5992CB10" w14:textId="77777777" w:rsidR="009E765E" w:rsidRDefault="00C0597A">
      <w:pPr>
        <w:pStyle w:val="Heading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 xml:space="preserve">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r w:rsidR="00614551" w14:paraId="7D88B4BB" w14:textId="77777777" w:rsidTr="001F45BA">
        <w:tblPrEx>
          <w:jc w:val="left"/>
        </w:tblPrEx>
        <w:tc>
          <w:tcPr>
            <w:tcW w:w="1838" w:type="dxa"/>
          </w:tcPr>
          <w:p w14:paraId="3AF59C8C" w14:textId="269D7943" w:rsidR="00614551" w:rsidRPr="00614551" w:rsidRDefault="00614551" w:rsidP="001F45B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3C0861C" w14:textId="77777777" w:rsidR="00614551" w:rsidRPr="004B27D8"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7B837767" w14:textId="5BE59A8A" w:rsidR="00614551" w:rsidRPr="00614551"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sidRPr="004B27D8">
              <w:rPr>
                <w:rFonts w:eastAsia="MS Mincho"/>
                <w:kern w:val="2"/>
                <w:lang w:val="en-US" w:eastAsia="ja-JP"/>
              </w:rPr>
              <w:t>point, we currently do not see the necessity for this level of detailed analysis.</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w:t>
            </w:r>
            <w:proofErr w:type="gramStart"/>
            <w:r w:rsidRPr="00210723">
              <w:rPr>
                <w:kern w:val="2"/>
                <w:lang w:eastAsia="zh-CN"/>
              </w:rPr>
              <w:t>1”s</w:t>
            </w:r>
            <w:proofErr w:type="gramEnd"/>
            <w:r w:rsidRPr="00210723">
              <w:rPr>
                <w:kern w:val="2"/>
                <w:lang w:eastAsia="zh-CN"/>
              </w:rPr>
              <w:t xml:space="preserve"> in a BG):</w:t>
            </w:r>
          </w:p>
          <w:p w14:paraId="2CB87800"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lastRenderedPageBreak/>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to preserve NR-like flexibility;</w:t>
            </w:r>
          </w:p>
          <w:p w14:paraId="6B44F330"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lastRenderedPageBreak/>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=384 (5G LDPC) and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Caption"/>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lastRenderedPageBreak/>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lastRenderedPageBreak/>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ListParagraph"/>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ListParagraph"/>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ListParagraph"/>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lastRenderedPageBreak/>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lastRenderedPageBreak/>
              <w:t xml:space="preserve">Reduced BG edges </w:t>
            </w:r>
          </w:p>
          <w:p w14:paraId="0E090EC0"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ListParagraph"/>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lastRenderedPageBreak/>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C-DOT</w:t>
            </w:r>
          </w:p>
        </w:tc>
        <w:tc>
          <w:tcPr>
            <w:tcW w:w="8030" w:type="dxa"/>
          </w:tcPr>
          <w:p w14:paraId="662A0C57" w14:textId="77777777" w:rsidR="000F2188" w:rsidRPr="00210723" w:rsidRDefault="000F2188" w:rsidP="00623BC3">
            <w:pPr>
              <w:pStyle w:val="NoSpacing"/>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NoSpacing"/>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 xml:space="preserve">Verizon, CMCC, China Telecom, China Unicom, Samsung, ZTE, </w:t>
            </w:r>
            <w:proofErr w:type="spellStart"/>
            <w:r w:rsidRPr="00210723">
              <w:rPr>
                <w:rFonts w:eastAsia="SimSun"/>
                <w:color w:val="000000"/>
                <w:lang w:val="en-US" w:eastAsia="zh-CN" w:bidi="ar"/>
              </w:rPr>
              <w:t>Sanechips</w:t>
            </w:r>
            <w:proofErr w:type="spellEnd"/>
            <w:r w:rsidRPr="00210723">
              <w:rPr>
                <w:rFonts w:eastAsia="SimSun"/>
                <w:color w:val="000000"/>
                <w:lang w:val="en-US" w:eastAsia="zh-CN" w:bidi="ar"/>
              </w:rPr>
              <w:t>, Apple, Qualcomm, MediaTek, Meta</w:t>
            </w:r>
          </w:p>
        </w:tc>
        <w:tc>
          <w:tcPr>
            <w:tcW w:w="8030" w:type="dxa"/>
          </w:tcPr>
          <w:p w14:paraId="56DFDF3D"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ListParagraph"/>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lastRenderedPageBreak/>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ListParagraph"/>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ListParagraph"/>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ListParagraph"/>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ListParagraph"/>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ListParagraph"/>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ListParagraph"/>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lastRenderedPageBreak/>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ListParagraph"/>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ListParagraph"/>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ListParagraph"/>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proofErr w:type="gramStart"/>
            <w:r w:rsidRPr="00210723">
              <w:t>Zc,max</w:t>
            </w:r>
            <w:proofErr w:type="spellEnd"/>
            <w:proofErr w:type="gram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lastRenderedPageBreak/>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Caption"/>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lastRenderedPageBreak/>
              <w:t xml:space="preserve">Vodafone, Orange, </w:t>
            </w: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ListParagraph"/>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ListParagraph"/>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Observation 2: For </w:t>
            </w:r>
            <w:proofErr w:type="spellStart"/>
            <w:r w:rsidRPr="00210723">
              <w:rPr>
                <w:rFonts w:eastAsia="SimSun"/>
                <w:lang w:eastAsia="zh-TW"/>
              </w:rPr>
              <w:t>eMBB</w:t>
            </w:r>
            <w:proofErr w:type="spellEnd"/>
            <w:r w:rsidRPr="00210723">
              <w:rPr>
                <w:rFonts w:eastAsia="SimSun"/>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w:t>
            </w:r>
            <w:proofErr w:type="spellStart"/>
            <w:r w:rsidRPr="00210723">
              <w:rPr>
                <w:rFonts w:eastAsia="SimSun"/>
                <w:lang w:eastAsia="zh-TW"/>
              </w:rPr>
              <w:t>eMBB</w:t>
            </w:r>
            <w:proofErr w:type="spellEnd"/>
            <w:r w:rsidRPr="00210723">
              <w:rPr>
                <w:rFonts w:eastAsia="SimSun"/>
                <w:lang w:eastAsia="zh-TW"/>
              </w:rPr>
              <w:t xml:space="preserve">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t>CSCN</w:t>
            </w:r>
          </w:p>
        </w:tc>
        <w:tc>
          <w:tcPr>
            <w:tcW w:w="8030" w:type="dxa"/>
          </w:tcPr>
          <w:p w14:paraId="1E296D1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 xml:space="preserve">=22, when only the row and column degrees of BG are modified without puncturing, the performance gap between BG with 8 iterations and 5G NR’s BG1 at 20 iterations is only 0.3 </w:t>
            </w:r>
            <w:proofErr w:type="spellStart"/>
            <w:r w:rsidRPr="00210723">
              <w:rPr>
                <w:kern w:val="2"/>
                <w:lang w:eastAsia="zh-CN"/>
              </w:rPr>
              <w:t>dB.</w:t>
            </w:r>
            <w:proofErr w:type="spellEnd"/>
            <w:r w:rsidRPr="00210723">
              <w:rPr>
                <w:kern w:val="2"/>
                <w:lang w:eastAsia="zh-CN"/>
              </w:rPr>
              <w:t xml:space="preserve"> Similarly, the performance gap between BG with 6 iterations (without puncturing) and 5G NR BG1 at 8 iterations is 0.1 dB, and between BG with 4 iterations (without puncturing) and 5G NR BG1 at 6 iterations is also 0.1 </w:t>
            </w:r>
            <w:proofErr w:type="spellStart"/>
            <w:r w:rsidRPr="00210723">
              <w:rPr>
                <w:kern w:val="2"/>
                <w:lang w:eastAsia="zh-CN"/>
              </w:rPr>
              <w:t>dB.</w:t>
            </w:r>
            <w:proofErr w:type="spellEnd"/>
          </w:p>
          <w:p w14:paraId="3A81D14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lastRenderedPageBreak/>
              <w:t>To maintain the maximum code rate without puncturing, it is necessary to increase the number of systematic columns in the new BG design.</w:t>
            </w:r>
          </w:p>
          <w:p w14:paraId="49E5E6E1"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lastRenderedPageBreak/>
              <w:t>Increasing the number of systematic columns to improve throughput.</w:t>
            </w:r>
          </w:p>
          <w:p w14:paraId="28F5FF9A"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ListParagraph"/>
        <w:numPr>
          <w:ilvl w:val="1"/>
          <w:numId w:val="47"/>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 xml:space="preserve">Nokia, </w:t>
      </w:r>
      <w:proofErr w:type="spellStart"/>
      <w:r w:rsidR="007A3CF2" w:rsidRPr="007A3CF2">
        <w:rPr>
          <w:rFonts w:eastAsia="SimSun"/>
          <w:color w:val="000000"/>
          <w:lang w:val="en-US" w:eastAsia="zh-CN" w:bidi="ar"/>
        </w:rPr>
        <w:t>Spreadtrum</w:t>
      </w:r>
      <w:proofErr w:type="spellEnd"/>
      <w:r w:rsidR="007A3CF2" w:rsidRPr="007A3CF2">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ListParagraph"/>
        <w:ind w:left="840" w:firstLineChars="0" w:firstLine="0"/>
        <w:rPr>
          <w:rFonts w:eastAsia="SimSun"/>
          <w:color w:val="000000"/>
          <w:lang w:val="en-US" w:eastAsia="zh-CN" w:bidi="ar"/>
        </w:rPr>
      </w:pPr>
    </w:p>
    <w:p w14:paraId="11E37C57" w14:textId="77777777" w:rsidR="00D46418" w:rsidRPr="0048481E" w:rsidRDefault="00D46418" w:rsidP="00FC3EBB">
      <w:pPr>
        <w:pStyle w:val="ListParagraph"/>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Note: sources with (*) are summarized based on the BG/PCM submitted in excel spreadsheet.</w:t>
      </w:r>
    </w:p>
    <w:p w14:paraId="47522E47" w14:textId="77777777" w:rsidR="00F646B4" w:rsidRPr="00F646B4" w:rsidRDefault="00F646B4" w:rsidP="00F646B4">
      <w:pPr>
        <w:pStyle w:val="ListParagraph"/>
        <w:ind w:left="840" w:firstLineChars="0" w:firstLine="0"/>
        <w:rPr>
          <w:rFonts w:eastAsia="SimSun"/>
          <w:color w:val="000000"/>
          <w:lang w:val="en-US" w:eastAsia="zh-CN" w:bidi="ar"/>
        </w:rPr>
      </w:pPr>
    </w:p>
    <w:p w14:paraId="5B5C7721" w14:textId="77777777" w:rsidR="00D46418" w:rsidRPr="00023376" w:rsidRDefault="00D46418" w:rsidP="00FC3EBB">
      <w:pPr>
        <w:pStyle w:val="ListParagraph"/>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ListParagraph"/>
        <w:ind w:left="420" w:firstLineChars="0" w:firstLine="0"/>
        <w:jc w:val="left"/>
        <w:rPr>
          <w:rFonts w:eastAsia="DengXian"/>
          <w:lang w:val="en-US" w:eastAsia="zh-CN"/>
        </w:rPr>
      </w:pPr>
    </w:p>
    <w:p w14:paraId="410AD856" w14:textId="77777777" w:rsidR="00D46418" w:rsidRPr="000515DB" w:rsidRDefault="00D46418" w:rsidP="00FC3EBB">
      <w:pPr>
        <w:pStyle w:val="ListParagraph"/>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ListParagraph"/>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ListParagraph"/>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ListParagraph"/>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ListParagraph"/>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ListParagraph"/>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ListParagraph"/>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 xml:space="preserve">where 1 source (MediaTek) proposed to </w:t>
      </w:r>
      <w:r w:rsidRPr="00353C6B">
        <w:rPr>
          <w:rFonts w:eastAsia="DengXian"/>
          <w:lang w:val="en-US" w:eastAsia="zh-CN"/>
        </w:rPr>
        <w:lastRenderedPageBreak/>
        <w:t>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ListParagraph"/>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ListParagraph"/>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ListParagraph"/>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ListParagraph"/>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ListParagraph"/>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ListParagraph"/>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000000"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ListParagraph"/>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ListParagraph"/>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2663393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iCs/>
          <w:lang w:eastAsia="zh-TW"/>
        </w:rPr>
        <w:lastRenderedPageBreak/>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ListParagraph"/>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ListParagraph"/>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ListParagraph"/>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ListParagraph"/>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ListParagraph"/>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ListParagraph"/>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ListParagraph"/>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ListParagraph"/>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ListParagraph"/>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ListParagraph"/>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ListParagraph"/>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ListParagraph"/>
        <w:numPr>
          <w:ilvl w:val="0"/>
          <w:numId w:val="48"/>
        </w:numPr>
        <w:tabs>
          <w:tab w:val="left" w:pos="840"/>
          <w:tab w:val="left" w:pos="1260"/>
        </w:tabs>
        <w:ind w:firstLineChars="0"/>
        <w:jc w:val="left"/>
        <w:rPr>
          <w:rFonts w:eastAsia="DengXian"/>
          <w:b/>
          <w:bCs/>
          <w:lang w:val="en-US" w:eastAsia="zh-CN"/>
        </w:rPr>
      </w:pPr>
      <w:r>
        <w:rPr>
          <w:lang w:val="en-US" w:eastAsia="zh-CN"/>
        </w:rPr>
        <w:lastRenderedPageBreak/>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 xml:space="preserve">Huawei, vivo, Ericsson, </w:t>
      </w:r>
      <w:proofErr w:type="spellStart"/>
      <w:r w:rsidRPr="00947714">
        <w:rPr>
          <w:rFonts w:eastAsia="DengXian"/>
          <w:lang w:val="en-US" w:eastAsia="zh-CN"/>
        </w:rPr>
        <w:t>AccelerComm</w:t>
      </w:r>
      <w:proofErr w:type="spellEnd"/>
      <w:r w:rsidRPr="00947714">
        <w:rPr>
          <w:rFonts w:eastAsia="DengXian"/>
          <w:lang w:val="en-US" w:eastAsia="zh-CN"/>
        </w:rPr>
        <w:t>,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ListParagraph"/>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ListParagraph"/>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ListParagraph"/>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lastRenderedPageBreak/>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Heading4"/>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choice between Option 1 and Option 2 should first depend on the discussion of </w:t>
            </w:r>
            <w:proofErr w:type="spellStart"/>
            <w:r w:rsidRPr="00C17D69">
              <w:rPr>
                <w:rFonts w:eastAsiaTheme="minorEastAsia"/>
                <w:lang w:val="en-US" w:eastAsia="zh-CN"/>
              </w:rPr>
              <w:t>Kb</w:t>
            </w:r>
            <w:proofErr w:type="spellEnd"/>
            <w:r w:rsidRPr="00C17D69">
              <w:rPr>
                <w:rFonts w:eastAsiaTheme="minorEastAsia"/>
                <w:lang w:val="en-US" w:eastAsia="zh-CN"/>
              </w:rPr>
              <w:t xml:space="preserve"> size. Option 2 is only necessary when </w:t>
            </w:r>
            <w:proofErr w:type="spellStart"/>
            <w:r w:rsidRPr="00C17D69">
              <w:rPr>
                <w:rFonts w:eastAsiaTheme="minorEastAsia"/>
                <w:lang w:val="en-US" w:eastAsia="zh-CN"/>
              </w:rPr>
              <w:t>Kb</w:t>
            </w:r>
            <w:proofErr w:type="spellEnd"/>
            <w:r w:rsidRPr="00C17D69">
              <w:rPr>
                <w:rFonts w:eastAsiaTheme="minorEastAsia"/>
                <w:lang w:val="en-US" w:eastAsia="zh-CN"/>
              </w:rPr>
              <w:t xml:space="preserve"> = 44.</w:t>
            </w:r>
          </w:p>
          <w:p w14:paraId="0E180473"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ListParagraph"/>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r w:rsidR="003E2545" w:rsidRPr="00C17D69" w14:paraId="4AEE3F16" w14:textId="77777777" w:rsidTr="001F45BA">
        <w:tblPrEx>
          <w:jc w:val="left"/>
        </w:tblPrEx>
        <w:tc>
          <w:tcPr>
            <w:tcW w:w="1838" w:type="dxa"/>
          </w:tcPr>
          <w:p w14:paraId="2F9589B1" w14:textId="5CCD7E93" w:rsidR="003E2545" w:rsidRPr="003E2545" w:rsidRDefault="003E2545" w:rsidP="003E2545">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lastRenderedPageBreak/>
              <w:t>ETRI/ESA/Thales</w:t>
            </w:r>
          </w:p>
        </w:tc>
        <w:tc>
          <w:tcPr>
            <w:tcW w:w="7665" w:type="dxa"/>
          </w:tcPr>
          <w:p w14:paraId="527DC30A"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3DB03737" w14:textId="77777777" w:rsidR="003E2545" w:rsidRDefault="003E2545" w:rsidP="003E2545">
            <w:pPr>
              <w:adjustRightInd w:val="0"/>
              <w:spacing w:after="50" w:line="240" w:lineRule="auto"/>
              <w:jc w:val="left"/>
              <w:rPr>
                <w:rFonts w:eastAsia="Malgun Gothic"/>
                <w:kern w:val="2"/>
                <w:lang w:val="en-US" w:eastAsia="ko-KR"/>
              </w:rPr>
            </w:pPr>
          </w:p>
          <w:p w14:paraId="2C4317FE"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24FC2B0A" w14:textId="77777777" w:rsidR="003E2545" w:rsidRDefault="003E2545" w:rsidP="003E2545">
            <w:pPr>
              <w:adjustRightInd w:val="0"/>
              <w:spacing w:after="50" w:line="240" w:lineRule="auto"/>
              <w:jc w:val="left"/>
              <w:rPr>
                <w:rFonts w:eastAsia="Malgun Gothic"/>
                <w:kern w:val="2"/>
                <w:lang w:val="en-US" w:eastAsia="ko-KR"/>
              </w:rPr>
            </w:pPr>
          </w:p>
          <w:p w14:paraId="790BE836" w14:textId="77777777" w:rsidR="003E2545" w:rsidRPr="00A204FC" w:rsidRDefault="003E2545" w:rsidP="003E2545">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w:t>
            </w:r>
            <w:r w:rsidRPr="009E0369">
              <w:rPr>
                <w:rFonts w:eastAsia="DengXian"/>
                <w:bCs/>
                <w:lang w:val="en-US" w:eastAsia="zh-CN"/>
              </w:rPr>
              <w:t xml:space="preserve">Huawei(*), LGE(*), Fujitsu(*), Ericsson, </w:t>
            </w:r>
            <w:r w:rsidRPr="00A5787D">
              <w:rPr>
                <w:rFonts w:eastAsia="DengXian"/>
                <w:bCs/>
                <w:highlight w:val="yellow"/>
                <w:lang w:val="en-US" w:eastAsia="zh-CN"/>
              </w:rPr>
              <w:t>ETRI(*), ESA(*), Thales(*),</w:t>
            </w:r>
            <w:r w:rsidRPr="009E0369">
              <w:rPr>
                <w:rFonts w:eastAsia="DengXian"/>
                <w:bCs/>
                <w:lang w:val="en-US" w:eastAsia="zh-CN"/>
              </w:rPr>
              <w:t xml:space="preserve">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58D847B1" w14:textId="77777777" w:rsidR="003E2545" w:rsidRPr="00A5787D" w:rsidRDefault="003E2545" w:rsidP="003E2545">
            <w:pPr>
              <w:pStyle w:val="ListParagraph"/>
              <w:numPr>
                <w:ilvl w:val="0"/>
                <w:numId w:val="48"/>
              </w:numPr>
              <w:tabs>
                <w:tab w:val="left" w:pos="840"/>
              </w:tabs>
              <w:ind w:firstLineChars="0"/>
              <w:jc w:val="left"/>
              <w:rPr>
                <w:rFonts w:eastAsia="DengXian"/>
                <w:bCs/>
                <w:strike/>
                <w:highlight w:val="yellow"/>
                <w:lang w:val="en-US" w:eastAsia="zh-CN"/>
              </w:rPr>
            </w:pPr>
            <w:r w:rsidRPr="00A5787D">
              <w:rPr>
                <w:rFonts w:eastAsia="DengXian" w:hint="eastAsia"/>
                <w:bCs/>
                <w:strike/>
                <w:highlight w:val="yellow"/>
                <w:lang w:val="en-US" w:eastAsia="zh-CN"/>
              </w:rPr>
              <w:t>8</w:t>
            </w:r>
            <w:r w:rsidRPr="00A5787D">
              <w:rPr>
                <w:rFonts w:eastAsia="DengXian"/>
                <w:bCs/>
                <w:strike/>
                <w:highlight w:val="yellow"/>
                <w:lang w:val="en-US" w:eastAsia="zh-CN"/>
              </w:rPr>
              <w:t xml:space="preserve">480: </w:t>
            </w:r>
            <w:r w:rsidRPr="00A5787D">
              <w:rPr>
                <w:rFonts w:eastAsia="DengXian" w:hint="eastAsia"/>
                <w:bCs/>
                <w:strike/>
                <w:highlight w:val="yellow"/>
                <w:lang w:val="en-US" w:eastAsia="zh-CN"/>
              </w:rPr>
              <w:t>3 sources (</w:t>
            </w:r>
            <w:r w:rsidRPr="00A5787D">
              <w:rPr>
                <w:rFonts w:eastAsia="SimSun"/>
                <w:strike/>
                <w:color w:val="000000"/>
                <w:highlight w:val="yellow"/>
                <w:lang w:val="en-US" w:eastAsia="zh-CN" w:bidi="ar"/>
              </w:rPr>
              <w:t>ETRI (*), ESA (*), Thales (*)</w:t>
            </w:r>
            <w:r w:rsidRPr="00A5787D">
              <w:rPr>
                <w:rFonts w:eastAsia="SimSun" w:hint="eastAsia"/>
                <w:strike/>
                <w:color w:val="000000"/>
                <w:highlight w:val="yellow"/>
                <w:lang w:val="en-US" w:eastAsia="zh-CN" w:bidi="ar"/>
              </w:rPr>
              <w:t>)</w:t>
            </w:r>
          </w:p>
          <w:p w14:paraId="7C4336AD" w14:textId="77777777" w:rsidR="003E2545" w:rsidRPr="00A5787D" w:rsidRDefault="003E2545" w:rsidP="003E2545">
            <w:pPr>
              <w:adjustRightInd w:val="0"/>
              <w:spacing w:after="50" w:line="240" w:lineRule="auto"/>
              <w:jc w:val="left"/>
              <w:rPr>
                <w:rFonts w:eastAsia="Malgun Gothic"/>
                <w:kern w:val="2"/>
                <w:lang w:val="en-US" w:eastAsia="ko-KR"/>
              </w:rPr>
            </w:pPr>
          </w:p>
          <w:p w14:paraId="16D02A2A" w14:textId="77777777" w:rsidR="003E2545" w:rsidRPr="001F45BA" w:rsidRDefault="003E2545" w:rsidP="003E2545">
            <w:pPr>
              <w:tabs>
                <w:tab w:val="left" w:pos="840"/>
              </w:tabs>
              <w:rPr>
                <w:rFonts w:eastAsiaTheme="minorEastAsia"/>
                <w:kern w:val="2"/>
                <w:lang w:val="en-US" w:eastAsia="zh-CN"/>
              </w:rPr>
            </w:pPr>
          </w:p>
        </w:tc>
      </w:tr>
      <w:tr w:rsidR="00614551" w:rsidRPr="00C17D69" w14:paraId="44508364" w14:textId="77777777" w:rsidTr="001F45BA">
        <w:tblPrEx>
          <w:jc w:val="left"/>
        </w:tblPrEx>
        <w:tc>
          <w:tcPr>
            <w:tcW w:w="1838" w:type="dxa"/>
          </w:tcPr>
          <w:p w14:paraId="30DDDDAD" w14:textId="12975079"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51F6F158" w14:textId="17722CC9" w:rsidR="00614551" w:rsidRPr="00582700"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0995B070" w14:textId="77777777" w:rsidR="00614551" w:rsidRPr="00582700" w:rsidRDefault="00614551" w:rsidP="00614551">
            <w:pPr>
              <w:adjustRightInd w:val="0"/>
              <w:spacing w:after="50" w:line="240" w:lineRule="auto"/>
              <w:jc w:val="left"/>
              <w:rPr>
                <w:rFonts w:eastAsiaTheme="minorEastAsia"/>
                <w:kern w:val="2"/>
                <w:lang w:val="en-US" w:eastAsia="zh-CN"/>
              </w:rPr>
            </w:pPr>
            <w:r w:rsidRPr="00582700">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sidRPr="00582700">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sidRPr="00582700">
              <w:rPr>
                <w:rFonts w:eastAsiaTheme="minorEastAsia"/>
                <w:kern w:val="2"/>
                <w:lang w:val="en-US" w:eastAsia="zh-CN"/>
              </w:rPr>
              <w:t xml:space="preserve"> applicability be linked to some extent and, if possible, carried out in parallel.</w:t>
            </w:r>
          </w:p>
          <w:p w14:paraId="4E9E68A4"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w:t>
            </w:r>
            <w:r>
              <w:rPr>
                <w:rFonts w:eastAsia="MS Mincho" w:hint="eastAsia"/>
                <w:kern w:val="2"/>
                <w:lang w:val="en-US" w:eastAsia="ja-JP"/>
              </w:rPr>
              <w:t>nalysis</w:t>
            </w:r>
            <w:r w:rsidRPr="00582700">
              <w:rPr>
                <w:rFonts w:eastAsiaTheme="minorEastAsia"/>
                <w:kern w:val="2"/>
                <w:lang w:val="en-US" w:eastAsia="zh-CN"/>
              </w:rPr>
              <w:t xml:space="preserve"> of the pros and cons of each option is as follows.</w:t>
            </w:r>
          </w:p>
          <w:p w14:paraId="2E213F02"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C7B0AFD"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 xml:space="preserve">There </w:t>
            </w:r>
            <w:r>
              <w:rPr>
                <w:rFonts w:eastAsia="MS Mincho" w:hint="eastAsia"/>
                <w:kern w:val="2"/>
                <w:lang w:val="en-US" w:eastAsia="ja-JP"/>
              </w:rPr>
              <w:t>can be</w:t>
            </w:r>
            <w:r w:rsidRPr="00A55B4F">
              <w:rPr>
                <w:rFonts w:eastAsia="MS Mincho"/>
                <w:kern w:val="2"/>
                <w:lang w:val="en-US" w:eastAsia="ja-JP"/>
              </w:rPr>
              <w:t xml:space="preserve"> no increase in implementation complexity </w:t>
            </w:r>
            <w:r>
              <w:rPr>
                <w:rFonts w:eastAsia="MS Mincho" w:hint="eastAsia"/>
                <w:kern w:val="2"/>
                <w:lang w:val="en-US" w:eastAsia="ja-JP"/>
              </w:rPr>
              <w:t xml:space="preserve">(e.g., </w:t>
            </w:r>
            <w:r w:rsidRPr="00A55B4F">
              <w:rPr>
                <w:rFonts w:eastAsia="MS Mincho"/>
                <w:kern w:val="2"/>
                <w:lang w:val="en-US" w:eastAsia="ja-JP"/>
              </w:rPr>
              <w:t>memory</w:t>
            </w:r>
            <w:r>
              <w:rPr>
                <w:rFonts w:eastAsia="MS Mincho" w:hint="eastAsia"/>
                <w:kern w:val="2"/>
                <w:lang w:val="en-US" w:eastAsia="ja-JP"/>
              </w:rPr>
              <w:t>)</w:t>
            </w:r>
          </w:p>
          <w:p w14:paraId="27616EE4" w14:textId="77777777" w:rsidR="00614551" w:rsidRPr="00582700"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sidRPr="00A55B4F">
              <w:rPr>
                <w:rFonts w:eastAsia="MS Mincho"/>
                <w:kern w:val="2"/>
                <w:lang w:val="en-US" w:eastAsia="ja-JP"/>
              </w:rPr>
              <w:t>o coding gain is achieved</w:t>
            </w:r>
          </w:p>
          <w:p w14:paraId="5FE7F8A4"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613AA748"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Coding gain can be obtained</w:t>
            </w:r>
          </w:p>
          <w:p w14:paraId="22307117"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sidRPr="00A55B4F">
              <w:rPr>
                <w:rFonts w:eastAsia="MS Mincho"/>
                <w:kern w:val="2"/>
                <w:lang w:val="en-US" w:eastAsia="ja-JP"/>
              </w:rPr>
              <w:t>There is a possibility that implementation complexity</w:t>
            </w:r>
            <w:r>
              <w:rPr>
                <w:rFonts w:eastAsia="MS Mincho" w:hint="eastAsia"/>
                <w:kern w:val="2"/>
                <w:lang w:val="en-US" w:eastAsia="ja-JP"/>
              </w:rPr>
              <w:t xml:space="preserve"> (e.g., memory) </w:t>
            </w:r>
            <w:r w:rsidRPr="00A55B4F">
              <w:rPr>
                <w:rFonts w:eastAsia="MS Mincho"/>
                <w:kern w:val="2"/>
                <w:lang w:val="en-US" w:eastAsia="ja-JP"/>
              </w:rPr>
              <w:t>will increase</w:t>
            </w:r>
          </w:p>
          <w:p w14:paraId="4A8DFDDA" w14:textId="376F4377" w:rsidR="00614551" w:rsidRDefault="00614551" w:rsidP="00614551">
            <w:pPr>
              <w:adjustRightInd w:val="0"/>
              <w:spacing w:after="50" w:line="240" w:lineRule="auto"/>
              <w:jc w:val="left"/>
              <w:rPr>
                <w:rFonts w:eastAsia="Malgun Gothic"/>
                <w:kern w:val="2"/>
                <w:lang w:val="en-US" w:eastAsia="ko-KR"/>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sidRPr="00A55B4F">
              <w:rPr>
                <w:rFonts w:eastAsia="MS Mincho"/>
                <w:kern w:val="2"/>
                <w:lang w:val="en-US" w:eastAsia="ja-JP"/>
              </w:rPr>
              <w:t xml:space="preserve"> design</w:t>
            </w:r>
            <w:r>
              <w:rPr>
                <w:rFonts w:eastAsia="MS Mincho" w:hint="eastAsia"/>
                <w:kern w:val="2"/>
                <w:lang w:val="en-US" w:eastAsia="ja-JP"/>
              </w:rPr>
              <w:t>)</w:t>
            </w:r>
            <w:r w:rsidRPr="00A55B4F">
              <w:rPr>
                <w:rFonts w:eastAsia="MS Mincho"/>
                <w:kern w:val="2"/>
                <w:lang w:val="en-US" w:eastAsia="ja-JP"/>
              </w:rPr>
              <w:t>. Considering compatibility with NR equipment, Option</w:t>
            </w:r>
            <w:r w:rsidRPr="00A55B4F">
              <w:rPr>
                <w:rFonts w:eastAsia="MS Mincho"/>
                <w:kern w:val="2"/>
                <w:lang w:val="en-US" w:eastAsia="ja-JP"/>
              </w:rPr>
              <w:noBreakHyphen/>
              <w:t>1 is, at this stage, the highest</w:t>
            </w:r>
            <w:r w:rsidRPr="00A55B4F">
              <w:rPr>
                <w:rFonts w:eastAsia="MS Mincho"/>
                <w:kern w:val="2"/>
                <w:lang w:val="en-US" w:eastAsia="ja-JP"/>
              </w:rPr>
              <w:noBreakHyphen/>
              <w:t>priority option for us.</w:t>
            </w:r>
          </w:p>
        </w:tc>
      </w:tr>
      <w:tr w:rsidR="00405C3D" w:rsidRPr="00C17D69" w14:paraId="6992F5D4" w14:textId="77777777" w:rsidTr="001F45BA">
        <w:tblPrEx>
          <w:jc w:val="left"/>
        </w:tblPrEx>
        <w:tc>
          <w:tcPr>
            <w:tcW w:w="1838" w:type="dxa"/>
          </w:tcPr>
          <w:p w14:paraId="4A0697C5" w14:textId="12ECF034" w:rsidR="00405C3D" w:rsidRPr="00405C3D" w:rsidRDefault="00405C3D" w:rsidP="00405C3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79F93C80" w14:textId="26C7C2D3" w:rsidR="00405C3D" w:rsidRPr="00E64BD9"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614551" w14:paraId="42A08017" w14:textId="77777777" w:rsidTr="0067268C">
        <w:tblPrEx>
          <w:jc w:val="left"/>
        </w:tblPrEx>
        <w:tc>
          <w:tcPr>
            <w:tcW w:w="1838" w:type="dxa"/>
          </w:tcPr>
          <w:p w14:paraId="5307F2EC" w14:textId="43FA2C78"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6F88E31D" w14:textId="41545A8B"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717DC279"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assessment of the pros and cons of each option is as follows.</w:t>
            </w:r>
          </w:p>
          <w:p w14:paraId="009A8E60"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454BA70"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0181320F" w14:textId="77777777" w:rsidR="00614551" w:rsidRPr="00582700"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sidRPr="00A55B4F">
              <w:rPr>
                <w:rFonts w:eastAsia="MS Mincho"/>
                <w:kern w:val="2"/>
                <w:lang w:val="en-US" w:eastAsia="ja-JP"/>
              </w:rPr>
              <w:t>It may be more difficult to benefit from early termination</w:t>
            </w:r>
          </w:p>
          <w:p w14:paraId="546A2072"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066B9BB2"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easier to benefit from early termination</w:t>
            </w:r>
          </w:p>
          <w:p w14:paraId="6940B847"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Cons.:</w:t>
            </w:r>
            <w:r>
              <w:rPr>
                <w:rFonts w:eastAsia="MS Mincho" w:hint="eastAsia"/>
                <w:kern w:val="2"/>
                <w:lang w:val="en-US" w:eastAsia="ja-JP"/>
              </w:rPr>
              <w:t xml:space="preserve"> </w:t>
            </w:r>
            <w:r w:rsidRPr="00A55B4F">
              <w:rPr>
                <w:rFonts w:eastAsia="MS Mincho"/>
                <w:kern w:val="2"/>
                <w:lang w:val="en-US" w:eastAsia="ja-JP"/>
              </w:rPr>
              <w:t>It may require significant changes to the number of edges and their placement compared with the NR design</w:t>
            </w:r>
          </w:p>
          <w:p w14:paraId="72FF2E4F" w14:textId="72EA79F8" w:rsidR="00614551" w:rsidRDefault="00614551" w:rsidP="00614551">
            <w:pPr>
              <w:adjustRightInd w:val="0"/>
              <w:spacing w:after="50" w:line="240" w:lineRule="auto"/>
              <w:jc w:val="left"/>
              <w:rPr>
                <w:rFonts w:eastAsiaTheme="minorEastAsia"/>
                <w:kern w:val="2"/>
                <w:lang w:val="en-US" w:eastAsia="zh-CN"/>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sidRPr="00A55B4F">
              <w:rPr>
                <w:rFonts w:eastAsia="MS Mincho"/>
                <w:kern w:val="2"/>
                <w:lang w:val="en-US" w:eastAsia="ja-JP"/>
              </w:rPr>
              <w:t>. Considering compatibility with NR equipment, Option‑1 is, at this stage, the highest‑priority option for us.</w:t>
            </w:r>
          </w:p>
        </w:tc>
      </w:tr>
      <w:tr w:rsidR="00405C3D" w14:paraId="7F36C37C" w14:textId="77777777" w:rsidTr="0067268C">
        <w:tblPrEx>
          <w:jc w:val="left"/>
        </w:tblPrEx>
        <w:tc>
          <w:tcPr>
            <w:tcW w:w="1838" w:type="dxa"/>
          </w:tcPr>
          <w:p w14:paraId="3C289ACB" w14:textId="7D26EADE"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7CC7272C" w14:textId="590D4CC5" w:rsidR="00405C3D" w:rsidRPr="00E64BD9"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3E2545" w14:paraId="57F76F49" w14:textId="77777777" w:rsidTr="0067268C">
        <w:tblPrEx>
          <w:jc w:val="left"/>
        </w:tblPrEx>
        <w:tc>
          <w:tcPr>
            <w:tcW w:w="1838" w:type="dxa"/>
          </w:tcPr>
          <w:p w14:paraId="437BFDBC" w14:textId="7382736C"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6E92FBE7"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17D6CEEC" w14:textId="77777777" w:rsidR="003E2545" w:rsidRPr="00AA143A" w:rsidRDefault="003E2545" w:rsidP="003E2545">
            <w:pPr>
              <w:adjustRightInd w:val="0"/>
              <w:spacing w:after="50" w:line="240" w:lineRule="auto"/>
              <w:jc w:val="left"/>
              <w:rPr>
                <w:rFonts w:eastAsia="Malgun Gothic"/>
                <w:kern w:val="2"/>
                <w:lang w:val="en-US" w:eastAsia="ko-KR"/>
              </w:rPr>
            </w:pPr>
          </w:p>
          <w:p w14:paraId="26CCECE8"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1EA94A76" w14:textId="77777777" w:rsidR="003E2545" w:rsidRDefault="003E2545" w:rsidP="003E2545">
            <w:pPr>
              <w:pStyle w:val="ListParagraph"/>
              <w:numPr>
                <w:ilvl w:val="0"/>
                <w:numId w:val="49"/>
              </w:numPr>
              <w:tabs>
                <w:tab w:val="left" w:pos="840"/>
              </w:tabs>
              <w:ind w:firstLineChars="0"/>
              <w:jc w:val="left"/>
              <w:rPr>
                <w:rFonts w:eastAsia="DengXian"/>
                <w:bCs/>
                <w:lang w:val="en-US" w:eastAsia="zh-CN"/>
              </w:rPr>
            </w:pPr>
            <w:r w:rsidRPr="007850CF">
              <w:rPr>
                <w:rFonts w:eastAsia="Malgun Gothic" w:hint="eastAsia"/>
                <w:color w:val="000000"/>
                <w:highlight w:val="yellow"/>
                <w:lang w:val="en-US" w:eastAsia="ko-KR" w:bidi="ar"/>
              </w:rPr>
              <w:lastRenderedPageBreak/>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06C1E83F" w14:textId="5F9A63F6" w:rsidR="003E2545" w:rsidRPr="00614551" w:rsidRDefault="003E2545" w:rsidP="003E2545">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614551" w14:paraId="40241344" w14:textId="77777777" w:rsidTr="0067268C">
        <w:tblPrEx>
          <w:jc w:val="left"/>
        </w:tblPrEx>
        <w:tc>
          <w:tcPr>
            <w:tcW w:w="1838" w:type="dxa"/>
          </w:tcPr>
          <w:p w14:paraId="1D85CE65" w14:textId="1D490F0C"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lastRenderedPageBreak/>
              <w:t>NTT DOCOMO</w:t>
            </w:r>
          </w:p>
        </w:tc>
        <w:tc>
          <w:tcPr>
            <w:tcW w:w="7665" w:type="dxa"/>
          </w:tcPr>
          <w:p w14:paraId="314BB323" w14:textId="16D30113" w:rsidR="00614551" w:rsidRDefault="00614551" w:rsidP="00614551">
            <w:pPr>
              <w:adjustRightInd w:val="0"/>
              <w:spacing w:after="50" w:line="240" w:lineRule="auto"/>
              <w:jc w:val="left"/>
              <w:rPr>
                <w:rFonts w:eastAsia="Malgun Gothic"/>
                <w:kern w:val="2"/>
                <w:lang w:val="en-US" w:eastAsia="ko-KR"/>
              </w:rPr>
            </w:pPr>
            <w:r w:rsidRPr="00C57842">
              <w:rPr>
                <w:rFonts w:eastAsiaTheme="minorEastAsia"/>
                <w:kern w:val="2"/>
                <w:lang w:val="en-US" w:eastAsia="zh-CN"/>
              </w:rPr>
              <w:t>The LDPC extensions currently under study target</w:t>
            </w:r>
            <w:r>
              <w:rPr>
                <w:rFonts w:eastAsia="MS Mincho" w:hint="eastAsia"/>
                <w:kern w:val="2"/>
                <w:lang w:val="en-US" w:eastAsia="ja-JP"/>
              </w:rPr>
              <w:t xml:space="preserve"> the</w:t>
            </w:r>
            <w:r w:rsidRPr="00C57842">
              <w:rPr>
                <w:rFonts w:eastAsiaTheme="minorEastAsia"/>
                <w:kern w:val="2"/>
                <w:lang w:val="en-US" w:eastAsia="zh-CN"/>
              </w:rPr>
              <w:t xml:space="preserve"> data</w:t>
            </w:r>
            <w:r>
              <w:rPr>
                <w:rFonts w:eastAsia="MS Mincho" w:hint="eastAsia"/>
                <w:kern w:val="2"/>
                <w:lang w:val="en-US" w:eastAsia="ja-JP"/>
              </w:rPr>
              <w:t xml:space="preserve"> </w:t>
            </w:r>
            <w:r w:rsidRPr="00C57842">
              <w:rPr>
                <w:rFonts w:eastAsiaTheme="minorEastAsia"/>
                <w:kern w:val="2"/>
                <w:lang w:val="en-US" w:eastAsia="zh-CN"/>
              </w:rPr>
              <w:t xml:space="preserve">rate range </w:t>
            </w:r>
            <w:r>
              <w:rPr>
                <w:rFonts w:eastAsia="MS Mincho" w:hint="eastAsia"/>
                <w:kern w:val="2"/>
                <w:lang w:val="en-US" w:eastAsia="ja-JP"/>
              </w:rPr>
              <w:t>beyond</w:t>
            </w:r>
            <w:r w:rsidRPr="00C57842">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sidRPr="00C57842">
              <w:rPr>
                <w:rFonts w:eastAsiaTheme="minorEastAsia"/>
                <w:kern w:val="2"/>
                <w:lang w:val="en-US" w:eastAsia="zh-CN"/>
              </w:rPr>
              <w:t xml:space="preserve"> transmission</w:t>
            </w:r>
            <w:r>
              <w:rPr>
                <w:rFonts w:eastAsia="MS Mincho" w:hint="eastAsia"/>
                <w:kern w:val="2"/>
                <w:lang w:val="en-US" w:eastAsia="ja-JP"/>
              </w:rPr>
              <w:t>/reception</w:t>
            </w:r>
            <w:r w:rsidRPr="00C57842">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sidRPr="00C57842">
              <w:rPr>
                <w:rFonts w:eastAsiaTheme="minorEastAsia"/>
                <w:kern w:val="2"/>
                <w:lang w:val="en-US" w:eastAsia="zh-CN"/>
              </w:rPr>
              <w:t>medium code</w:t>
            </w:r>
            <w:r>
              <w:rPr>
                <w:rFonts w:eastAsia="MS Mincho" w:hint="eastAsia"/>
                <w:kern w:val="2"/>
                <w:lang w:val="en-US" w:eastAsia="ja-JP"/>
              </w:rPr>
              <w:t xml:space="preserve"> </w:t>
            </w:r>
            <w:r w:rsidRPr="00C57842">
              <w:rPr>
                <w:rFonts w:eastAsiaTheme="minorEastAsia"/>
                <w:kern w:val="2"/>
                <w:lang w:val="en-US" w:eastAsia="zh-CN"/>
              </w:rPr>
              <w:t>rate region in the</w:t>
            </w:r>
            <w:r>
              <w:rPr>
                <w:rFonts w:eastAsia="MS Mincho" w:hint="eastAsia"/>
                <w:kern w:val="2"/>
                <w:lang w:val="en-US" w:eastAsia="ja-JP"/>
              </w:rPr>
              <w:t xml:space="preserve"> LDPC</w:t>
            </w:r>
            <w:r w:rsidRPr="00C57842">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sidRPr="00C57842">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sidRPr="00C57842">
              <w:rPr>
                <w:rFonts w:eastAsiaTheme="minorEastAsia"/>
                <w:kern w:val="2"/>
                <w:lang w:val="en-US" w:eastAsia="zh-CN"/>
              </w:rPr>
              <w:t>.</w:t>
            </w:r>
          </w:p>
        </w:tc>
      </w:tr>
      <w:tr w:rsidR="00405C3D" w14:paraId="5237CD1A" w14:textId="77777777" w:rsidTr="0067268C">
        <w:tblPrEx>
          <w:jc w:val="left"/>
        </w:tblPrEx>
        <w:tc>
          <w:tcPr>
            <w:tcW w:w="1838" w:type="dxa"/>
          </w:tcPr>
          <w:p w14:paraId="719181CE" w14:textId="09F24E05"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762DB2F8" w14:textId="2FA7DEDF" w:rsidR="00405C3D" w:rsidRPr="00C57842"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3E2545" w14:paraId="558DD1A4" w14:textId="77777777" w:rsidTr="0067268C">
        <w:tblPrEx>
          <w:jc w:val="left"/>
        </w:tblPrEx>
        <w:tc>
          <w:tcPr>
            <w:tcW w:w="1838" w:type="dxa"/>
          </w:tcPr>
          <w:p w14:paraId="5495C665" w14:textId="00327792"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0E8FF10" w14:textId="1E266EA9" w:rsidR="003E2545" w:rsidRDefault="003E2545" w:rsidP="003E2545">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614551" w14:paraId="36D615C7" w14:textId="77777777" w:rsidTr="0067268C">
        <w:tblPrEx>
          <w:jc w:val="left"/>
        </w:tblPrEx>
        <w:tc>
          <w:tcPr>
            <w:tcW w:w="1838" w:type="dxa"/>
          </w:tcPr>
          <w:p w14:paraId="30F29A99" w14:textId="25167EE7"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B0F2F5E" w14:textId="655D837E"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6621B97E" w14:textId="409925FB" w:rsidR="00614551" w:rsidRDefault="00614551" w:rsidP="00614551">
            <w:pPr>
              <w:adjustRightInd w:val="0"/>
              <w:spacing w:after="50" w:line="240" w:lineRule="auto"/>
              <w:jc w:val="left"/>
              <w:rPr>
                <w:rFonts w:eastAsia="Malgun Gothic"/>
                <w:kern w:val="2"/>
                <w:lang w:val="en-US" w:eastAsia="ko-KR"/>
              </w:rPr>
            </w:pPr>
            <w:r w:rsidRPr="005E4F4D">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sidRPr="005E4F4D">
              <w:rPr>
                <w:rFonts w:eastAsia="MS Mincho"/>
                <w:kern w:val="2"/>
                <w:lang w:val="en-US" w:eastAsia="ja-JP"/>
              </w:rPr>
              <w:t xml:space="preserve"> of benefiting from early termination</w:t>
            </w:r>
            <w:r>
              <w:rPr>
                <w:rFonts w:eastAsia="MS Mincho" w:hint="eastAsia"/>
                <w:kern w:val="2"/>
                <w:lang w:val="en-US" w:eastAsia="ja-JP"/>
              </w:rPr>
              <w:t>. H</w:t>
            </w:r>
            <w:r w:rsidRPr="005E4F4D">
              <w:rPr>
                <w:rFonts w:eastAsia="MS Mincho"/>
                <w:kern w:val="2"/>
                <w:lang w:val="en-US" w:eastAsia="ja-JP"/>
              </w:rPr>
              <w:t xml:space="preserve">owever, it may also require significant changes to the number of edges and their placement compared with the NR design. </w:t>
            </w: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sidRPr="005E4F4D">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405C3D" w14:paraId="72E30FB6" w14:textId="77777777" w:rsidTr="0067268C">
        <w:tblPrEx>
          <w:jc w:val="left"/>
        </w:tblPrEx>
        <w:tc>
          <w:tcPr>
            <w:tcW w:w="1838" w:type="dxa"/>
          </w:tcPr>
          <w:p w14:paraId="4B6C1782" w14:textId="6EAA6CDB"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0CCEC187" w14:textId="0DC50D2E" w:rsidR="00405C3D" w:rsidRPr="00E64BD9"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3E2545" w14:paraId="3970C5F0" w14:textId="77777777" w:rsidTr="0067268C">
        <w:tblPrEx>
          <w:jc w:val="left"/>
        </w:tblPrEx>
        <w:tc>
          <w:tcPr>
            <w:tcW w:w="1838" w:type="dxa"/>
          </w:tcPr>
          <w:p w14:paraId="69BB7F1E" w14:textId="53CFBEEB"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9089609" w14:textId="63DC2153" w:rsidR="003E2545" w:rsidRDefault="003E2545" w:rsidP="003E2545">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614551" w14:paraId="6DF94145" w14:textId="77777777" w:rsidTr="0067268C">
        <w:tblPrEx>
          <w:jc w:val="left"/>
        </w:tblPrEx>
        <w:tc>
          <w:tcPr>
            <w:tcW w:w="1838" w:type="dxa"/>
          </w:tcPr>
          <w:p w14:paraId="56CA1504" w14:textId="37004B22"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21950BFA" w14:textId="214F305E" w:rsidR="00614551" w:rsidRDefault="00614551" w:rsidP="00614551">
            <w:pPr>
              <w:adjustRightInd w:val="0"/>
              <w:spacing w:after="50" w:line="240" w:lineRule="auto"/>
              <w:jc w:val="left"/>
              <w:rPr>
                <w:rFonts w:eastAsia="Malgun Gothic"/>
                <w:kern w:val="2"/>
                <w:lang w:val="en-US" w:eastAsia="ko-KR"/>
              </w:rPr>
            </w:pPr>
            <w:r w:rsidRPr="00C57842">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405C3D" w14:paraId="53206485" w14:textId="77777777" w:rsidTr="0067268C">
        <w:tblPrEx>
          <w:jc w:val="left"/>
        </w:tblPrEx>
        <w:tc>
          <w:tcPr>
            <w:tcW w:w="1838" w:type="dxa"/>
          </w:tcPr>
          <w:p w14:paraId="5C0292DB" w14:textId="06538DFF"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9C8B04D" w14:textId="4E7B2955" w:rsidR="00405C3D" w:rsidRPr="00C57842"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lastRenderedPageBreak/>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Caption"/>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Caption"/>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Caption"/>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Caption"/>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Caption"/>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 xml:space="preserve">Observation 3: Inter-CB outer coding with outer LDPC codes shows large performance gain compared to 5G NR for </w:t>
            </w:r>
            <w:proofErr w:type="gramStart"/>
            <w:r w:rsidRPr="00FA1B1D">
              <w:rPr>
                <w:rFonts w:eastAsiaTheme="minorEastAsia"/>
                <w:lang w:val="en-US" w:eastAsia="ko-KR"/>
              </w:rPr>
              <w:t>high speed</w:t>
            </w:r>
            <w:proofErr w:type="gramEnd"/>
            <w:r w:rsidRPr="00FA1B1D">
              <w:rPr>
                <w:rFonts w:eastAsiaTheme="minorEastAsia"/>
                <w:lang w:val="en-US" w:eastAsia="ko-KR"/>
              </w:rPr>
              <w:t xml:space="preserve">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ListParagraph"/>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ListParagraph"/>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ListParagraph"/>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4AFEC2F7" w14:textId="77777777" w:rsidR="009E765E" w:rsidRPr="00FA1B1D" w:rsidRDefault="00C0597A" w:rsidP="00F5642F">
            <w:pPr>
              <w:pStyle w:val="Caption"/>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ListParagraph"/>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 xml:space="preserve">LGE, </w:t>
      </w:r>
      <w:proofErr w:type="spellStart"/>
      <w:r w:rsidR="007F6C04" w:rsidRPr="001E3A1D">
        <w:rPr>
          <w:rFonts w:eastAsia="DengXian"/>
          <w:lang w:val="en-US" w:eastAsia="zh-CN"/>
        </w:rPr>
        <w:t>InterDigital</w:t>
      </w:r>
      <w:proofErr w:type="spellEnd"/>
      <w:r w:rsidR="007F6C04" w:rsidRPr="001E3A1D">
        <w:rPr>
          <w:rFonts w:eastAsia="DengXian"/>
          <w:lang w:val="en-US" w:eastAsia="zh-CN"/>
        </w:rPr>
        <w:t>,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ListParagraph"/>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xml:space="preserve">) discussed to enhance the bit </w:t>
      </w:r>
      <w:proofErr w:type="spellStart"/>
      <w:r w:rsidRPr="001E3A1D">
        <w:rPr>
          <w:rFonts w:eastAsia="DengXian" w:hint="eastAsia"/>
          <w:lang w:val="en-US" w:eastAsia="zh-CN"/>
        </w:rPr>
        <w:t>interleaver</w:t>
      </w:r>
      <w:proofErr w:type="spellEnd"/>
      <w:r w:rsidRPr="001E3A1D">
        <w:rPr>
          <w:rFonts w:eastAsia="DengXian" w:hint="eastAsia"/>
          <w:lang w:val="en-US" w:eastAsia="zh-CN"/>
        </w:rPr>
        <w:t xml:space="preserve">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ListParagraph"/>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ListParagraph"/>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ListParagraph"/>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ListParagraph"/>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614551" w14:paraId="7C426F2D" w14:textId="77777777" w:rsidTr="00FB268B">
        <w:trPr>
          <w:jc w:val="center"/>
        </w:trPr>
        <w:tc>
          <w:tcPr>
            <w:tcW w:w="1838" w:type="dxa"/>
            <w:shd w:val="clear" w:color="auto" w:fill="FFFFFF" w:themeFill="background1"/>
          </w:tcPr>
          <w:p w14:paraId="0E43077B" w14:textId="33020D6F"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3C82AD62" w14:textId="70CA305D"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DD5DC5" w14:paraId="58489AA7" w14:textId="77777777" w:rsidTr="00FB268B">
        <w:trPr>
          <w:jc w:val="center"/>
        </w:trPr>
        <w:tc>
          <w:tcPr>
            <w:tcW w:w="1838" w:type="dxa"/>
            <w:shd w:val="clear" w:color="auto" w:fill="FFFFFF" w:themeFill="background1"/>
          </w:tcPr>
          <w:p w14:paraId="78EDE55B" w14:textId="692845F1" w:rsidR="00DD5DC5" w:rsidRDefault="00DD5DC5" w:rsidP="00DD5DC5">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5984D768" w14:textId="49101D12" w:rsidR="00DD5DC5" w:rsidRDefault="00DD5DC5" w:rsidP="00DD5DC5">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64233B" w14:paraId="0C4331A4" w14:textId="77777777" w:rsidTr="00FB268B">
        <w:trPr>
          <w:jc w:val="center"/>
        </w:trPr>
        <w:tc>
          <w:tcPr>
            <w:tcW w:w="1838" w:type="dxa"/>
            <w:shd w:val="clear" w:color="auto" w:fill="FFFFFF" w:themeFill="background1"/>
          </w:tcPr>
          <w:p w14:paraId="7C284464" w14:textId="7209B40F" w:rsidR="0064233B" w:rsidRDefault="0064233B" w:rsidP="0064233B">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2FD4A824" w14:textId="6293590C" w:rsidR="0064233B" w:rsidRPr="0064233B" w:rsidRDefault="0064233B" w:rsidP="0064233B">
            <w:pPr>
              <w:adjustRightInd w:val="0"/>
              <w:spacing w:after="50" w:line="240" w:lineRule="auto"/>
              <w:jc w:val="left"/>
              <w:rPr>
                <w:rFonts w:eastAsia="Malgun Gothic"/>
                <w:kern w:val="2"/>
                <w:lang w:val="en-US" w:eastAsia="ko-KR"/>
              </w:rPr>
            </w:pPr>
            <w:r w:rsidRPr="0064233B">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and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Caption"/>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Caption"/>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Caption"/>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Caption"/>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Caption"/>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Caption"/>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Caption"/>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Caption"/>
              <w:spacing w:after="0"/>
              <w:jc w:val="left"/>
              <w:rPr>
                <w:b w:val="0"/>
                <w:bCs w:val="0"/>
                <w:lang w:eastAsia="zh-CN"/>
              </w:rPr>
            </w:pPr>
            <w:bookmarkStart w:id="63" w:name="_Ref210116471"/>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Caption"/>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lastRenderedPageBreak/>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Norm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ListParagraph"/>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Caption"/>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Caption"/>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Caption"/>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Caption"/>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ListParagraph"/>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ListParagraph"/>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ListParagraph"/>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ListParagraph"/>
              <w:numPr>
                <w:ilvl w:val="1"/>
                <w:numId w:val="57"/>
              </w:numPr>
              <w:spacing w:after="0" w:line="240" w:lineRule="auto"/>
              <w:ind w:firstLineChars="0"/>
              <w:contextualSpacing/>
              <w:jc w:val="left"/>
              <w:rPr>
                <w:lang w:val="en-US"/>
              </w:rPr>
            </w:pPr>
            <w:proofErr w:type="gramStart"/>
            <w:r w:rsidRPr="00261C20">
              <w:rPr>
                <w:lang w:val="en-US"/>
              </w:rPr>
              <w:t>m :</w:t>
            </w:r>
            <w:proofErr w:type="gramEnd"/>
            <w:r w:rsidRPr="00261C20">
              <w:rPr>
                <w:lang w:val="en-US"/>
              </w:rPr>
              <w:t xml:space="preserve"> number of total data integrity check bits</w:t>
            </w:r>
          </w:p>
          <w:p w14:paraId="01D11433" w14:textId="5F228433" w:rsidR="009E765E" w:rsidRPr="00261C20" w:rsidRDefault="00000000" w:rsidP="00FC3EBB">
            <w:pPr>
              <w:pStyle w:val="ListParagraph"/>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ListParagraph"/>
              <w:numPr>
                <w:ilvl w:val="1"/>
                <w:numId w:val="57"/>
              </w:numPr>
              <w:spacing w:after="0" w:line="240" w:lineRule="auto"/>
              <w:ind w:firstLineChars="0"/>
              <w:contextualSpacing/>
              <w:jc w:val="left"/>
              <w:rPr>
                <w:lang w:val="en-US"/>
              </w:rPr>
            </w:pPr>
            <w:proofErr w:type="gramStart"/>
            <w:r w:rsidRPr="00261C20">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ListParagraph"/>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ListParagraph"/>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ListParagraph"/>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ListParagraph"/>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ListParagraph"/>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ListParagraph"/>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ListParagraph"/>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ListParagraph"/>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Caption"/>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ListParagraph"/>
        <w:widowControl w:val="0"/>
        <w:numPr>
          <w:ilvl w:val="0"/>
          <w:numId w:val="59"/>
        </w:numPr>
        <w:spacing w:line="259" w:lineRule="auto"/>
        <w:ind w:firstLineChars="0" w:hanging="357"/>
        <w:jc w:val="left"/>
      </w:pPr>
      <w:r>
        <w:lastRenderedPageBreak/>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ListParagraph"/>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782C0F51" w14:textId="00D67BB2" w:rsidR="009E765E" w:rsidRDefault="00C0597A" w:rsidP="00FC3EBB">
      <w:pPr>
        <w:pStyle w:val="ListParagraph"/>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ListParagraph"/>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ListParagraph"/>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ListParagraph"/>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ListParagraph"/>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ListParagraph"/>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ListParagraph"/>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ListParagraph"/>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ListParagraph"/>
        <w:numPr>
          <w:ilvl w:val="2"/>
          <w:numId w:val="6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ListParagraph"/>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ListParagraph"/>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ListParagraph"/>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ListParagraph"/>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ListParagraph"/>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ListParagraph"/>
        <w:spacing w:line="259" w:lineRule="auto"/>
        <w:ind w:left="1080" w:firstLineChars="0" w:firstLine="0"/>
        <w:rPr>
          <w:rFonts w:eastAsiaTheme="minorEastAsia"/>
          <w:lang w:val="en-US" w:eastAsia="zh-CN"/>
        </w:rPr>
      </w:pPr>
    </w:p>
    <w:p w14:paraId="42A22919" w14:textId="77777777" w:rsidR="009E765E" w:rsidRDefault="00C0597A" w:rsidP="00FC3EBB">
      <w:pPr>
        <w:pStyle w:val="ListParagraph"/>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Heading4"/>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r w:rsidR="006237C6" w14:paraId="33C108BA" w14:textId="77777777" w:rsidTr="0067268C">
        <w:tblPrEx>
          <w:jc w:val="left"/>
        </w:tblPrEx>
        <w:tc>
          <w:tcPr>
            <w:tcW w:w="1838" w:type="dxa"/>
          </w:tcPr>
          <w:p w14:paraId="485DE432" w14:textId="59AADE25" w:rsidR="006237C6" w:rsidRDefault="006237C6" w:rsidP="00614551">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r w:rsidR="00614551">
              <w:rPr>
                <w:rFonts w:eastAsiaTheme="minorEastAsia"/>
                <w:b/>
                <w:bCs/>
                <w:kern w:val="2"/>
                <w:lang w:val="en-US" w:eastAsia="zh-CN"/>
              </w:rPr>
              <w:tab/>
            </w:r>
          </w:p>
        </w:tc>
        <w:tc>
          <w:tcPr>
            <w:tcW w:w="7665" w:type="dxa"/>
          </w:tcPr>
          <w:p w14:paraId="55082003" w14:textId="67DA3A9F" w:rsidR="006237C6" w:rsidRDefault="006237C6" w:rsidP="006237C6">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614551" w14:paraId="2AF2374D" w14:textId="77777777" w:rsidTr="0067268C">
        <w:tblPrEx>
          <w:jc w:val="left"/>
        </w:tblPrEx>
        <w:tc>
          <w:tcPr>
            <w:tcW w:w="1838" w:type="dxa"/>
          </w:tcPr>
          <w:p w14:paraId="7D8A6963" w14:textId="6EB6CB47" w:rsidR="00614551" w:rsidRDefault="00614551" w:rsidP="00614551">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75A15BA6" w14:textId="63297D9C" w:rsidR="00614551"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w:t>
            </w:r>
            <w:r>
              <w:rPr>
                <w:rFonts w:eastAsia="MS Mincho" w:hint="eastAsia"/>
                <w:kern w:val="2"/>
                <w:lang w:val="en-US" w:eastAsia="ja-JP"/>
              </w:rPr>
              <w:t xml:space="preserve"> </w:t>
            </w:r>
            <w:r w:rsidRPr="00582700">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sidRPr="00582700">
              <w:rPr>
                <w:rFonts w:eastAsiaTheme="minorEastAsia"/>
                <w:kern w:val="2"/>
                <w:lang w:val="en-US" w:eastAsia="zh-CN"/>
              </w:rPr>
              <w:t>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41F9E5D0" w14:textId="4A45EF0F" w:rsidR="00614551" w:rsidRDefault="00614551" w:rsidP="00614551">
            <w:pPr>
              <w:adjustRightInd w:val="0"/>
              <w:spacing w:after="50" w:line="240" w:lineRule="auto"/>
              <w:jc w:val="left"/>
              <w:rPr>
                <w:rFonts w:eastAsiaTheme="minorEastAsia"/>
                <w:kern w:val="2"/>
                <w:lang w:val="en-US" w:eastAsia="zh-CN"/>
              </w:rPr>
            </w:pPr>
            <w:r w:rsidRPr="00C5170D">
              <w:rPr>
                <w:rFonts w:eastAsia="MS Mincho"/>
                <w:kern w:val="2"/>
                <w:lang w:val="en-US" w:eastAsia="ja-JP"/>
              </w:rPr>
              <w:t>From the perspective of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a key point for us </w:t>
            </w:r>
            <w:r>
              <w:rPr>
                <w:rFonts w:eastAsia="MS Mincho" w:hint="eastAsia"/>
                <w:kern w:val="2"/>
                <w:lang w:val="en-US" w:eastAsia="ja-JP"/>
              </w:rPr>
              <w:t>can be</w:t>
            </w:r>
            <w:r w:rsidRPr="00C5170D">
              <w:rPr>
                <w:rFonts w:eastAsia="MS Mincho"/>
                <w:kern w:val="2"/>
                <w:lang w:val="en-US" w:eastAsia="ja-JP"/>
              </w:rPr>
              <w:t xml:space="preserve"> whether Option</w:t>
            </w:r>
            <w:r w:rsidRPr="00C5170D">
              <w:rPr>
                <w:rFonts w:eastAsia="MS Mincho"/>
                <w:kern w:val="2"/>
                <w:lang w:val="en-US" w:eastAsia="ja-JP"/>
              </w:rPr>
              <w:noBreakHyphen/>
              <w:t>2 would have a significant impact on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sidRPr="00C5170D">
              <w:rPr>
                <w:rFonts w:eastAsia="MS Mincho"/>
                <w:kern w:val="2"/>
                <w:lang w:val="en-US" w:eastAsia="ja-JP"/>
              </w:rPr>
              <w:t xml:space="preserve"> that further information</w:t>
            </w:r>
            <w:r>
              <w:rPr>
                <w:rFonts w:eastAsia="MS Mincho" w:hint="eastAsia"/>
                <w:kern w:val="2"/>
                <w:lang w:val="en-US" w:eastAsia="ja-JP"/>
              </w:rPr>
              <w:t xml:space="preserve"> about this</w:t>
            </w:r>
            <w:r w:rsidRPr="00C5170D">
              <w:rPr>
                <w:rFonts w:eastAsia="MS Mincho"/>
                <w:kern w:val="2"/>
                <w:lang w:val="en-US" w:eastAsia="ja-JP"/>
              </w:rPr>
              <w:t xml:space="preserve"> is needed.</w:t>
            </w:r>
          </w:p>
        </w:tc>
      </w:tr>
      <w:tr w:rsidR="00522F2E" w14:paraId="721A349F" w14:textId="77777777" w:rsidTr="0067268C">
        <w:tblPrEx>
          <w:jc w:val="left"/>
        </w:tblPrEx>
        <w:tc>
          <w:tcPr>
            <w:tcW w:w="1838" w:type="dxa"/>
          </w:tcPr>
          <w:p w14:paraId="2E1ED484" w14:textId="304F84A1" w:rsidR="00522F2E" w:rsidRDefault="00522F2E" w:rsidP="00522F2E">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FCBA231" w14:textId="759FD6F2" w:rsidR="00522F2E" w:rsidRPr="00E64BD9" w:rsidRDefault="00522F2E" w:rsidP="00522F2E">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bl>
    <w:p w14:paraId="46656BDC" w14:textId="77777777" w:rsidR="003B3E2B" w:rsidRDefault="003B3E2B">
      <w:pPr>
        <w:rPr>
          <w:rFonts w:eastAsiaTheme="minorEastAsia"/>
          <w:lang w:eastAsia="zh-CN"/>
        </w:rPr>
      </w:pPr>
    </w:p>
    <w:p w14:paraId="6AA657E6" w14:textId="29ACECA1"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C358CF" w14:paraId="6B8E0727" w14:textId="77777777" w:rsidTr="0067268C">
        <w:tblPrEx>
          <w:jc w:val="left"/>
        </w:tblPrEx>
        <w:tc>
          <w:tcPr>
            <w:tcW w:w="1838" w:type="dxa"/>
          </w:tcPr>
          <w:p w14:paraId="0CD16EAB" w14:textId="5E7B1561" w:rsidR="00C358CF" w:rsidRDefault="00C358CF" w:rsidP="0067268C">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98F5A74" w14:textId="0E4E1683" w:rsidR="00C358CF" w:rsidRDefault="00C358CF" w:rsidP="0067268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614551" w14:paraId="16EE4009" w14:textId="77777777" w:rsidTr="0067268C">
        <w:tblPrEx>
          <w:jc w:val="left"/>
        </w:tblPrEx>
        <w:tc>
          <w:tcPr>
            <w:tcW w:w="1838" w:type="dxa"/>
          </w:tcPr>
          <w:p w14:paraId="5488845E" w14:textId="3C29D946"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144ADC33" w14:textId="2C81309E" w:rsidR="00614551"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 the options for down‑selection as in th</w:t>
            </w:r>
            <w:r>
              <w:rPr>
                <w:rFonts w:eastAsia="MS Mincho" w:hint="eastAsia"/>
                <w:kern w:val="2"/>
                <w:lang w:val="en-US" w:eastAsia="ja-JP"/>
              </w:rPr>
              <w:t>is</w:t>
            </w:r>
            <w:r w:rsidRPr="00E64BD9">
              <w:rPr>
                <w:rFonts w:eastAsiaTheme="minorEastAsia"/>
                <w:kern w:val="2"/>
                <w:lang w:val="en-US" w:eastAsia="zh-CN"/>
              </w:rPr>
              <w:t xml:space="preserve"> proposal </w:t>
            </w:r>
            <w:r>
              <w:rPr>
                <w:rFonts w:eastAsia="MS Mincho" w:hint="eastAsia"/>
                <w:kern w:val="2"/>
                <w:lang w:val="en-US" w:eastAsia="ja-JP"/>
              </w:rPr>
              <w:t>seems</w:t>
            </w:r>
            <w:r w:rsidRPr="00E64BD9">
              <w:rPr>
                <w:rFonts w:eastAsiaTheme="minorEastAsia"/>
                <w:kern w:val="2"/>
                <w:lang w:val="en-US" w:eastAsia="zh-CN"/>
              </w:rPr>
              <w:t xml:space="preserve"> </w:t>
            </w:r>
            <w:r>
              <w:rPr>
                <w:rFonts w:eastAsia="MS Mincho" w:hint="eastAsia"/>
                <w:kern w:val="2"/>
                <w:lang w:val="en-US" w:eastAsia="ja-JP"/>
              </w:rPr>
              <w:t>OK for us</w:t>
            </w:r>
            <w:r w:rsidRPr="00E64BD9">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sidRPr="00E64BD9">
              <w:rPr>
                <w:rFonts w:eastAsiaTheme="minorEastAsia"/>
                <w:kern w:val="2"/>
                <w:lang w:val="en-US" w:eastAsia="zh-CN"/>
              </w:rPr>
              <w:t xml:space="preserve"> Option‑6 and Option‑7.</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Caption"/>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Caption"/>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ListParagraph"/>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BodyText"/>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 xml:space="preserve">Observation 7: Enhancement of segmentation by increasing the number of segments can improve BLER performance significantly for large UCI payload size within NR range compared with the </w:t>
            </w:r>
            <w:r w:rsidRPr="0060256C">
              <w:rPr>
                <w:rFonts w:eastAsiaTheme="minorEastAsia"/>
                <w:lang w:eastAsia="zh-CN"/>
              </w:rPr>
              <w:lastRenderedPageBreak/>
              <w:t>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w:t>
            </w:r>
            <w:proofErr w:type="gramStart"/>
            <w:r w:rsidRPr="0060256C">
              <w:rPr>
                <w:rFonts w:eastAsiaTheme="minorEastAsia"/>
                <w:color w:val="000000" w:themeColor="text1"/>
              </w:rPr>
              <w:t>), and</w:t>
            </w:r>
            <w:proofErr w:type="gramEnd"/>
            <w:r w:rsidRPr="0060256C">
              <w:rPr>
                <w:rFonts w:eastAsiaTheme="minorEastAsia"/>
                <w:color w:val="000000" w:themeColor="text1"/>
              </w:rPr>
              <w:t xml:space="preserve">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lastRenderedPageBreak/>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w:t>
            </w:r>
            <w:proofErr w:type="spellStart"/>
            <w:r w:rsidRPr="0060256C">
              <w:rPr>
                <w:b w:val="0"/>
                <w:bCs w:val="0"/>
                <w:i w:val="0"/>
                <w:iCs w:val="0"/>
                <w:color w:val="000000"/>
                <w:kern w:val="24"/>
                <w:lang w:val="en-US" w:eastAsia="zh-CN"/>
              </w:rPr>
              <w:t>Cmax</w:t>
            </w:r>
            <w:proofErr w:type="spellEnd"/>
            <w:r w:rsidRPr="0060256C">
              <w:rPr>
                <w:b w:val="0"/>
                <w:bCs w:val="0"/>
                <w:i w:val="0"/>
                <w:iCs w:val="0"/>
                <w:color w:val="000000"/>
                <w:kern w:val="24"/>
                <w:lang w:val="en-US" w:eastAsia="zh-CN"/>
              </w:rPr>
              <w:t xml:space="preserve">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vivo</w:t>
            </w:r>
          </w:p>
        </w:tc>
        <w:tc>
          <w:tcPr>
            <w:tcW w:w="7932" w:type="dxa"/>
          </w:tcPr>
          <w:p w14:paraId="5F66F7AF" w14:textId="77777777" w:rsidR="009E765E" w:rsidRPr="0060256C" w:rsidRDefault="00C0597A" w:rsidP="0060256C">
            <w:pPr>
              <w:pStyle w:val="Caption"/>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Caption"/>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Caption"/>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ListParagraph"/>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ListParagraph"/>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ListParagraph"/>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ListParagraph"/>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ListParagraph"/>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ListParagraph"/>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ListParagraph"/>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ListParagraph"/>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ListParagraph"/>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ListParagraph"/>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ListParagraph"/>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ListParagraph"/>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ListParagraph"/>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ListParagraph"/>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ListParagraph"/>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ListParagraph"/>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ListParagraph"/>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ListParagraph"/>
        <w:widowControl w:val="0"/>
        <w:spacing w:line="259" w:lineRule="auto"/>
        <w:ind w:left="420" w:firstLineChars="0" w:firstLine="0"/>
        <w:jc w:val="left"/>
      </w:pPr>
    </w:p>
    <w:p w14:paraId="0CA17F5E" w14:textId="4F20E6A8" w:rsidR="009E765E" w:rsidRPr="0069639D" w:rsidRDefault="00C0597A" w:rsidP="00FC3EBB">
      <w:pPr>
        <w:pStyle w:val="ListParagraph"/>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ListParagraph"/>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ListParagraph"/>
        <w:widowControl w:val="0"/>
        <w:numPr>
          <w:ilvl w:val="0"/>
          <w:numId w:val="59"/>
        </w:numPr>
        <w:spacing w:line="259" w:lineRule="auto"/>
        <w:ind w:leftChars="310" w:left="980" w:firstLineChars="0"/>
      </w:pPr>
      <w:r>
        <w:rPr>
          <w:rFonts w:eastAsia="SimSun" w:hint="eastAsia"/>
          <w:lang w:val="en-US" w:eastAsia="zh-CN"/>
        </w:rPr>
        <w:lastRenderedPageBreak/>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ListParagraph"/>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ListParagraph"/>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sidR="00B1262B">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ListParagraph"/>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w:t>
      </w:r>
      <w:proofErr w:type="gramStart"/>
      <w:r w:rsidRPr="00B8042A">
        <w:rPr>
          <w:rFonts w:eastAsia="SimSun"/>
          <w:lang w:val="en-US" w:eastAsia="zh-CN"/>
        </w:rPr>
        <w:t>high rate</w:t>
      </w:r>
      <w:proofErr w:type="gramEnd"/>
      <w:r w:rsidRPr="00B8042A">
        <w:rPr>
          <w:rFonts w:eastAsia="SimSun"/>
          <w:lang w:val="en-US" w:eastAsia="zh-CN"/>
        </w:rPr>
        <w:t xml:space="preserve"> configurations.</w:t>
      </w:r>
    </w:p>
    <w:p w14:paraId="1896BEAD" w14:textId="7777777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lastRenderedPageBreak/>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Heading4"/>
        <w:spacing w:after="156"/>
        <w:rPr>
          <w:b/>
          <w:szCs w:val="22"/>
          <w:lang w:eastAsia="zh-CN"/>
        </w:rPr>
      </w:pPr>
      <w:r>
        <w:rPr>
          <w:b/>
          <w:szCs w:val="22"/>
          <w:lang w:eastAsia="zh-CN"/>
        </w:rPr>
        <w:t>Round 1</w:t>
      </w:r>
    </w:p>
    <w:p w14:paraId="7B7C64EF" w14:textId="77777777" w:rsidR="009E765E" w:rsidRDefault="00C0597A">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1B7C33" w14:paraId="0EFCCAD9" w14:textId="77777777" w:rsidTr="0067268C">
        <w:tblPrEx>
          <w:jc w:val="left"/>
        </w:tblPrEx>
        <w:tc>
          <w:tcPr>
            <w:tcW w:w="1838" w:type="dxa"/>
          </w:tcPr>
          <w:p w14:paraId="78471C80" w14:textId="08450C3C" w:rsidR="001B7C33" w:rsidRDefault="001B7C33" w:rsidP="001B7C3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BF30C86" w14:textId="77777777" w:rsidR="001B7C33" w:rsidRDefault="001B7C33" w:rsidP="001B7C3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sidRPr="0008587B">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sidRPr="0008587B">
              <w:rPr>
                <w:rFonts w:eastAsiaTheme="minorEastAsia"/>
                <w:kern w:val="2"/>
                <w:lang w:val="en-US" w:eastAsia="zh-CN"/>
              </w:rPr>
              <w:t xml:space="preserve">provide </w:t>
            </w:r>
            <w:r w:rsidRPr="00202294">
              <w:rPr>
                <w:rFonts w:eastAsiaTheme="minorEastAsia"/>
                <w:b/>
                <w:bCs/>
                <w:kern w:val="2"/>
                <w:lang w:val="en-US" w:eastAsia="zh-CN"/>
              </w:rPr>
              <w:t>up to 5.5dB gain</w:t>
            </w:r>
            <w:r w:rsidRPr="0008587B">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sidRPr="0008587B">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16344966" w14:textId="77777777" w:rsidR="001B7C33" w:rsidRDefault="001B7C33" w:rsidP="001B7C33">
            <w:pPr>
              <w:adjustRightInd w:val="0"/>
              <w:spacing w:after="50" w:line="240" w:lineRule="auto"/>
              <w:jc w:val="left"/>
              <w:rPr>
                <w:rFonts w:eastAsiaTheme="minorEastAsia"/>
                <w:kern w:val="2"/>
                <w:lang w:val="en-US" w:eastAsia="zh-CN"/>
              </w:rPr>
            </w:pPr>
          </w:p>
          <w:p w14:paraId="6EF083ED" w14:textId="77777777" w:rsidR="001B7C33" w:rsidRDefault="001B7C33" w:rsidP="001B7C33">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1C020BF1" w14:textId="77777777" w:rsidR="001B7C33" w:rsidRDefault="001B7C33" w:rsidP="001B7C33">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1590E54F" w14:textId="77777777" w:rsidR="001B7C33" w:rsidRPr="00937586" w:rsidRDefault="001B7C33" w:rsidP="001B7C33">
            <w:pPr>
              <w:pStyle w:val="ListParagraph"/>
              <w:numPr>
                <w:ilvl w:val="0"/>
                <w:numId w:val="70"/>
              </w:numPr>
              <w:spacing w:line="259" w:lineRule="auto"/>
              <w:ind w:firstLineChars="0"/>
              <w:rPr>
                <w:rFonts w:eastAsiaTheme="minorEastAsia"/>
                <w:b/>
                <w:bCs/>
                <w:color w:val="EE0000"/>
                <w:lang w:val="en-US" w:eastAsia="zh-CN"/>
              </w:rPr>
            </w:pPr>
            <w:r w:rsidRPr="00937586">
              <w:rPr>
                <w:rFonts w:eastAsiaTheme="minorEastAsia" w:hint="eastAsia"/>
                <w:b/>
                <w:bCs/>
                <w:color w:val="EE0000"/>
                <w:lang w:val="en-US" w:eastAsia="zh-CN"/>
              </w:rPr>
              <w:t xml:space="preserve">FFS whether to </w:t>
            </w:r>
            <w:r w:rsidRPr="00937586">
              <w:rPr>
                <w:rFonts w:eastAsiaTheme="minorEastAsia"/>
                <w:b/>
                <w:bCs/>
                <w:color w:val="EE0000"/>
                <w:lang w:val="en-US" w:eastAsia="zh-CN"/>
              </w:rPr>
              <w:t xml:space="preserve">provide additional error protection across the </w:t>
            </w:r>
            <w:r w:rsidRPr="00937586">
              <w:rPr>
                <w:rFonts w:eastAsiaTheme="minorEastAsia" w:hint="eastAsia"/>
                <w:b/>
                <w:bCs/>
                <w:color w:val="EE0000"/>
                <w:lang w:val="en-US" w:eastAsia="zh-CN"/>
              </w:rPr>
              <w:t xml:space="preserve">polar-encoded </w:t>
            </w:r>
            <w:r w:rsidRPr="00937586">
              <w:rPr>
                <w:rFonts w:eastAsiaTheme="minorEastAsia"/>
                <w:b/>
                <w:bCs/>
                <w:color w:val="EE0000"/>
                <w:lang w:val="en-US" w:eastAsia="zh-CN"/>
              </w:rPr>
              <w:t>sub-blocks</w:t>
            </w:r>
            <w:r w:rsidRPr="00937586">
              <w:rPr>
                <w:rFonts w:eastAsiaTheme="minorEastAsia" w:hint="eastAsia"/>
                <w:b/>
                <w:bCs/>
                <w:color w:val="EE0000"/>
                <w:lang w:val="en-US" w:eastAsia="zh-CN"/>
              </w:rPr>
              <w:t xml:space="preserve"> via </w:t>
            </w:r>
            <w:r w:rsidRPr="00937586">
              <w:rPr>
                <w:rFonts w:eastAsiaTheme="minorEastAsia"/>
                <w:b/>
                <w:bCs/>
                <w:color w:val="EE0000"/>
                <w:lang w:val="en-US" w:eastAsia="zh-CN"/>
              </w:rPr>
              <w:t>concatenated coding schemes</w:t>
            </w:r>
            <w:r w:rsidRPr="00937586">
              <w:rPr>
                <w:rFonts w:eastAsiaTheme="minorEastAsia" w:hint="eastAsia"/>
                <w:b/>
                <w:bCs/>
                <w:color w:val="EE0000"/>
                <w:lang w:val="en-US" w:eastAsia="zh-CN"/>
              </w:rPr>
              <w:t xml:space="preserve">, e.g., Polar-SPC codes. </w:t>
            </w:r>
          </w:p>
          <w:p w14:paraId="72B9C97C" w14:textId="77777777" w:rsidR="001B7C33" w:rsidRDefault="001B7C33" w:rsidP="001B7C33">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5B1D52C2" w14:textId="77777777" w:rsidR="001B7C33" w:rsidRDefault="001B7C33" w:rsidP="001B7C33">
            <w:pPr>
              <w:adjustRightInd w:val="0"/>
              <w:spacing w:after="50" w:line="240" w:lineRule="auto"/>
              <w:jc w:val="left"/>
              <w:rPr>
                <w:rFonts w:eastAsiaTheme="minorEastAsia"/>
                <w:kern w:val="2"/>
                <w:lang w:val="en-US" w:eastAsia="zh-CN"/>
              </w:rPr>
            </w:pPr>
          </w:p>
        </w:tc>
      </w:tr>
      <w:tr w:rsidR="00614551" w14:paraId="4E27507D" w14:textId="77777777" w:rsidTr="0067268C">
        <w:tblPrEx>
          <w:jc w:val="left"/>
        </w:tblPrEx>
        <w:tc>
          <w:tcPr>
            <w:tcW w:w="1838" w:type="dxa"/>
          </w:tcPr>
          <w:p w14:paraId="0110403F" w14:textId="61D841CB"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677D54B3" w14:textId="4060E1E9" w:rsidR="00614551" w:rsidRDefault="00614551" w:rsidP="00614551">
            <w:pPr>
              <w:adjustRightInd w:val="0"/>
              <w:spacing w:after="50" w:line="240" w:lineRule="auto"/>
              <w:jc w:val="left"/>
              <w:rPr>
                <w:rFonts w:eastAsiaTheme="minorEastAsia"/>
                <w:kern w:val="2"/>
                <w:lang w:val="en-US" w:eastAsia="zh-CN"/>
              </w:rPr>
            </w:pPr>
            <w:r w:rsidRPr="00483018">
              <w:rPr>
                <w:rFonts w:eastAsiaTheme="minorEastAsia"/>
                <w:kern w:val="2"/>
                <w:lang w:val="en-US" w:eastAsia="zh-CN"/>
              </w:rPr>
              <w:t xml:space="preserve">When increasing the number of </w:t>
            </w:r>
            <w:r>
              <w:rPr>
                <w:rFonts w:eastAsia="MS Mincho" w:hint="eastAsia"/>
                <w:kern w:val="2"/>
                <w:lang w:val="en-US" w:eastAsia="ja-JP"/>
              </w:rPr>
              <w:t>CB</w:t>
            </w:r>
            <w:r w:rsidRPr="00483018">
              <w:rPr>
                <w:rFonts w:eastAsiaTheme="minorEastAsia"/>
                <w:kern w:val="2"/>
                <w:lang w:val="en-US" w:eastAsia="zh-CN"/>
              </w:rPr>
              <w:t xml:space="preserve"> segmentations as the payload size </w:t>
            </w:r>
            <w:r>
              <w:rPr>
                <w:rFonts w:eastAsia="MS Mincho" w:hint="eastAsia"/>
                <w:kern w:val="2"/>
                <w:lang w:val="en-US" w:eastAsia="ja-JP"/>
              </w:rPr>
              <w:t>becomes larger</w:t>
            </w:r>
            <w:r w:rsidRPr="00483018">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sidRPr="00483018">
              <w:rPr>
                <w:rFonts w:eastAsiaTheme="minorEastAsia"/>
                <w:kern w:val="2"/>
                <w:lang w:val="en-US" w:eastAsia="zh-CN"/>
              </w:rPr>
              <w:t xml:space="preserve"> number of </w:t>
            </w:r>
            <w:proofErr w:type="gramStart"/>
            <w:r w:rsidRPr="00483018">
              <w:rPr>
                <w:rFonts w:eastAsiaTheme="minorEastAsia"/>
                <w:kern w:val="2"/>
                <w:lang w:val="en-US" w:eastAsia="zh-CN"/>
              </w:rPr>
              <w:t>code</w:t>
            </w:r>
            <w:proofErr w:type="gramEnd"/>
            <w:r w:rsidRPr="00483018">
              <w:rPr>
                <w:rFonts w:eastAsiaTheme="minorEastAsia"/>
                <w:kern w:val="2"/>
                <w:lang w:val="en-US" w:eastAsia="zh-CN"/>
              </w:rPr>
              <w:t>‑block segments.</w:t>
            </w:r>
            <w:r>
              <w:rPr>
                <w:rFonts w:eastAsia="MS Mincho" w:hint="eastAsia"/>
                <w:kern w:val="2"/>
                <w:lang w:val="en-US" w:eastAsia="ja-JP"/>
              </w:rPr>
              <w:t xml:space="preserve"> </w:t>
            </w:r>
            <w:r w:rsidRPr="00483018">
              <w:rPr>
                <w:rFonts w:eastAsiaTheme="minorEastAsia"/>
                <w:kern w:val="2"/>
                <w:lang w:val="en-US" w:eastAsia="zh-CN"/>
              </w:rPr>
              <w:t xml:space="preserve">In parallel, it will also be necessary to discuss code‑block segmentation rules that </w:t>
            </w:r>
            <w:r w:rsidRPr="00483018">
              <w:rPr>
                <w:rFonts w:eastAsiaTheme="minorEastAsia"/>
                <w:kern w:val="2"/>
                <w:lang w:val="en-US" w:eastAsia="zh-CN"/>
              </w:rPr>
              <w:lastRenderedPageBreak/>
              <w:t>achieve optimal error‑rate performance for a given UCI payload size A and rate‑matching output sequence length E (or coding rate R).</w:t>
            </w:r>
          </w:p>
        </w:tc>
      </w:tr>
      <w:tr w:rsidR="00080798" w14:paraId="1D7D3E1A" w14:textId="77777777" w:rsidTr="0067268C">
        <w:tblPrEx>
          <w:jc w:val="left"/>
        </w:tblPrEx>
        <w:tc>
          <w:tcPr>
            <w:tcW w:w="1838" w:type="dxa"/>
          </w:tcPr>
          <w:p w14:paraId="7C9008CF" w14:textId="22ABA7E5" w:rsidR="00080798" w:rsidRDefault="00080798" w:rsidP="00080798">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CAEEB14" w14:textId="2E54BF67" w:rsidR="00080798" w:rsidRPr="00483018" w:rsidRDefault="00080798" w:rsidP="00080798">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Caption"/>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Caption"/>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Caption"/>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Caption"/>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EURECOM</w:t>
            </w:r>
          </w:p>
        </w:tc>
        <w:tc>
          <w:tcPr>
            <w:tcW w:w="8106" w:type="dxa"/>
          </w:tcPr>
          <w:p w14:paraId="7CCD358F"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lastRenderedPageBreak/>
              <w:t>Observation 2: The performance of 3GPP RM codes is far from optimal and there is significant room for improvement.</w:t>
            </w:r>
          </w:p>
          <w:p w14:paraId="1AE34005"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ListParagraph"/>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NoSpacing"/>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ListParagraph"/>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ListParagraph"/>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ListParagraph"/>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AT&amp;T</w:t>
            </w:r>
          </w:p>
        </w:tc>
        <w:tc>
          <w:tcPr>
            <w:tcW w:w="8106" w:type="dxa"/>
          </w:tcPr>
          <w:p w14:paraId="4109E7D8" w14:textId="4ED376F6" w:rsidR="009E765E" w:rsidRPr="0022602F" w:rsidRDefault="00C0597A" w:rsidP="0069639D">
            <w:pPr>
              <w:pStyle w:val="ListParagraph"/>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Caption"/>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Caption"/>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Caption"/>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Caption"/>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Caption"/>
              <w:keepNext/>
              <w:spacing w:after="0"/>
              <w:jc w:val="both"/>
              <w:rPr>
                <w:rFonts w:eastAsia="SimSun"/>
                <w:b w:val="0"/>
                <w:bCs w:val="0"/>
              </w:rPr>
            </w:pPr>
            <w:r w:rsidRPr="0069639D">
              <w:rPr>
                <w:rFonts w:eastAsia="SimSun"/>
                <w:b w:val="0"/>
                <w:bCs w:val="0"/>
              </w:rPr>
              <w:lastRenderedPageBreak/>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ListParagraph"/>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ListParagraph"/>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ListParagraph"/>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ListParagraph"/>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ListParagraph"/>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ListParagraph"/>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ListParagraph"/>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ListParagraph"/>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ListParagraph"/>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ListParagraph"/>
        <w:numPr>
          <w:ilvl w:val="3"/>
          <w:numId w:val="73"/>
        </w:numPr>
        <w:ind w:firstLineChars="0"/>
        <w:rPr>
          <w:lang w:eastAsia="zh-CN"/>
        </w:rPr>
      </w:pPr>
      <w:r w:rsidRPr="001F2013">
        <w:rPr>
          <w:rFonts w:hint="eastAsia"/>
          <w:lang w:val="en-US" w:eastAsia="zh-CN"/>
        </w:rPr>
        <w:lastRenderedPageBreak/>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ListParagraph"/>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ListParagraph"/>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ListParagraph"/>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ListParagraph"/>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ListParagraph"/>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ListParagraph"/>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ListParagraph"/>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ListParagraph"/>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proofErr w:type="gramStart"/>
      <w:r w:rsidR="00656826">
        <w:rPr>
          <w:rFonts w:eastAsia="SimSun"/>
          <w:szCs w:val="22"/>
        </w:rPr>
        <w:t>Gold</w:t>
      </w:r>
      <w:proofErr w:type="gramEnd"/>
      <w:r w:rsidR="00656826">
        <w:rPr>
          <w:rFonts w:eastAsia="SimSun"/>
          <w:szCs w:val="22"/>
        </w:rPr>
        <w:t xml:space="preserve">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ListParagraph"/>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ListParagraph"/>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proofErr w:type="gramStart"/>
      <w:r w:rsidR="003D75BC">
        <w:rPr>
          <w:rFonts w:eastAsia="SimSun"/>
          <w:szCs w:val="22"/>
        </w:rPr>
        <w:t>Gold</w:t>
      </w:r>
      <w:proofErr w:type="gramEnd"/>
      <w:r w:rsidR="003D75BC">
        <w:rPr>
          <w:rFonts w:eastAsia="SimSun"/>
          <w:szCs w:val="22"/>
        </w:rPr>
        <w:t xml:space="preserve"> sequences + QPSK</w:t>
      </w:r>
      <w:r w:rsidR="003D75BC">
        <w:rPr>
          <w:rFonts w:eastAsia="SimSun" w:hint="eastAsia"/>
          <w:szCs w:val="22"/>
          <w:lang w:eastAsia="zh-CN"/>
        </w:rPr>
        <w:t>.</w:t>
      </w:r>
    </w:p>
    <w:p w14:paraId="237B797B" w14:textId="6982BDD3" w:rsidR="00F13412" w:rsidRPr="00F13412" w:rsidRDefault="001612B4"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Heading4"/>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Heading5"/>
        <w:rPr>
          <w:sz w:val="20"/>
          <w:szCs w:val="20"/>
        </w:rPr>
      </w:pPr>
      <w:r>
        <w:rPr>
          <w:sz w:val="20"/>
          <w:szCs w:val="20"/>
        </w:rPr>
        <w:lastRenderedPageBreak/>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ListParagraph"/>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D04D8A" w:rsidRDefault="00D04D8A" w:rsidP="00D04D8A">
            <w:pPr>
              <w:adjustRightInd w:val="0"/>
              <w:spacing w:after="50" w:line="240" w:lineRule="auto"/>
              <w:jc w:val="left"/>
              <w:rPr>
                <w:rFonts w:eastAsiaTheme="minorEastAsia"/>
                <w:b/>
                <w:bCs/>
                <w:kern w:val="2"/>
                <w:lang w:eastAsia="zh-CN"/>
              </w:rPr>
            </w:pPr>
            <w:r>
              <w:rPr>
                <w:rFonts w:eastAsiaTheme="minorEastAsia"/>
                <w:kern w:val="2"/>
                <w:lang w:val="en-US" w:eastAsia="zh-CN"/>
              </w:rPr>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bl>
    <w:p w14:paraId="1C6BB3F9"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ListParagraph"/>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ListParagraph"/>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Caption"/>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ListParagraph"/>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ListParagraph"/>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Heading4"/>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Heading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614551" w14:paraId="29CF87DE" w14:textId="77777777" w:rsidTr="0067268C">
        <w:tblPrEx>
          <w:jc w:val="left"/>
        </w:tblPrEx>
        <w:tc>
          <w:tcPr>
            <w:tcW w:w="1838" w:type="dxa"/>
          </w:tcPr>
          <w:p w14:paraId="750A06B4" w14:textId="44E219B1"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1CB012D7" w14:textId="3100646F"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080798" w14:paraId="5FB21EBF" w14:textId="77777777" w:rsidTr="0067268C">
        <w:tblPrEx>
          <w:jc w:val="left"/>
        </w:tblPrEx>
        <w:tc>
          <w:tcPr>
            <w:tcW w:w="1838" w:type="dxa"/>
          </w:tcPr>
          <w:p w14:paraId="1474354A" w14:textId="5254DEAB" w:rsidR="00080798" w:rsidRDefault="00080798" w:rsidP="00080798">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492D08A9" w14:textId="1CEF2EB9" w:rsidR="00080798" w:rsidRDefault="00080798" w:rsidP="00080798">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3F446ED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Caption"/>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ListParagraph"/>
              <w:spacing w:after="0" w:line="240" w:lineRule="auto"/>
              <w:ind w:firstLineChars="0" w:firstLine="0"/>
              <w:jc w:val="left"/>
              <w:rPr>
                <w:rFonts w:eastAsia="DengXian"/>
                <w:lang w:eastAsia="zh-CN"/>
              </w:rPr>
            </w:pPr>
          </w:p>
          <w:p w14:paraId="0BB53382" w14:textId="77777777" w:rsidR="009E765E" w:rsidRPr="00A80F95" w:rsidRDefault="00C0597A" w:rsidP="00A80F95">
            <w:pPr>
              <w:pStyle w:val="Caption"/>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ListParagraph"/>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Caption"/>
              <w:keepNext/>
              <w:spacing w:after="0"/>
              <w:rPr>
                <w:b w:val="0"/>
                <w:bCs w:val="0"/>
              </w:rPr>
            </w:pPr>
          </w:p>
          <w:p w14:paraId="28600774"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BodyText"/>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Caption"/>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Caption"/>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AC73C0"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ListParagraph"/>
              <w:spacing w:after="0" w:line="240" w:lineRule="auto"/>
              <w:ind w:firstLineChars="0" w:firstLine="0"/>
              <w:jc w:val="left"/>
              <w:rPr>
                <w:rFonts w:eastAsia="DengXian"/>
                <w:lang w:val="en-US" w:eastAsia="zh-CN"/>
              </w:rPr>
            </w:pPr>
            <w:proofErr w:type="gramStart"/>
            <w:r w:rsidRPr="00A80F95">
              <w:rPr>
                <w:rFonts w:eastAsia="DengXian"/>
                <w:lang w:val="en-US" w:eastAsia="zh-CN"/>
              </w:rPr>
              <w:lastRenderedPageBreak/>
              <w:t>m :</w:t>
            </w:r>
            <w:proofErr w:type="gramEnd"/>
            <w:r w:rsidRPr="00A80F95">
              <w:rPr>
                <w:rFonts w:eastAsia="DengXian"/>
                <w:lang w:val="en-US" w:eastAsia="zh-CN"/>
              </w:rPr>
              <w:t xml:space="preserve"> number of total data integrity check bits</w:t>
            </w:r>
          </w:p>
          <w:p w14:paraId="16B77452" w14:textId="073DAF76" w:rsidR="009E765E" w:rsidRPr="00A80F95" w:rsidRDefault="00000000" w:rsidP="00A80F95">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ListParagraph"/>
              <w:spacing w:after="0" w:line="240" w:lineRule="auto"/>
              <w:ind w:firstLineChars="0" w:firstLine="0"/>
              <w:jc w:val="left"/>
              <w:rPr>
                <w:rFonts w:eastAsia="DengXian"/>
                <w:lang w:val="en-US" w:eastAsia="zh-CN"/>
              </w:rPr>
            </w:pPr>
            <w:proofErr w:type="gramStart"/>
            <w:r w:rsidRPr="00A80F95">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ListParagraph"/>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5945866"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ListParagraph"/>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ListParagraph"/>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AC73C0"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lang w:val="fr-CA"/>
              </w:rPr>
              <w:t>100MHz (273 PRBs @ 30kHz SCS)</w:t>
            </w:r>
            <w:r w:rsidRPr="008F2EBD">
              <w:rPr>
                <w:rFonts w:eastAsia="SimSun" w:hint="eastAsia"/>
                <w:lang w:val="fr-CA" w:eastAsia="zh-CN"/>
              </w:rPr>
              <w:t>: Xiaomi, EURECOM, C-DOT</w:t>
            </w:r>
          </w:p>
        </w:tc>
      </w:tr>
      <w:tr w:rsidR="009E765E" w:rsidRPr="00AC73C0"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lastRenderedPageBreak/>
              <w:t>2 DMRS symbol, no additional for fading channel: vivo</w:t>
            </w:r>
          </w:p>
          <w:p w14:paraId="3CF60A2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AC73C0"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ListParagraph"/>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Heading4"/>
        <w:spacing w:after="156"/>
        <w:rPr>
          <w:b/>
          <w:szCs w:val="22"/>
          <w:lang w:eastAsia="zh-CN"/>
        </w:rPr>
      </w:pPr>
      <w:r>
        <w:rPr>
          <w:b/>
          <w:szCs w:val="22"/>
          <w:lang w:eastAsia="zh-CN"/>
        </w:rPr>
        <w:t>Round 1</w:t>
      </w:r>
    </w:p>
    <w:p w14:paraId="2BFBCB4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073329" w14:paraId="4DF6F2C3" w14:textId="77777777" w:rsidTr="003826D6">
        <w:tblPrEx>
          <w:jc w:val="left"/>
        </w:tblPrEx>
        <w:tc>
          <w:tcPr>
            <w:tcW w:w="1838" w:type="dxa"/>
          </w:tcPr>
          <w:p w14:paraId="2FF57D3B" w14:textId="712FEC81" w:rsidR="00073329" w:rsidRDefault="00073329" w:rsidP="00073329">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77D1FD7F" w14:textId="5691127D" w:rsidR="00073329" w:rsidRDefault="00073329" w:rsidP="00073329">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Heading5"/>
        <w:rPr>
          <w:sz w:val="20"/>
          <w:szCs w:val="20"/>
        </w:rPr>
      </w:pPr>
      <w:r>
        <w:rPr>
          <w:sz w:val="20"/>
          <w:szCs w:val="20"/>
        </w:rPr>
        <w:lastRenderedPageBreak/>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ListParagraph"/>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0927813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04E8942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ListParagraph"/>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ListParagraph"/>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lastRenderedPageBreak/>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proofErr w:type="spellStart"/>
            <w:r>
              <w:rPr>
                <w:rFonts w:eastAsia="DengXian"/>
              </w:rPr>
              <w:lastRenderedPageBreak/>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3FA5B6D6"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ListParagraph"/>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lastRenderedPageBreak/>
        <w:t>Agreement</w:t>
      </w:r>
    </w:p>
    <w:p w14:paraId="40892CF6"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ListParagraph"/>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Heading2"/>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787C" w14:textId="77777777" w:rsidR="006142B6" w:rsidRDefault="006142B6">
      <w:pPr>
        <w:spacing w:line="240" w:lineRule="auto"/>
      </w:pPr>
      <w:r>
        <w:separator/>
      </w:r>
    </w:p>
  </w:endnote>
  <w:endnote w:type="continuationSeparator" w:id="0">
    <w:p w14:paraId="7E68CC0A" w14:textId="77777777" w:rsidR="006142B6" w:rsidRDefault="00614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275F6DD8" w:rsidR="00BD2230" w:rsidRDefault="00BD2230" w:rsidP="00A54582">
        <w:pPr>
          <w:pStyle w:val="Footer"/>
          <w:jc w:val="center"/>
        </w:pPr>
        <w:r>
          <w:fldChar w:fldCharType="begin"/>
        </w:r>
        <w:r>
          <w:instrText>PAGE   \* MERGEFORMAT</w:instrText>
        </w:r>
        <w:r>
          <w:fldChar w:fldCharType="separate"/>
        </w:r>
        <w:r w:rsidR="00D04D8A" w:rsidRPr="00D04D8A">
          <w:rPr>
            <w:noProof/>
            <w:lang w:val="zh-CN" w:eastAsia="zh-CN"/>
          </w:rPr>
          <w:t>67</w:t>
        </w:r>
        <w:r>
          <w:fldChar w:fldCharType="end"/>
        </w:r>
      </w:p>
    </w:sdtContent>
  </w:sdt>
  <w:p w14:paraId="3DF1171B" w14:textId="77777777" w:rsidR="00BD2230" w:rsidRDefault="00BD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92E7" w14:textId="77777777" w:rsidR="006142B6" w:rsidRDefault="006142B6">
      <w:pPr>
        <w:spacing w:after="0"/>
      </w:pPr>
      <w:r>
        <w:separator/>
      </w:r>
    </w:p>
  </w:footnote>
  <w:footnote w:type="continuationSeparator" w:id="0">
    <w:p w14:paraId="24697B9B" w14:textId="77777777" w:rsidR="006142B6" w:rsidRDefault="006142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hybridMultilevel"/>
    <w:tmpl w:val="BBF8B99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0"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0"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9"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7"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1"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515266811">
    <w:abstractNumId w:val="8"/>
  </w:num>
  <w:num w:numId="2" w16cid:durableId="1267931292">
    <w:abstractNumId w:val="44"/>
  </w:num>
  <w:num w:numId="3" w16cid:durableId="457645657">
    <w:abstractNumId w:val="13"/>
  </w:num>
  <w:num w:numId="4" w16cid:durableId="773017429">
    <w:abstractNumId w:val="68"/>
  </w:num>
  <w:num w:numId="5" w16cid:durableId="1463839338">
    <w:abstractNumId w:val="3"/>
  </w:num>
  <w:num w:numId="6" w16cid:durableId="964971415">
    <w:abstractNumId w:val="1"/>
  </w:num>
  <w:num w:numId="7" w16cid:durableId="1925188470">
    <w:abstractNumId w:val="2"/>
  </w:num>
  <w:num w:numId="8" w16cid:durableId="1066563833">
    <w:abstractNumId w:val="63"/>
  </w:num>
  <w:num w:numId="9" w16cid:durableId="58792081">
    <w:abstractNumId w:val="53"/>
  </w:num>
  <w:num w:numId="10" w16cid:durableId="1689870268">
    <w:abstractNumId w:val="102"/>
  </w:num>
  <w:num w:numId="11" w16cid:durableId="1741170241">
    <w:abstractNumId w:val="64"/>
  </w:num>
  <w:num w:numId="12" w16cid:durableId="1427919300">
    <w:abstractNumId w:val="100"/>
  </w:num>
  <w:num w:numId="13" w16cid:durableId="1790855907">
    <w:abstractNumId w:val="55"/>
  </w:num>
  <w:num w:numId="14" w16cid:durableId="2069768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605008">
    <w:abstractNumId w:val="43"/>
  </w:num>
  <w:num w:numId="16" w16cid:durableId="1222903820">
    <w:abstractNumId w:val="57"/>
  </w:num>
  <w:num w:numId="17" w16cid:durableId="264506520">
    <w:abstractNumId w:val="48"/>
  </w:num>
  <w:num w:numId="18" w16cid:durableId="1447043905">
    <w:abstractNumId w:val="82"/>
  </w:num>
  <w:num w:numId="19" w16cid:durableId="1382511231">
    <w:abstractNumId w:val="24"/>
  </w:num>
  <w:num w:numId="20" w16cid:durableId="273446283">
    <w:abstractNumId w:val="87"/>
  </w:num>
  <w:num w:numId="21" w16cid:durableId="999112815">
    <w:abstractNumId w:val="92"/>
  </w:num>
  <w:num w:numId="22" w16cid:durableId="689795452">
    <w:abstractNumId w:val="29"/>
  </w:num>
  <w:num w:numId="23" w16cid:durableId="1855339352">
    <w:abstractNumId w:val="99"/>
  </w:num>
  <w:num w:numId="24" w16cid:durableId="137840711">
    <w:abstractNumId w:val="27"/>
  </w:num>
  <w:num w:numId="25" w16cid:durableId="773984345">
    <w:abstractNumId w:val="61"/>
  </w:num>
  <w:num w:numId="26" w16cid:durableId="727802372">
    <w:abstractNumId w:val="84"/>
  </w:num>
  <w:num w:numId="27" w16cid:durableId="1085105254">
    <w:abstractNumId w:val="94"/>
  </w:num>
  <w:num w:numId="28" w16cid:durableId="960453991">
    <w:abstractNumId w:val="51"/>
  </w:num>
  <w:num w:numId="29" w16cid:durableId="2107190183">
    <w:abstractNumId w:val="25"/>
  </w:num>
  <w:num w:numId="30" w16cid:durableId="46996552">
    <w:abstractNumId w:val="4"/>
  </w:num>
  <w:num w:numId="31" w16cid:durableId="863371418">
    <w:abstractNumId w:val="50"/>
  </w:num>
  <w:num w:numId="32" w16cid:durableId="128322526">
    <w:abstractNumId w:val="46"/>
  </w:num>
  <w:num w:numId="33" w16cid:durableId="1759860180">
    <w:abstractNumId w:val="5"/>
  </w:num>
  <w:num w:numId="34" w16cid:durableId="802848067">
    <w:abstractNumId w:val="65"/>
  </w:num>
  <w:num w:numId="35" w16cid:durableId="953251450">
    <w:abstractNumId w:val="9"/>
  </w:num>
  <w:num w:numId="36" w16cid:durableId="1743328464">
    <w:abstractNumId w:val="38"/>
  </w:num>
  <w:num w:numId="37" w16cid:durableId="2087875197">
    <w:abstractNumId w:val="77"/>
  </w:num>
  <w:num w:numId="38" w16cid:durableId="410467449">
    <w:abstractNumId w:val="40"/>
  </w:num>
  <w:num w:numId="39" w16cid:durableId="1052384247">
    <w:abstractNumId w:val="69"/>
  </w:num>
  <w:num w:numId="40" w16cid:durableId="1207327594">
    <w:abstractNumId w:val="35"/>
  </w:num>
  <w:num w:numId="41" w16cid:durableId="247233238">
    <w:abstractNumId w:val="71"/>
  </w:num>
  <w:num w:numId="42" w16cid:durableId="1337658426">
    <w:abstractNumId w:val="58"/>
  </w:num>
  <w:num w:numId="43" w16cid:durableId="852915394">
    <w:abstractNumId w:val="32"/>
  </w:num>
  <w:num w:numId="44" w16cid:durableId="1780560346">
    <w:abstractNumId w:val="105"/>
  </w:num>
  <w:num w:numId="45" w16cid:durableId="194971824">
    <w:abstractNumId w:val="0"/>
  </w:num>
  <w:num w:numId="46" w16cid:durableId="56780194">
    <w:abstractNumId w:val="28"/>
  </w:num>
  <w:num w:numId="47" w16cid:durableId="1784618422">
    <w:abstractNumId w:val="85"/>
  </w:num>
  <w:num w:numId="48" w16cid:durableId="1468545823">
    <w:abstractNumId w:val="62"/>
  </w:num>
  <w:num w:numId="49" w16cid:durableId="149249288">
    <w:abstractNumId w:val="89"/>
  </w:num>
  <w:num w:numId="50" w16cid:durableId="1530950198">
    <w:abstractNumId w:val="6"/>
  </w:num>
  <w:num w:numId="51" w16cid:durableId="864173789">
    <w:abstractNumId w:val="16"/>
  </w:num>
  <w:num w:numId="52" w16cid:durableId="397632093">
    <w:abstractNumId w:val="81"/>
  </w:num>
  <w:num w:numId="53" w16cid:durableId="313147748">
    <w:abstractNumId w:val="60"/>
  </w:num>
  <w:num w:numId="54" w16cid:durableId="1667201184">
    <w:abstractNumId w:val="41"/>
  </w:num>
  <w:num w:numId="55" w16cid:durableId="1111516586">
    <w:abstractNumId w:val="11"/>
  </w:num>
  <w:num w:numId="56" w16cid:durableId="282005731">
    <w:abstractNumId w:val="66"/>
  </w:num>
  <w:num w:numId="57" w16cid:durableId="1099839622">
    <w:abstractNumId w:val="37"/>
  </w:num>
  <w:num w:numId="58" w16cid:durableId="1927878403">
    <w:abstractNumId w:val="42"/>
  </w:num>
  <w:num w:numId="59" w16cid:durableId="444933594">
    <w:abstractNumId w:val="86"/>
  </w:num>
  <w:num w:numId="60" w16cid:durableId="749038031">
    <w:abstractNumId w:val="93"/>
  </w:num>
  <w:num w:numId="61" w16cid:durableId="683440862">
    <w:abstractNumId w:val="7"/>
  </w:num>
  <w:num w:numId="62" w16cid:durableId="2143158507">
    <w:abstractNumId w:val="14"/>
  </w:num>
  <w:num w:numId="63" w16cid:durableId="188448747">
    <w:abstractNumId w:val="78"/>
  </w:num>
  <w:num w:numId="64" w16cid:durableId="38870919">
    <w:abstractNumId w:val="47"/>
  </w:num>
  <w:num w:numId="65" w16cid:durableId="1397051256">
    <w:abstractNumId w:val="10"/>
  </w:num>
  <w:num w:numId="66" w16cid:durableId="1260211871">
    <w:abstractNumId w:val="49"/>
  </w:num>
  <w:num w:numId="67" w16cid:durableId="1217352194">
    <w:abstractNumId w:val="91"/>
  </w:num>
  <w:num w:numId="68" w16cid:durableId="1645620244">
    <w:abstractNumId w:val="101"/>
  </w:num>
  <w:num w:numId="69" w16cid:durableId="317463336">
    <w:abstractNumId w:val="74"/>
  </w:num>
  <w:num w:numId="70" w16cid:durableId="1772819526">
    <w:abstractNumId w:val="75"/>
  </w:num>
  <w:num w:numId="71" w16cid:durableId="750465632">
    <w:abstractNumId w:val="45"/>
  </w:num>
  <w:num w:numId="72" w16cid:durableId="482357939">
    <w:abstractNumId w:val="72"/>
  </w:num>
  <w:num w:numId="73" w16cid:durableId="1573932828">
    <w:abstractNumId w:val="104"/>
  </w:num>
  <w:num w:numId="74" w16cid:durableId="110250042">
    <w:abstractNumId w:val="70"/>
  </w:num>
  <w:num w:numId="75" w16cid:durableId="341474635">
    <w:abstractNumId w:val="67"/>
  </w:num>
  <w:num w:numId="76" w16cid:durableId="454254029">
    <w:abstractNumId w:val="18"/>
  </w:num>
  <w:num w:numId="77" w16cid:durableId="2128620371">
    <w:abstractNumId w:val="56"/>
  </w:num>
  <w:num w:numId="78" w16cid:durableId="281038561">
    <w:abstractNumId w:val="96"/>
  </w:num>
  <w:num w:numId="79" w16cid:durableId="1389258602">
    <w:abstractNumId w:val="76"/>
  </w:num>
  <w:num w:numId="80" w16cid:durableId="1454324940">
    <w:abstractNumId w:val="36"/>
  </w:num>
  <w:num w:numId="81" w16cid:durableId="1515880082">
    <w:abstractNumId w:val="17"/>
  </w:num>
  <w:num w:numId="82" w16cid:durableId="482627992">
    <w:abstractNumId w:val="95"/>
  </w:num>
  <w:num w:numId="83" w16cid:durableId="9019847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45986614">
    <w:abstractNumId w:val="90"/>
    <w:lvlOverride w:ilvl="0">
      <w:startOverride w:val="1"/>
    </w:lvlOverride>
    <w:lvlOverride w:ilvl="1">
      <w:startOverride w:val="1"/>
    </w:lvlOverride>
  </w:num>
  <w:num w:numId="85" w16cid:durableId="135801531">
    <w:abstractNumId w:val="31"/>
  </w:num>
  <w:num w:numId="86" w16cid:durableId="336230733">
    <w:abstractNumId w:val="19"/>
  </w:num>
  <w:num w:numId="87" w16cid:durableId="764959996">
    <w:abstractNumId w:val="39"/>
  </w:num>
  <w:num w:numId="88" w16cid:durableId="246891477">
    <w:abstractNumId w:val="79"/>
  </w:num>
  <w:num w:numId="89" w16cid:durableId="1745105741">
    <w:abstractNumId w:val="34"/>
  </w:num>
  <w:num w:numId="90" w16cid:durableId="1297955334">
    <w:abstractNumId w:val="54"/>
  </w:num>
  <w:num w:numId="91" w16cid:durableId="1510559646">
    <w:abstractNumId w:val="52"/>
  </w:num>
  <w:num w:numId="92" w16cid:durableId="253366497">
    <w:abstractNumId w:val="83"/>
  </w:num>
  <w:num w:numId="93" w16cid:durableId="1247575441">
    <w:abstractNumId w:val="80"/>
  </w:num>
  <w:num w:numId="94" w16cid:durableId="2087418054">
    <w:abstractNumId w:val="26"/>
  </w:num>
  <w:num w:numId="95" w16cid:durableId="1133668794">
    <w:abstractNumId w:val="88"/>
  </w:num>
  <w:num w:numId="96" w16cid:durableId="293026897">
    <w:abstractNumId w:val="20"/>
  </w:num>
  <w:num w:numId="97" w16cid:durableId="2061631513">
    <w:abstractNumId w:val="73"/>
  </w:num>
  <w:num w:numId="98" w16cid:durableId="1208836606">
    <w:abstractNumId w:val="59"/>
  </w:num>
  <w:num w:numId="99" w16cid:durableId="991715215">
    <w:abstractNumId w:val="21"/>
  </w:num>
  <w:num w:numId="100" w16cid:durableId="1930263312">
    <w:abstractNumId w:val="23"/>
  </w:num>
  <w:num w:numId="101" w16cid:durableId="1489637734">
    <w:abstractNumId w:val="98"/>
  </w:num>
  <w:num w:numId="102" w16cid:durableId="1862468996">
    <w:abstractNumId w:val="97"/>
  </w:num>
  <w:num w:numId="103" w16cid:durableId="58211112">
    <w:abstractNumId w:val="15"/>
  </w:num>
  <w:num w:numId="104" w16cid:durableId="2008482625">
    <w:abstractNumId w:val="22"/>
  </w:num>
  <w:num w:numId="105" w16cid:durableId="434715439">
    <w:abstractNumId w:val="103"/>
  </w:num>
  <w:num w:numId="106" w16cid:durableId="1252203021">
    <w:abstractNumId w:val="33"/>
  </w:num>
  <w:num w:numId="107" w16cid:durableId="1790127292">
    <w:abstractNumId w:val="1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ko-KR" w:vendorID="64" w:dllVersion="4096" w:nlCheck="1" w:checkStyle="0"/>
  <w:activeWritingStyle w:appName="MSWord" w:lang="en-IN" w:vendorID="64" w:dllVersion="4096" w:nlCheck="1" w:checkStyle="0"/>
  <w:proofState w:spelling="clean" w:grammar="clean"/>
  <w:defaultTabStop w:val="420"/>
  <w:hyphenationZone w:val="425"/>
  <w:drawingGridVerticalSpacing w:val="156"/>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329"/>
    <w:rsid w:val="00073566"/>
    <w:rsid w:val="00073BDD"/>
    <w:rsid w:val="00073D7D"/>
    <w:rsid w:val="000743D5"/>
    <w:rsid w:val="00074E67"/>
    <w:rsid w:val="000759D7"/>
    <w:rsid w:val="00076181"/>
    <w:rsid w:val="000765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2B6"/>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77</Pages>
  <Words>36956</Words>
  <Characters>201045</Characters>
  <Application>Microsoft Office Word</Application>
  <DocSecurity>0</DocSecurity>
  <Lines>4370</Lines>
  <Paragraphs>3051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Philippe Sartori</cp:lastModifiedBy>
  <cp:revision>5</cp:revision>
  <dcterms:created xsi:type="dcterms:W3CDTF">2026-02-09T11:13:00Z</dcterms:created>
  <dcterms:modified xsi:type="dcterms:W3CDTF">2026-02-09T11:15:00Z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