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EB654C"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EB654C"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EB654C"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EB654C"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EB654C" w:rsidP="00FC3EBB">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EB654C"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EB654C"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EB654C" w:rsidP="00FC3EBB">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EB654C"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EB654C"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c:number</w:t>
            </w:r>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r:number</w:t>
            </w:r>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e:number</w:t>
            </w:r>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EB654C"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EB654C"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EB654C"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EB654C"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EB654C"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proofErr w:type="gramStart"/>
      <w:r w:rsidRPr="008F2EBD">
        <w:rPr>
          <w:rFonts w:eastAsiaTheme="minorEastAsia"/>
          <w:bCs/>
          <w:u w:val="single"/>
          <w:lang w:val="fr-CA" w:eastAsia="zh-CN"/>
        </w:rPr>
        <w:t>vivo</w:t>
      </w:r>
      <w:proofErr w:type="gramEnd"/>
      <w:r w:rsidRPr="008F2EBD">
        <w:rPr>
          <w:rFonts w:eastAsiaTheme="minorEastAsia"/>
          <w:bCs/>
          <w:u w:val="single"/>
          <w:lang w:val="fr-CA" w:eastAsia="zh-CN"/>
        </w:rPr>
        <w:t>:</w:t>
      </w:r>
    </w:p>
    <w:p w14:paraId="28ABFB05" w14:textId="77777777" w:rsidR="009E765E" w:rsidRPr="008F2EBD" w:rsidRDefault="00EB654C">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EB654C">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EB654C" w:rsidP="00FC3EBB">
      <w:pPr>
        <w:pStyle w:val="ListParagraph"/>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01A73DC7" w14:textId="77777777" w:rsidR="009E765E" w:rsidRDefault="00EB654C"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EB654C"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EB654C" w:rsidP="00FC3EBB">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3BB525E1" w14:textId="77777777" w:rsidR="009E765E" w:rsidRDefault="00EB654C" w:rsidP="00FC3EBB">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EB654C">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EB654C">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EB654C">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EB654C">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lastRenderedPageBreak/>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lastRenderedPageBreak/>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EB654C"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EB654C"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EB654C"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EB654C"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EB654C"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33+18-1)=33/50 for BG4, 33/(33+17)=33/50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w:t>
      </w:r>
      <w:r w:rsidR="00D46418">
        <w:rPr>
          <w:rFonts w:eastAsia="SimSun"/>
          <w:color w:val="000000"/>
          <w:lang w:val="en-US" w:eastAsia="zh-CN" w:bidi="ar"/>
        </w:rPr>
        <w:lastRenderedPageBreak/>
        <w:t xml:space="preserve">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EB654C"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EB654C"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EB654C"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EB654C"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choice between Option 1 and Option 2 should first depend on the discussion of </w:t>
            </w:r>
            <w:proofErr w:type="spellStart"/>
            <w:r w:rsidRPr="00C17D69">
              <w:rPr>
                <w:rFonts w:eastAsiaTheme="minorEastAsia"/>
                <w:lang w:val="en-US" w:eastAsia="zh-CN"/>
              </w:rPr>
              <w:t>Kb</w:t>
            </w:r>
            <w:proofErr w:type="spellEnd"/>
            <w:r w:rsidRPr="00C17D69">
              <w:rPr>
                <w:rFonts w:eastAsiaTheme="minorEastAsia"/>
                <w:lang w:val="en-US" w:eastAsia="zh-CN"/>
              </w:rPr>
              <w:t xml:space="preserve"> size. Option 2 is only necessary when </w:t>
            </w:r>
            <w:proofErr w:type="spellStart"/>
            <w:r w:rsidRPr="00C17D69">
              <w:rPr>
                <w:rFonts w:eastAsiaTheme="minorEastAsia"/>
                <w:lang w:val="en-US" w:eastAsia="zh-CN"/>
              </w:rPr>
              <w:t>Kb</w:t>
            </w:r>
            <w:proofErr w:type="spellEnd"/>
            <w:r w:rsidRPr="00C17D69">
              <w:rPr>
                <w:rFonts w:eastAsiaTheme="minorEastAsia"/>
                <w:lang w:val="en-US" w:eastAsia="zh-CN"/>
              </w:rPr>
              <w:t xml:space="preserve"> = 44.</w:t>
            </w:r>
          </w:p>
          <w:p w14:paraId="0E180473"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ListParagraph"/>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lastRenderedPageBreak/>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ListParagraph"/>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ListParagraph"/>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lastRenderedPageBreak/>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EB654C"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lastRenderedPageBreak/>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ListParagraph"/>
        <w:numPr>
          <w:ilvl w:val="2"/>
          <w:numId w:val="6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ListParagraph"/>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lastRenderedPageBreak/>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 xml:space="preserve">Proposal 2: For the DCI/UCI with payload sizes beyond NR range, on top of more segments, further enhancements on polar code design, e.g., the Polar-SPC scheme can be considered, where </w:t>
            </w:r>
            <w:r w:rsidRPr="0060256C">
              <w:rPr>
                <w:lang w:val="en-US" w:eastAsia="zh-CN"/>
              </w:rPr>
              <w:lastRenderedPageBreak/>
              <w:t>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lastRenderedPageBreak/>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lastRenderedPageBreak/>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w:t>
      </w:r>
      <w:r w:rsidR="00C0597A">
        <w:rPr>
          <w:rFonts w:eastAsia="SimSun" w:hint="eastAsia"/>
          <w:color w:val="000000"/>
          <w:lang w:val="en-US" w:eastAsia="zh-CN" w:bidi="ar"/>
        </w:rPr>
        <w:lastRenderedPageBreak/>
        <w:t>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moderate-to-high rate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lastRenderedPageBreak/>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bookmarkStart w:id="184" w:name="_GoBack" w:colFirst="0" w:colLast="-1"/>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bl>
    <w:bookmarkEnd w:id="184"/>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5"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5"/>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6"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6"/>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7"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7"/>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lastRenderedPageBreak/>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8"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8"/>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lastRenderedPageBreak/>
              <w:t>m :</w:t>
            </w:r>
            <w:proofErr w:type="gramEnd"/>
            <w:r w:rsidRPr="00A80F95">
              <w:rPr>
                <w:rFonts w:eastAsia="DengXian"/>
                <w:lang w:val="en-US" w:eastAsia="zh-CN"/>
              </w:rPr>
              <w:t xml:space="preserve"> number of total data integrity check bits</w:t>
            </w:r>
          </w:p>
          <w:p w14:paraId="16B77452" w14:textId="073DAF76" w:rsidR="009E765E" w:rsidRPr="00A80F95" w:rsidRDefault="00EB654C"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9"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9"/>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 xml:space="preserve">100MHz (273 </w:t>
            </w:r>
            <w:proofErr w:type="spellStart"/>
            <w:r w:rsidRPr="008F2EBD">
              <w:rPr>
                <w:lang w:val="fr-CA"/>
              </w:rPr>
              <w:t>PRBs</w:t>
            </w:r>
            <w:proofErr w:type="spellEnd"/>
            <w:r w:rsidRPr="008F2EBD">
              <w:rPr>
                <w:lang w:val="fr-CA"/>
              </w:rPr>
              <w:t xml:space="preserve">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lastRenderedPageBreak/>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lastRenderedPageBreak/>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lastRenderedPageBreak/>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lastRenderedPageBreak/>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C4D6" w14:textId="77777777" w:rsidR="00EB654C" w:rsidRDefault="00EB654C">
      <w:pPr>
        <w:spacing w:line="240" w:lineRule="auto"/>
      </w:pPr>
      <w:r>
        <w:separator/>
      </w:r>
    </w:p>
  </w:endnote>
  <w:endnote w:type="continuationSeparator" w:id="0">
    <w:p w14:paraId="49181A00" w14:textId="77777777" w:rsidR="00EB654C" w:rsidRDefault="00EB6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444040"/>
      <w:docPartObj>
        <w:docPartGallery w:val="Page Numbers (Bottom of Page)"/>
        <w:docPartUnique/>
      </w:docPartObj>
    </w:sdtPr>
    <w:sdtEndPr/>
    <w:sdtContent>
      <w:p w14:paraId="0D87BF53" w14:textId="5417302D" w:rsidR="00BD2230" w:rsidRDefault="00BD2230" w:rsidP="00A54582">
        <w:pPr>
          <w:pStyle w:val="Footer"/>
          <w:jc w:val="center"/>
        </w:pPr>
        <w:r>
          <w:fldChar w:fldCharType="begin"/>
        </w:r>
        <w:r>
          <w:instrText>PAGE   \* MERGEFORMAT</w:instrText>
        </w:r>
        <w:r>
          <w:fldChar w:fldCharType="separate"/>
        </w:r>
        <w:r w:rsidR="00E66D62" w:rsidRPr="00E66D62">
          <w:rPr>
            <w:noProof/>
            <w:lang w:val="zh-CN" w:eastAsia="zh-CN"/>
          </w:rPr>
          <w:t>48</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905F1" w14:textId="77777777" w:rsidR="00EB654C" w:rsidRDefault="00EB654C">
      <w:pPr>
        <w:spacing w:after="0"/>
      </w:pPr>
      <w:r>
        <w:separator/>
      </w:r>
    </w:p>
  </w:footnote>
  <w:footnote w:type="continuationSeparator" w:id="0">
    <w:p w14:paraId="1B596370" w14:textId="77777777" w:rsidR="00EB654C" w:rsidRDefault="00EB6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7"/>
  </w:num>
  <w:num w:numId="5">
    <w:abstractNumId w:val="3"/>
  </w:num>
  <w:num w:numId="6">
    <w:abstractNumId w:val="1"/>
  </w:num>
  <w:num w:numId="7">
    <w:abstractNumId w:val="2"/>
  </w:num>
  <w:num w:numId="8">
    <w:abstractNumId w:val="62"/>
  </w:num>
  <w:num w:numId="9">
    <w:abstractNumId w:val="52"/>
  </w:num>
  <w:num w:numId="10">
    <w:abstractNumId w:val="101"/>
  </w:num>
  <w:num w:numId="11">
    <w:abstractNumId w:val="63"/>
  </w:num>
  <w:num w:numId="12">
    <w:abstractNumId w:val="99"/>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1"/>
  </w:num>
  <w:num w:numId="19">
    <w:abstractNumId w:val="23"/>
  </w:num>
  <w:num w:numId="20">
    <w:abstractNumId w:val="86"/>
  </w:num>
  <w:num w:numId="21">
    <w:abstractNumId w:val="91"/>
  </w:num>
  <w:num w:numId="22">
    <w:abstractNumId w:val="28"/>
  </w:num>
  <w:num w:numId="23">
    <w:abstractNumId w:val="98"/>
  </w:num>
  <w:num w:numId="24">
    <w:abstractNumId w:val="26"/>
  </w:num>
  <w:num w:numId="25">
    <w:abstractNumId w:val="60"/>
  </w:num>
  <w:num w:numId="26">
    <w:abstractNumId w:val="83"/>
  </w:num>
  <w:num w:numId="27">
    <w:abstractNumId w:val="93"/>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4"/>
  </w:num>
  <w:num w:numId="35">
    <w:abstractNumId w:val="9"/>
  </w:num>
  <w:num w:numId="36">
    <w:abstractNumId w:val="37"/>
  </w:num>
  <w:num w:numId="37">
    <w:abstractNumId w:val="76"/>
  </w:num>
  <w:num w:numId="38">
    <w:abstractNumId w:val="39"/>
  </w:num>
  <w:num w:numId="39">
    <w:abstractNumId w:val="68"/>
  </w:num>
  <w:num w:numId="40">
    <w:abstractNumId w:val="34"/>
  </w:num>
  <w:num w:numId="41">
    <w:abstractNumId w:val="70"/>
  </w:num>
  <w:num w:numId="42">
    <w:abstractNumId w:val="57"/>
  </w:num>
  <w:num w:numId="43">
    <w:abstractNumId w:val="31"/>
  </w:num>
  <w:num w:numId="44">
    <w:abstractNumId w:val="104"/>
  </w:num>
  <w:num w:numId="45">
    <w:abstractNumId w:val="0"/>
  </w:num>
  <w:num w:numId="46">
    <w:abstractNumId w:val="27"/>
  </w:num>
  <w:num w:numId="47">
    <w:abstractNumId w:val="84"/>
  </w:num>
  <w:num w:numId="48">
    <w:abstractNumId w:val="61"/>
  </w:num>
  <w:num w:numId="49">
    <w:abstractNumId w:val="88"/>
  </w:num>
  <w:num w:numId="50">
    <w:abstractNumId w:val="6"/>
  </w:num>
  <w:num w:numId="51">
    <w:abstractNumId w:val="15"/>
  </w:num>
  <w:num w:numId="52">
    <w:abstractNumId w:val="80"/>
  </w:num>
  <w:num w:numId="53">
    <w:abstractNumId w:val="59"/>
  </w:num>
  <w:num w:numId="54">
    <w:abstractNumId w:val="40"/>
  </w:num>
  <w:num w:numId="55">
    <w:abstractNumId w:val="11"/>
  </w:num>
  <w:num w:numId="56">
    <w:abstractNumId w:val="65"/>
  </w:num>
  <w:num w:numId="57">
    <w:abstractNumId w:val="36"/>
  </w:num>
  <w:num w:numId="58">
    <w:abstractNumId w:val="41"/>
  </w:num>
  <w:num w:numId="59">
    <w:abstractNumId w:val="85"/>
  </w:num>
  <w:num w:numId="60">
    <w:abstractNumId w:val="92"/>
  </w:num>
  <w:num w:numId="61">
    <w:abstractNumId w:val="7"/>
  </w:num>
  <w:num w:numId="62">
    <w:abstractNumId w:val="13"/>
  </w:num>
  <w:num w:numId="63">
    <w:abstractNumId w:val="77"/>
  </w:num>
  <w:num w:numId="64">
    <w:abstractNumId w:val="46"/>
  </w:num>
  <w:num w:numId="65">
    <w:abstractNumId w:val="10"/>
  </w:num>
  <w:num w:numId="66">
    <w:abstractNumId w:val="48"/>
  </w:num>
  <w:num w:numId="67">
    <w:abstractNumId w:val="90"/>
  </w:num>
  <w:num w:numId="68">
    <w:abstractNumId w:val="100"/>
  </w:num>
  <w:num w:numId="69">
    <w:abstractNumId w:val="73"/>
  </w:num>
  <w:num w:numId="70">
    <w:abstractNumId w:val="74"/>
  </w:num>
  <w:num w:numId="71">
    <w:abstractNumId w:val="44"/>
  </w:num>
  <w:num w:numId="72">
    <w:abstractNumId w:val="71"/>
  </w:num>
  <w:num w:numId="73">
    <w:abstractNumId w:val="103"/>
  </w:num>
  <w:num w:numId="74">
    <w:abstractNumId w:val="69"/>
  </w:num>
  <w:num w:numId="75">
    <w:abstractNumId w:val="66"/>
  </w:num>
  <w:num w:numId="76">
    <w:abstractNumId w:val="17"/>
  </w:num>
  <w:num w:numId="77">
    <w:abstractNumId w:val="55"/>
  </w:num>
  <w:num w:numId="78">
    <w:abstractNumId w:val="95"/>
  </w:num>
  <w:num w:numId="79">
    <w:abstractNumId w:val="75"/>
  </w:num>
  <w:num w:numId="80">
    <w:abstractNumId w:val="35"/>
  </w:num>
  <w:num w:numId="81">
    <w:abstractNumId w:val="16"/>
  </w:num>
  <w:num w:numId="82">
    <w:abstractNumId w:val="94"/>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num>
  <w:num w:numId="85">
    <w:abstractNumId w:val="30"/>
  </w:num>
  <w:num w:numId="86">
    <w:abstractNumId w:val="18"/>
  </w:num>
  <w:num w:numId="87">
    <w:abstractNumId w:val="38"/>
  </w:num>
  <w:num w:numId="88">
    <w:abstractNumId w:val="78"/>
  </w:num>
  <w:num w:numId="89">
    <w:abstractNumId w:val="33"/>
  </w:num>
  <w:num w:numId="90">
    <w:abstractNumId w:val="53"/>
  </w:num>
  <w:num w:numId="91">
    <w:abstractNumId w:val="51"/>
  </w:num>
  <w:num w:numId="92">
    <w:abstractNumId w:val="82"/>
  </w:num>
  <w:num w:numId="93">
    <w:abstractNumId w:val="79"/>
  </w:num>
  <w:num w:numId="94">
    <w:abstractNumId w:val="25"/>
  </w:num>
  <w:num w:numId="95">
    <w:abstractNumId w:val="87"/>
  </w:num>
  <w:num w:numId="96">
    <w:abstractNumId w:val="19"/>
  </w:num>
  <w:num w:numId="97">
    <w:abstractNumId w:val="72"/>
  </w:num>
  <w:num w:numId="98">
    <w:abstractNumId w:val="58"/>
  </w:num>
  <w:num w:numId="99">
    <w:abstractNumId w:val="20"/>
  </w:num>
  <w:num w:numId="100">
    <w:abstractNumId w:val="22"/>
  </w:num>
  <w:num w:numId="101">
    <w:abstractNumId w:val="97"/>
  </w:num>
  <w:num w:numId="102">
    <w:abstractNumId w:val="96"/>
  </w:num>
  <w:num w:numId="103">
    <w:abstractNumId w:val="14"/>
  </w:num>
  <w:num w:numId="104">
    <w:abstractNumId w:val="21"/>
  </w:num>
  <w:num w:numId="105">
    <w:abstractNumId w:val="102"/>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DCF18-4595-4C02-9C8F-075E65E99166}">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74</Pages>
  <Words>34006</Words>
  <Characters>193836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Sebastian Wagner</cp:lastModifiedBy>
  <cp:revision>3</cp:revision>
  <dcterms:created xsi:type="dcterms:W3CDTF">2026-02-09T09:28:00Z</dcterms:created>
  <dcterms:modified xsi:type="dcterms:W3CDTF">2026-02-09T09:28:00Z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