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E417F7"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E417F7"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E417F7"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E417F7"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9"/>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af9"/>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9"/>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E417F7" w:rsidP="00FC3EBB">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E417F7"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E417F7"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E417F7" w:rsidP="00FC3EBB">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E417F7"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E417F7"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9"/>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E417F7"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E417F7"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E417F7"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9"/>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AccelerComm,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E417F7"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E417F7"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E417F7">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E417F7">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E417F7" w:rsidP="00FC3EBB">
      <w:pPr>
        <w:pStyle w:val="af9"/>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E417F7"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E417F7"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E417F7" w:rsidP="00FC3EBB">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E417F7" w:rsidP="00FC3EBB">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E417F7">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E417F7">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E417F7">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E417F7">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CR_min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lastRenderedPageBreak/>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lastRenderedPageBreak/>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lastRenderedPageBreak/>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lastRenderedPageBreak/>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FC3EBB">
            <w:pPr>
              <w:pStyle w:val="af9"/>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9"/>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w:t>
            </w:r>
            <w:r w:rsidRPr="00210723">
              <w:lastRenderedPageBreak/>
              <w:t>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9"/>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9"/>
              <w:widowControl w:val="0"/>
              <w:numPr>
                <w:ilvl w:val="0"/>
                <w:numId w:val="92"/>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lastRenderedPageBreak/>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9"/>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lastRenderedPageBreak/>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lastRenderedPageBreak/>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Verizon, CMCC, China Telecom, China Unicom, Samsung, ZTE, Sanechips,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9"/>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9"/>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FC3EBB">
                  <w:pPr>
                    <w:pStyle w:val="af9"/>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lastRenderedPageBreak/>
              <w:t>Option 1: Coding scheme determination according to the instantaneous total data rate</w:t>
            </w:r>
          </w:p>
          <w:p w14:paraId="10B60C5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9"/>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9"/>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9"/>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9"/>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9"/>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lastRenderedPageBreak/>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lastRenderedPageBreak/>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9"/>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FC3EBB">
            <w:pPr>
              <w:pStyle w:val="af9"/>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宋体"/>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lastRenderedPageBreak/>
              <w:t>CSCN</w:t>
            </w:r>
          </w:p>
        </w:tc>
        <w:tc>
          <w:tcPr>
            <w:tcW w:w="8030" w:type="dxa"/>
          </w:tcPr>
          <w:p w14:paraId="1E296D1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With the core matrix row number unchanged, increasing the number of system columns can effectively enhance the maximum code rate.</w:t>
            </w:r>
          </w:p>
          <w:p w14:paraId="41707D6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lastRenderedPageBreak/>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FC3EBB">
      <w:pPr>
        <w:pStyle w:val="af9"/>
        <w:numPr>
          <w:ilvl w:val="1"/>
          <w:numId w:val="47"/>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FC3EBB">
      <w:pPr>
        <w:pStyle w:val="af9"/>
        <w:numPr>
          <w:ilvl w:val="0"/>
          <w:numId w:val="4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FC3EBB">
      <w:pPr>
        <w:pStyle w:val="af9"/>
        <w:numPr>
          <w:ilvl w:val="0"/>
          <w:numId w:val="4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FC3EBB">
      <w:pPr>
        <w:pStyle w:val="af9"/>
        <w:numPr>
          <w:ilvl w:val="0"/>
          <w:numId w:val="4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lastRenderedPageBreak/>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9"/>
        <w:numPr>
          <w:ilvl w:val="0"/>
          <w:numId w:val="4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FC3EBB">
      <w:pPr>
        <w:pStyle w:val="af9"/>
        <w:numPr>
          <w:ilvl w:val="0"/>
          <w:numId w:val="4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Nokia, Huawei, CATT(*),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FC3EBB">
      <w:pPr>
        <w:pStyle w:val="af9"/>
        <w:numPr>
          <w:ilvl w:val="0"/>
          <w:numId w:val="4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FC3EBB">
      <w:pPr>
        <w:pStyle w:val="af9"/>
        <w:numPr>
          <w:ilvl w:val="1"/>
          <w:numId w:val="4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FC3EBB">
      <w:pPr>
        <w:pStyle w:val="af9"/>
        <w:numPr>
          <w:ilvl w:val="0"/>
          <w:numId w:val="4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FC3EBB">
      <w:pPr>
        <w:pStyle w:val="af9"/>
        <w:numPr>
          <w:ilvl w:val="0"/>
          <w:numId w:val="4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FC3EBB">
      <w:pPr>
        <w:pStyle w:val="af9"/>
        <w:numPr>
          <w:ilvl w:val="0"/>
          <w:numId w:val="4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FC3EBB">
      <w:pPr>
        <w:numPr>
          <w:ilvl w:val="0"/>
          <w:numId w:val="4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FC3EBB">
      <w:pPr>
        <w:pStyle w:val="af9"/>
        <w:numPr>
          <w:ilvl w:val="0"/>
          <w:numId w:val="4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FC3EBB">
      <w:pPr>
        <w:pStyle w:val="af9"/>
        <w:numPr>
          <w:ilvl w:val="0"/>
          <w:numId w:val="4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FC3EBB">
      <w:pPr>
        <w:pStyle w:val="af9"/>
        <w:numPr>
          <w:ilvl w:val="0"/>
          <w:numId w:val="4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8F2EBD" w:rsidRDefault="00D46418" w:rsidP="00FC3EBB">
      <w:pPr>
        <w:pStyle w:val="af9"/>
        <w:numPr>
          <w:ilvl w:val="0"/>
          <w:numId w:val="48"/>
        </w:numPr>
        <w:ind w:firstLineChars="0"/>
        <w:jc w:val="left"/>
        <w:rPr>
          <w:rFonts w:eastAsia="等线"/>
          <w:bCs/>
          <w:lang w:val="fr-CA" w:eastAsia="zh-CN"/>
        </w:rPr>
      </w:pPr>
      <w:r w:rsidRPr="008F2EBD">
        <w:rPr>
          <w:rFonts w:eastAsia="等线"/>
          <w:bCs/>
          <w:lang w:val="fr-CA" w:eastAsia="zh-CN"/>
        </w:rPr>
        <w:t xml:space="preserve">16896: </w:t>
      </w:r>
      <w:r w:rsidR="00EF2DAF" w:rsidRPr="008F2EBD">
        <w:rPr>
          <w:rFonts w:eastAsia="等线" w:hint="eastAsia"/>
          <w:bCs/>
          <w:lang w:val="fr-CA" w:eastAsia="zh-CN"/>
        </w:rPr>
        <w:t>5 sources (</w:t>
      </w:r>
      <w:r w:rsidRPr="008F2EBD">
        <w:rPr>
          <w:rFonts w:eastAsia="等线"/>
          <w:bCs/>
          <w:lang w:val="fr-CA" w:eastAsia="zh-CN"/>
        </w:rPr>
        <w:t xml:space="preserve">CATT </w:t>
      </w:r>
      <w:r w:rsidRPr="008F2EBD">
        <w:rPr>
          <w:rFonts w:eastAsia="宋体"/>
          <w:color w:val="000000"/>
          <w:lang w:val="fr-CA" w:eastAsia="zh-CN" w:bidi="ar"/>
        </w:rPr>
        <w:t>(*)</w:t>
      </w:r>
      <w:r w:rsidRPr="008F2EBD">
        <w:rPr>
          <w:rFonts w:eastAsia="等线"/>
          <w:lang w:val="fr-CA" w:eastAsia="zh-CN"/>
        </w:rPr>
        <w:t xml:space="preserve">, vivo </w:t>
      </w:r>
      <w:r w:rsidRPr="008F2EBD">
        <w:rPr>
          <w:rFonts w:eastAsia="宋体"/>
          <w:color w:val="000000"/>
          <w:lang w:val="fr-CA" w:eastAsia="zh-CN" w:bidi="ar"/>
        </w:rPr>
        <w:t>(*)</w:t>
      </w:r>
      <w:r w:rsidRPr="008F2EBD">
        <w:rPr>
          <w:rFonts w:eastAsia="等线"/>
          <w:lang w:val="fr-CA" w:eastAsia="zh-CN"/>
        </w:rPr>
        <w:t xml:space="preserve">, </w:t>
      </w:r>
      <w:r w:rsidRPr="008F2EBD">
        <w:rPr>
          <w:rFonts w:eastAsia="等线"/>
          <w:bCs/>
          <w:lang w:val="fr-CA" w:eastAsia="zh-CN"/>
        </w:rPr>
        <w:t xml:space="preserve">Fujitsu </w:t>
      </w:r>
      <w:r w:rsidRPr="008F2EBD">
        <w:rPr>
          <w:rFonts w:eastAsia="宋体"/>
          <w:color w:val="000000"/>
          <w:lang w:val="fr-CA" w:eastAsia="zh-CN" w:bidi="ar"/>
        </w:rPr>
        <w:t>(*)</w:t>
      </w:r>
      <w:r w:rsidRPr="008F2EBD">
        <w:rPr>
          <w:rFonts w:eastAsia="等线"/>
          <w:lang w:val="fr-CA" w:eastAsia="zh-CN"/>
        </w:rPr>
        <w:t xml:space="preserve">, </w:t>
      </w:r>
      <w:r w:rsidRPr="008F2EBD">
        <w:rPr>
          <w:rFonts w:eastAsia="宋体"/>
          <w:color w:val="000000"/>
          <w:lang w:val="fr-CA" w:eastAsia="zh-CN" w:bidi="ar"/>
        </w:rPr>
        <w:t>C-DOT, CSCN (*)</w:t>
      </w:r>
      <w:r w:rsidR="00EF2DAF" w:rsidRPr="008F2EBD">
        <w:rPr>
          <w:rFonts w:eastAsia="宋体" w:hint="eastAsia"/>
          <w:color w:val="000000"/>
          <w:lang w:val="fr-CA" w:eastAsia="zh-CN" w:bidi="ar"/>
        </w:rPr>
        <w:t>)</w:t>
      </w:r>
    </w:p>
    <w:p w14:paraId="741E9AFD" w14:textId="77777777" w:rsidR="00D46418" w:rsidRPr="00A204FC" w:rsidRDefault="00D46418" w:rsidP="00FC3EBB">
      <w:pPr>
        <w:pStyle w:val="af9"/>
        <w:numPr>
          <w:ilvl w:val="0"/>
          <w:numId w:val="48"/>
        </w:numPr>
        <w:ind w:firstLineChars="0"/>
        <w:rPr>
          <w:rFonts w:eastAsia="等线"/>
          <w:b/>
          <w:bCs/>
          <w:lang w:val="en-US" w:eastAsia="zh-CN"/>
        </w:rPr>
      </w:pPr>
      <w:r w:rsidRPr="002525CB">
        <w:rPr>
          <w:rFonts w:eastAsia="等线"/>
          <w:bCs/>
          <w:lang w:val="en-US" w:eastAsia="zh-CN"/>
        </w:rPr>
        <w:lastRenderedPageBreak/>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E417F7" w:rsidP="00FC3EBB">
      <w:pPr>
        <w:numPr>
          <w:ilvl w:val="0"/>
          <w:numId w:val="4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E417F7"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8F2EBD" w:rsidRDefault="00E417F7"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D46418" w:rsidRPr="008F2EBD">
        <w:rPr>
          <w:rFonts w:eastAsia="等线"/>
          <w:bCs/>
          <w:lang w:val="fr-CA" w:eastAsia="zh-CN"/>
        </w:rPr>
        <w:t>: 3 sources (</w:t>
      </w:r>
      <w:r w:rsidR="00D46418" w:rsidRPr="008F2EBD">
        <w:rPr>
          <w:rFonts w:eastAsia="宋体"/>
          <w:lang w:val="fr-CA" w:eastAsia="zh-CN" w:bidi="ar"/>
        </w:rPr>
        <w:t>SJTU, NERC-DTV</w:t>
      </w:r>
      <w:r w:rsidR="00D46418" w:rsidRPr="008F2EBD">
        <w:rPr>
          <w:rFonts w:eastAsia="等线"/>
          <w:bCs/>
          <w:lang w:val="fr-CA" w:eastAsia="zh-CN"/>
        </w:rPr>
        <w:t xml:space="preserve">, Apple </w:t>
      </w:r>
      <w:r w:rsidR="00D46418" w:rsidRPr="008F2EBD">
        <w:rPr>
          <w:rFonts w:eastAsia="宋体"/>
          <w:color w:val="000000"/>
          <w:lang w:val="fr-CA" w:eastAsia="zh-CN" w:bidi="ar"/>
        </w:rPr>
        <w:t>(*)</w:t>
      </w:r>
      <w:r w:rsidR="00D46418" w:rsidRPr="008F2EBD">
        <w:rPr>
          <w:rFonts w:eastAsia="等线"/>
          <w:bCs/>
          <w:lang w:val="fr-CA" w:eastAsia="zh-CN"/>
        </w:rPr>
        <w:t>)</w:t>
      </w:r>
    </w:p>
    <w:p w14:paraId="763D836F" w14:textId="77777777" w:rsidR="00D46418" w:rsidRPr="008F2EBD" w:rsidRDefault="00E417F7"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D46418" w:rsidRPr="008F2EBD">
        <w:rPr>
          <w:rFonts w:eastAsia="等线"/>
          <w:bCs/>
          <w:lang w:val="fr-CA" w:eastAsia="zh-CN"/>
        </w:rPr>
        <w:t>: 3 sources (</w:t>
      </w:r>
      <w:r w:rsidR="00D46418" w:rsidRPr="008F2EBD">
        <w:rPr>
          <w:rFonts w:eastAsia="宋体"/>
          <w:lang w:val="fr-CA" w:eastAsia="zh-CN" w:bidi="ar"/>
        </w:rPr>
        <w:t xml:space="preserve">ETRI </w:t>
      </w:r>
      <w:r w:rsidR="00D46418" w:rsidRPr="008F2EBD">
        <w:rPr>
          <w:rFonts w:eastAsia="宋体"/>
          <w:color w:val="000000"/>
          <w:lang w:val="fr-CA" w:eastAsia="zh-CN" w:bidi="ar"/>
        </w:rPr>
        <w:t>(*)</w:t>
      </w:r>
      <w:r w:rsidR="00D46418" w:rsidRPr="008F2EBD">
        <w:rPr>
          <w:rFonts w:eastAsia="宋体"/>
          <w:lang w:val="fr-CA" w:eastAsia="zh-CN" w:bidi="ar"/>
        </w:rPr>
        <w:t xml:space="preserve">, ESA </w:t>
      </w:r>
      <w:r w:rsidR="00D46418" w:rsidRPr="008F2EBD">
        <w:rPr>
          <w:rFonts w:eastAsia="宋体"/>
          <w:color w:val="000000"/>
          <w:lang w:val="fr-CA" w:eastAsia="zh-CN" w:bidi="ar"/>
        </w:rPr>
        <w:t>(*)</w:t>
      </w:r>
      <w:r w:rsidR="00D46418" w:rsidRPr="008F2EBD">
        <w:rPr>
          <w:rFonts w:eastAsia="宋体"/>
          <w:lang w:val="fr-CA" w:eastAsia="zh-CN" w:bidi="ar"/>
        </w:rPr>
        <w:t xml:space="preserve">, Thales </w:t>
      </w:r>
      <w:r w:rsidR="00D46418" w:rsidRPr="008F2EBD">
        <w:rPr>
          <w:rFonts w:eastAsia="宋体"/>
          <w:color w:val="000000"/>
          <w:lang w:val="fr-CA" w:eastAsia="zh-CN" w:bidi="ar"/>
        </w:rPr>
        <w:t>(*)</w:t>
      </w:r>
      <w:r w:rsidR="00D46418" w:rsidRPr="008F2EBD">
        <w:rPr>
          <w:rFonts w:eastAsia="宋体"/>
          <w:lang w:val="fr-CA" w:eastAsia="zh-CN" w:bidi="ar"/>
        </w:rPr>
        <w:t>)</w:t>
      </w:r>
    </w:p>
    <w:p w14:paraId="30E830D6" w14:textId="79E428ED" w:rsidR="00D46418" w:rsidRPr="00073D7D" w:rsidRDefault="00E417F7"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FC3EBB">
      <w:pPr>
        <w:numPr>
          <w:ilvl w:val="0"/>
          <w:numId w:val="4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44/ (98-2)=11/24: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FC3EBB">
      <w:pPr>
        <w:pStyle w:val="af9"/>
        <w:numPr>
          <w:ilvl w:val="0"/>
          <w:numId w:val="4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宋体"/>
          <w:color w:val="000000"/>
          <w:lang w:val="en-US" w:eastAsia="zh-CN" w:bidi="ar"/>
        </w:rPr>
        <w:t>0/(62-1)=40/61: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FC3EBB">
      <w:pPr>
        <w:pStyle w:val="af9"/>
        <w:numPr>
          <w:ilvl w:val="0"/>
          <w:numId w:val="4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E417F7"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E417F7"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E417F7"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FC3EBB">
      <w:pPr>
        <w:pStyle w:val="af9"/>
        <w:numPr>
          <w:ilvl w:val="0"/>
          <w:numId w:val="4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lastRenderedPageBreak/>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FC3EBB">
      <w:pPr>
        <w:pStyle w:val="af9"/>
        <w:numPr>
          <w:ilvl w:val="1"/>
          <w:numId w:val="4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FC3EBB">
      <w:pPr>
        <w:numPr>
          <w:ilvl w:val="0"/>
          <w:numId w:val="4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FC3EBB">
      <w:pPr>
        <w:pStyle w:val="af9"/>
        <w:numPr>
          <w:ilvl w:val="0"/>
          <w:numId w:val="4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9"/>
        <w:numPr>
          <w:ilvl w:val="1"/>
          <w:numId w:val="4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FC3EBB">
      <w:pPr>
        <w:pStyle w:val="af9"/>
        <w:numPr>
          <w:ilvl w:val="1"/>
          <w:numId w:val="48"/>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FC3EBB">
      <w:pPr>
        <w:pStyle w:val="af9"/>
        <w:numPr>
          <w:ilvl w:val="1"/>
          <w:numId w:val="4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9"/>
        <w:numPr>
          <w:ilvl w:val="0"/>
          <w:numId w:val="4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FC3EBB">
      <w:pPr>
        <w:pStyle w:val="af9"/>
        <w:numPr>
          <w:ilvl w:val="0"/>
          <w:numId w:val="4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FC3EBB">
      <w:pPr>
        <w:pStyle w:val="af9"/>
        <w:numPr>
          <w:ilvl w:val="0"/>
          <w:numId w:val="4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FC3EBB">
      <w:pPr>
        <w:pStyle w:val="af9"/>
        <w:numPr>
          <w:ilvl w:val="0"/>
          <w:numId w:val="4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FC3EBB">
      <w:pPr>
        <w:numPr>
          <w:ilvl w:val="0"/>
          <w:numId w:val="4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lastRenderedPageBreak/>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Huawei, vivo, Ericsson, AccelerComm,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FC3EBB">
      <w:pPr>
        <w:pStyle w:val="af9"/>
        <w:numPr>
          <w:ilvl w:val="0"/>
          <w:numId w:val="50"/>
        </w:numPr>
        <w:ind w:firstLineChars="0"/>
        <w:rPr>
          <w:rFonts w:eastAsia="等线"/>
          <w:bCs/>
          <w:lang w:val="en-US" w:eastAsia="zh-CN"/>
        </w:rPr>
      </w:pPr>
      <w:r w:rsidRPr="0064262A">
        <w:rPr>
          <w:rFonts w:eastAsia="等线"/>
          <w:bCs/>
          <w:lang w:val="en-US" w:eastAsia="zh-CN"/>
        </w:rPr>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FC3EBB">
      <w:pPr>
        <w:pStyle w:val="af9"/>
        <w:numPr>
          <w:ilvl w:val="0"/>
          <w:numId w:val="5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9"/>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E417F7" w:rsidP="00FC3EBB">
      <w:pPr>
        <w:numPr>
          <w:ilvl w:val="0"/>
          <w:numId w:val="90"/>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lastRenderedPageBreak/>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9"/>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af9"/>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9"/>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9"/>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9"/>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9"/>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lastRenderedPageBreak/>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r w:rsidRPr="00814F5E">
              <w:rPr>
                <w:rFonts w:eastAsiaTheme="minorEastAsia"/>
                <w:kern w:val="2"/>
                <w:lang w:val="en-US" w:eastAsia="zh-CN"/>
              </w:rPr>
              <w:t>E must be at least a row-orthogonal lower triangular matrix; otherwise, it could lead to uncontrollable impacts on encoding.</w:t>
            </w:r>
            <w:r>
              <w:rPr>
                <w:rFonts w:eastAsiaTheme="minorEastAsia"/>
                <w:kern w:val="2"/>
                <w:lang w:val="en-US" w:eastAsia="zh-CN"/>
              </w:rPr>
              <w:t xml:space="preserve"> </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lastRenderedPageBreak/>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lastRenderedPageBreak/>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9"/>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9"/>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9"/>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9"/>
        <w:numPr>
          <w:ilvl w:val="0"/>
          <w:numId w:val="102"/>
        </w:numPr>
        <w:ind w:firstLineChars="0"/>
        <w:rPr>
          <w:rFonts w:eastAsia="等线"/>
          <w:lang w:val="en-US" w:eastAsia="zh-CN"/>
        </w:rPr>
      </w:pPr>
      <w:r w:rsidRPr="001E3A1D">
        <w:rPr>
          <w:rFonts w:eastAsia="等线"/>
          <w:lang w:val="en-US" w:eastAsia="zh-CN"/>
        </w:rPr>
        <w:lastRenderedPageBreak/>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LGE, InterDigital,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FC3EBB">
      <w:pPr>
        <w:pStyle w:val="af9"/>
        <w:numPr>
          <w:ilvl w:val="0"/>
          <w:numId w:val="102"/>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discussed to enhance the bit interleaver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FC3EBB">
      <w:pPr>
        <w:pStyle w:val="af9"/>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9"/>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lastRenderedPageBreak/>
              <w:t>Whether further reduction of the LDPC maximum iteration count is necessary</w:t>
            </w:r>
          </w:p>
          <w:p w14:paraId="1C9925FA" w14:textId="77777777" w:rsidR="00E66D62" w:rsidRDefault="00E66D62" w:rsidP="00E66D62">
            <w:pPr>
              <w:pStyle w:val="af9"/>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287DA1" w14:paraId="3B578867" w14:textId="77777777" w:rsidTr="00FB268B">
        <w:trPr>
          <w:jc w:val="center"/>
        </w:trPr>
        <w:tc>
          <w:tcPr>
            <w:tcW w:w="1838" w:type="dxa"/>
            <w:shd w:val="clear" w:color="auto" w:fill="FFFFFF" w:themeFill="background1"/>
          </w:tcPr>
          <w:p w14:paraId="201B698B" w14:textId="77777777" w:rsidR="00287DA1" w:rsidRPr="00E66D62" w:rsidRDefault="00287DA1" w:rsidP="00FB268B">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w:t>
            </w:r>
            <w:r w:rsidRPr="00261C20">
              <w:rPr>
                <w:rFonts w:eastAsiaTheme="minorEastAsia"/>
                <w:lang w:eastAsia="zh-CN"/>
              </w:rPr>
              <w:lastRenderedPageBreak/>
              <w:t>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Introduce segmentation fo</w:t>
            </w:r>
            <w:bookmarkStart w:id="54" w:name="_GoBack"/>
            <w:bookmarkEnd w:id="54"/>
            <w:r w:rsidRPr="00261C20">
              <w:rPr>
                <w:lang w:val="en-US" w:eastAsia="zh-CN"/>
              </w:rPr>
              <w:t>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5"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5"/>
          </w:p>
          <w:p w14:paraId="64B40DB6" w14:textId="77777777" w:rsidR="009E765E" w:rsidRPr="00261C20" w:rsidRDefault="00C0597A" w:rsidP="00261C20">
            <w:pPr>
              <w:pStyle w:val="a3"/>
              <w:spacing w:after="0"/>
              <w:jc w:val="left"/>
              <w:rPr>
                <w:b w:val="0"/>
                <w:bCs w:val="0"/>
                <w:lang w:eastAsia="zh-CN"/>
              </w:rPr>
            </w:pPr>
            <w:bookmarkStart w:id="56" w:name="_Ref220687084"/>
            <w:bookmarkStart w:id="57"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6"/>
            <w:r w:rsidRPr="00261C20">
              <w:rPr>
                <w:b w:val="0"/>
                <w:bCs w:val="0"/>
                <w:lang w:eastAsia="zh-CN"/>
              </w:rPr>
              <w:t xml:space="preserve"> </w:t>
            </w:r>
            <w:bookmarkEnd w:id="57"/>
          </w:p>
          <w:p w14:paraId="6A7EDEA6" w14:textId="77777777" w:rsidR="009E765E" w:rsidRPr="00261C20" w:rsidRDefault="00C0597A" w:rsidP="00261C20">
            <w:pPr>
              <w:pStyle w:val="a3"/>
              <w:spacing w:after="0"/>
              <w:jc w:val="left"/>
              <w:rPr>
                <w:b w:val="0"/>
                <w:bCs w:val="0"/>
                <w:lang w:eastAsia="zh-CN"/>
              </w:rPr>
            </w:pPr>
            <w:bookmarkStart w:id="58"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8"/>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9"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9"/>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60"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60"/>
          </w:p>
          <w:p w14:paraId="460098B6" w14:textId="77777777" w:rsidR="009E765E" w:rsidRPr="00261C20" w:rsidRDefault="00C0597A" w:rsidP="00261C20">
            <w:pPr>
              <w:pStyle w:val="a3"/>
              <w:spacing w:after="0"/>
              <w:jc w:val="left"/>
              <w:rPr>
                <w:b w:val="0"/>
                <w:bCs w:val="0"/>
                <w:lang w:eastAsia="zh-CN"/>
              </w:rPr>
            </w:pPr>
            <w:bookmarkStart w:id="61" w:name="_Ref213339886"/>
            <w:bookmarkStart w:id="62"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1"/>
          </w:p>
          <w:p w14:paraId="3B72EAA9" w14:textId="50CEB5E7" w:rsidR="009E765E" w:rsidRPr="00261C20" w:rsidRDefault="00C0597A" w:rsidP="00B70D71">
            <w:pPr>
              <w:pStyle w:val="a3"/>
              <w:spacing w:after="0"/>
              <w:jc w:val="left"/>
              <w:rPr>
                <w:b w:val="0"/>
                <w:bCs w:val="0"/>
                <w:lang w:eastAsia="zh-CN"/>
              </w:rPr>
            </w:pPr>
            <w:bookmarkStart w:id="63" w:name="_Ref210116527"/>
            <w:bookmarkEnd w:id="62"/>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3"/>
          </w:p>
          <w:p w14:paraId="42A12724" w14:textId="77777777" w:rsidR="009E765E" w:rsidRPr="00261C20" w:rsidRDefault="00C0597A" w:rsidP="00261C20">
            <w:pPr>
              <w:pStyle w:val="a3"/>
              <w:spacing w:after="0"/>
              <w:jc w:val="left"/>
              <w:rPr>
                <w:b w:val="0"/>
                <w:bCs w:val="0"/>
                <w:lang w:eastAsia="zh-CN"/>
              </w:rPr>
            </w:pPr>
            <w:bookmarkStart w:id="64"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4"/>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5"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5"/>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lastRenderedPageBreak/>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9"/>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6" w:name="_Toc220675904"/>
            <w:bookmarkStart w:id="67" w:name="_Toc216858330"/>
            <w:r w:rsidRPr="00261C20">
              <w:rPr>
                <w:b w:val="0"/>
                <w:bCs w:val="0"/>
              </w:rPr>
              <w:t xml:space="preserve">The NR polar coding scheme is quite flexible and can be reused or adapted for potential control channel extension needs, e.g. removing distributed CRC </w:t>
            </w:r>
            <w:r w:rsidRPr="00261C20">
              <w:rPr>
                <w:b w:val="0"/>
                <w:bCs w:val="0"/>
              </w:rPr>
              <w:lastRenderedPageBreak/>
              <w:t>interleaver for PDCCH enables extending DCI payload size to larger than 140 bits (if needed).</w:t>
            </w:r>
            <w:bookmarkEnd w:id="66"/>
            <w:bookmarkEnd w:id="67"/>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8" w:name="_Toc210391746"/>
            <w:bookmarkStart w:id="69" w:name="_Toc210315421"/>
            <w:bookmarkStart w:id="70" w:name="_Toc210315485"/>
            <w:bookmarkStart w:id="71" w:name="_Toc210392148"/>
            <w:bookmarkStart w:id="72" w:name="_Toc210392319"/>
            <w:bookmarkStart w:id="73" w:name="_Toc210391977"/>
            <w:bookmarkStart w:id="74" w:name="_Toc210392315"/>
            <w:bookmarkStart w:id="75" w:name="_Toc210392029"/>
            <w:bookmarkStart w:id="76" w:name="_Toc210391939"/>
            <w:bookmarkStart w:id="77" w:name="_Toc210313300"/>
            <w:bookmarkStart w:id="78" w:name="_Toc210391894"/>
            <w:bookmarkStart w:id="79" w:name="_Toc210391866"/>
            <w:bookmarkStart w:id="80" w:name="_Toc210392030"/>
            <w:bookmarkStart w:id="81" w:name="_Toc210392316"/>
            <w:bookmarkStart w:id="82" w:name="_Toc210391893"/>
            <w:bookmarkStart w:id="83" w:name="_Toc210391976"/>
            <w:bookmarkStart w:id="84" w:name="_Toc210392317"/>
            <w:bookmarkStart w:id="85" w:name="_Toc210392028"/>
            <w:bookmarkStart w:id="86" w:name="_Toc210391787"/>
            <w:bookmarkStart w:id="87" w:name="_Toc210391745"/>
            <w:bookmarkStart w:id="88" w:name="_Toc210391864"/>
            <w:bookmarkStart w:id="89" w:name="_Toc210313225"/>
            <w:bookmarkStart w:id="90" w:name="_Toc210391975"/>
            <w:bookmarkStart w:id="91" w:name="_Toc210313337"/>
            <w:bookmarkStart w:id="92" w:name="_Toc210391863"/>
            <w:bookmarkStart w:id="93" w:name="_Toc210313262"/>
            <w:bookmarkStart w:id="94" w:name="_Toc210314626"/>
            <w:bookmarkStart w:id="95" w:name="_Toc210391865"/>
            <w:bookmarkStart w:id="96" w:name="_Toc210392031"/>
            <w:bookmarkStart w:id="97" w:name="_Toc210391748"/>
            <w:bookmarkStart w:id="98" w:name="_Toc210315483"/>
            <w:bookmarkStart w:id="99" w:name="_Toc210392314"/>
            <w:bookmarkStart w:id="100" w:name="_Toc210392150"/>
            <w:bookmarkStart w:id="101" w:name="_Toc210391938"/>
            <w:bookmarkStart w:id="102" w:name="_Toc210391790"/>
            <w:bookmarkStart w:id="103" w:name="_Toc210391940"/>
            <w:bookmarkStart w:id="104" w:name="_Toc210315484"/>
            <w:bookmarkStart w:id="105" w:name="_Toc210392146"/>
            <w:bookmarkStart w:id="106" w:name="_Toc210315422"/>
            <w:bookmarkStart w:id="107" w:name="_Toc210392147"/>
            <w:bookmarkStart w:id="108" w:name="_Toc210315318"/>
            <w:bookmarkStart w:id="109" w:name="_Toc210391788"/>
            <w:bookmarkStart w:id="110" w:name="_Toc210315356"/>
            <w:bookmarkStart w:id="111" w:name="_Toc210391974"/>
            <w:bookmarkStart w:id="112" w:name="_Toc210391892"/>
            <w:bookmarkStart w:id="113" w:name="_Toc210391895"/>
            <w:bookmarkStart w:id="114" w:name="_Toc210391789"/>
            <w:bookmarkStart w:id="115" w:name="_Toc210392145"/>
            <w:bookmarkStart w:id="116" w:name="_Toc210391747"/>
            <w:bookmarkStart w:id="117" w:name="_Toc210315423"/>
            <w:bookmarkStart w:id="118" w:name="_Toc210391941"/>
            <w:bookmarkStart w:id="119" w:name="_Toc210314380"/>
            <w:bookmarkStart w:id="120" w:name="_Toc216858331"/>
            <w:bookmarkStart w:id="121" w:name="_Toc220675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61C20">
              <w:rPr>
                <w:b w:val="0"/>
                <w:bCs w:val="0"/>
              </w:rPr>
              <w:t xml:space="preserve">Regarding polar code extension for downlink control channels, DCI payload size extension beyond NR range </w:t>
            </w:r>
            <w:bookmarkEnd w:id="120"/>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1"/>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6"/>
            <w:r w:rsidRPr="00261C20">
              <w:rPr>
                <w:b w:val="0"/>
                <w:bCs w:val="0"/>
              </w:rPr>
              <w:t>Option 1: Single DCI with maximum payload size (e.g. ~224 bits) larger than NR and DL Polar mother code length of 512</w:t>
            </w:r>
            <w:bookmarkEnd w:id="122"/>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7"/>
            <w:r w:rsidRPr="00261C20">
              <w:rPr>
                <w:b w:val="0"/>
                <w:bCs w:val="0"/>
              </w:rPr>
              <w:t>Option 2: Single DCI with payload (e.g. ~224 bits) larger than NR and DL Polar mother code length of 1024</w:t>
            </w:r>
            <w:bookmarkEnd w:id="123"/>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4" w:name="_Toc220675908"/>
            <w:r w:rsidRPr="00261C20">
              <w:rPr>
                <w:b w:val="0"/>
                <w:bCs w:val="0"/>
              </w:rPr>
              <w:t>Option 3: Single DCI with payload (e.g. ~224 bits) larger than NR segmented into multiple segments (e.g. 2 segments of maximum DL Polar mother code length of 512 each).</w:t>
            </w:r>
            <w:bookmarkEnd w:id="124"/>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619A2EC7" w14:textId="4A29A0E1" w:rsidR="009E765E" w:rsidRPr="0060256C" w:rsidRDefault="00C0597A" w:rsidP="0060256C">
            <w:pPr>
              <w:pStyle w:val="a3"/>
              <w:spacing w:after="0"/>
              <w:jc w:val="left"/>
              <w:rPr>
                <w:b w:val="0"/>
                <w:bCs w:val="0"/>
              </w:rPr>
            </w:pPr>
            <w:bookmarkStart w:id="125" w:name="_Ref205934731"/>
            <w:bookmarkStart w:id="126"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5"/>
            <w:bookmarkEnd w:id="126"/>
          </w:p>
          <w:p w14:paraId="1A5D3EA7" w14:textId="6E1A7963" w:rsidR="009E765E" w:rsidRPr="0060256C" w:rsidRDefault="00C0597A" w:rsidP="0060256C">
            <w:pPr>
              <w:pStyle w:val="a3"/>
              <w:spacing w:after="0"/>
              <w:jc w:val="left"/>
              <w:rPr>
                <w:b w:val="0"/>
                <w:bCs w:val="0"/>
              </w:rPr>
            </w:pPr>
            <w:bookmarkStart w:id="127"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7"/>
          </w:p>
          <w:p w14:paraId="5D0E20BC" w14:textId="08AFCF84" w:rsidR="009E765E" w:rsidRPr="0060256C" w:rsidRDefault="00C0597A" w:rsidP="0060256C">
            <w:pPr>
              <w:pStyle w:val="a3"/>
              <w:spacing w:after="0"/>
              <w:jc w:val="left"/>
              <w:rPr>
                <w:b w:val="0"/>
                <w:bCs w:val="0"/>
              </w:rPr>
            </w:pPr>
            <w:bookmarkStart w:id="128"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8"/>
            <w:r w:rsidRPr="00261C20">
              <w:rPr>
                <w:b w:val="0"/>
                <w:bCs w:val="0"/>
              </w:rPr>
              <w:t>.</w:t>
            </w:r>
          </w:p>
          <w:p w14:paraId="27E8533F" w14:textId="58E5AE2A" w:rsidR="009E765E" w:rsidRPr="0060256C" w:rsidRDefault="00C0597A" w:rsidP="0060256C">
            <w:pPr>
              <w:pStyle w:val="a3"/>
              <w:spacing w:after="0"/>
              <w:jc w:val="left"/>
              <w:rPr>
                <w:b w:val="0"/>
                <w:bCs w:val="0"/>
              </w:rPr>
            </w:pPr>
            <w:bookmarkStart w:id="129"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9"/>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9"/>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9"/>
              <w:numPr>
                <w:ilvl w:val="0"/>
                <w:numId w:val="57"/>
              </w:numPr>
              <w:spacing w:after="0" w:line="240" w:lineRule="auto"/>
              <w:ind w:firstLineChars="0"/>
              <w:contextualSpacing/>
              <w:jc w:val="left"/>
              <w:rPr>
                <w:lang w:val="en-US"/>
              </w:rPr>
            </w:pPr>
            <w:bookmarkStart w:id="130"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9"/>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9"/>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E417F7" w:rsidP="00FC3EBB">
            <w:pPr>
              <w:pStyle w:val="af9"/>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1" w:name="OLE_LINK129"/>
                  <m:r>
                    <m:rPr>
                      <m:sty m:val="p"/>
                    </m:rPr>
                    <w:rPr>
                      <w:rFonts w:ascii="Cambria Math" w:hAnsi="Cambria Math"/>
                    </w:rPr>
                    <m:t>k</m:t>
                  </m:r>
                </m:e>
                <m:sub>
                  <m:r>
                    <m:rPr>
                      <m:sty m:val="p"/>
                    </m:rPr>
                    <w:rPr>
                      <w:rFonts w:ascii="Cambria Math" w:hAnsi="Cambria Math"/>
                    </w:rPr>
                    <m:t>terminate</m:t>
                  </m:r>
                  <w:bookmarkEnd w:id="131"/>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9"/>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30"/>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2" w:name="_Hlk220350608"/>
            <w:r w:rsidRPr="00261C20">
              <w:rPr>
                <w:lang w:val="en-US"/>
              </w:rPr>
              <w:t>AI 10.5.4.1 and 10.5.4.3</w:t>
            </w:r>
            <w:bookmarkEnd w:id="132"/>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lastRenderedPageBreak/>
              <w:t>Proposal 16</w:t>
            </w:r>
          </w:p>
          <w:p w14:paraId="0CFD5B32" w14:textId="7FD7BBBA" w:rsidR="009E765E" w:rsidRPr="0060256C" w:rsidRDefault="00C0597A" w:rsidP="00FC3EBB">
            <w:pPr>
              <w:pStyle w:val="af9"/>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9"/>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9"/>
              <w:numPr>
                <w:ilvl w:val="1"/>
                <w:numId w:val="18"/>
              </w:numPr>
              <w:spacing w:after="0" w:line="240" w:lineRule="auto"/>
              <w:ind w:firstLineChars="0"/>
            </w:pPr>
            <w:r w:rsidRPr="00261C20">
              <w:t>Option 1: Remove the distributed CRC interleaver</w:t>
            </w:r>
          </w:p>
          <w:p w14:paraId="3600A6F4"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9"/>
              <w:numPr>
                <w:ilvl w:val="1"/>
                <w:numId w:val="18"/>
              </w:numPr>
              <w:spacing w:after="0" w:line="240" w:lineRule="auto"/>
              <w:ind w:firstLineChars="0"/>
            </w:pPr>
            <w:r w:rsidRPr="00261C20">
              <w:t>Option 2: Redefine the distributed CRC interleaver pattern</w:t>
            </w:r>
          </w:p>
          <w:p w14:paraId="09BFFC50" w14:textId="77777777" w:rsidR="009E765E" w:rsidRPr="00261C20" w:rsidRDefault="00C0597A" w:rsidP="00FC3EBB">
            <w:pPr>
              <w:pStyle w:val="af9"/>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9"/>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9"/>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9"/>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3"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3"/>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9"/>
        <w:widowControl w:val="0"/>
        <w:numPr>
          <w:ilvl w:val="0"/>
          <w:numId w:val="5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FC3EBB">
      <w:pPr>
        <w:pStyle w:val="af9"/>
        <w:widowControl w:val="0"/>
        <w:numPr>
          <w:ilvl w:val="1"/>
          <w:numId w:val="6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782C0F51" w14:textId="00D67BB2" w:rsidR="009E765E" w:rsidRDefault="00C0597A" w:rsidP="00FC3EBB">
      <w:pPr>
        <w:pStyle w:val="af9"/>
        <w:widowControl w:val="0"/>
        <w:numPr>
          <w:ilvl w:val="1"/>
          <w:numId w:val="6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FC3EBB">
      <w:pPr>
        <w:pStyle w:val="af9"/>
        <w:widowControl w:val="0"/>
        <w:numPr>
          <w:ilvl w:val="1"/>
          <w:numId w:val="60"/>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FC3EBB">
      <w:pPr>
        <w:pStyle w:val="af9"/>
        <w:widowControl w:val="0"/>
        <w:numPr>
          <w:ilvl w:val="1"/>
          <w:numId w:val="6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FC3EBB">
      <w:pPr>
        <w:pStyle w:val="af9"/>
        <w:widowControl w:val="0"/>
        <w:numPr>
          <w:ilvl w:val="0"/>
          <w:numId w:val="59"/>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FC3EBB">
      <w:pPr>
        <w:pStyle w:val="af9"/>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9"/>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lastRenderedPageBreak/>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FC3EBB">
      <w:pPr>
        <w:pStyle w:val="af9"/>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9"/>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9"/>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rsidP="00FC3EBB">
      <w:pPr>
        <w:pStyle w:val="af9"/>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9"/>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9"/>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9"/>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9"/>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9"/>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rsidP="00FC3EBB">
      <w:pPr>
        <w:pStyle w:val="af9"/>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9"/>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4"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5" w:name="_Toc220576102"/>
            <w:bookmarkEnd w:id="134"/>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5"/>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6"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6"/>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7" w:name="OLE_LINK97"/>
            <w:bookmarkStart w:id="138" w:name="OLE_LINK98"/>
            <w:bookmarkStart w:id="139"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40" w:name="OLE_LINK170"/>
            <w:bookmarkStart w:id="141" w:name="OLE_LINK99"/>
            <w:bookmarkStart w:id="142" w:name="OLE_LINK100"/>
            <w:bookmarkEnd w:id="137"/>
            <w:bookmarkEnd w:id="138"/>
            <w:bookmarkEnd w:id="139"/>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lastRenderedPageBreak/>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3" w:name="OLE_LINK171"/>
            <w:bookmarkStart w:id="144" w:name="OLE_LINK172"/>
            <w:bookmarkEnd w:id="140"/>
            <w:bookmarkEnd w:id="141"/>
            <w:bookmarkEnd w:id="142"/>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5" w:name="OLE_LINK158"/>
            <w:bookmarkStart w:id="146" w:name="OLE_LINK159"/>
            <w:bookmarkEnd w:id="143"/>
            <w:bookmarkEnd w:id="144"/>
            <w:r w:rsidRPr="0060256C">
              <w:rPr>
                <w:rFonts w:eastAsiaTheme="minorEastAsia"/>
                <w:lang w:eastAsia="zh-CN"/>
              </w:rPr>
              <w:t xml:space="preserve">Observation 8: </w:t>
            </w:r>
            <w:bookmarkStart w:id="147" w:name="OLE_LINK135"/>
            <w:bookmarkStart w:id="148" w:name="OLE_LINK134"/>
            <w:bookmarkStart w:id="149" w:name="OLE_LINK139"/>
            <w:bookmarkStart w:id="150" w:name="OLE_LINK138"/>
            <w:bookmarkStart w:id="151" w:name="OLE_LINK136"/>
            <w:bookmarkStart w:id="152"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7"/>
            <w:bookmarkEnd w:id="148"/>
            <w:bookmarkEnd w:id="149"/>
            <w:bookmarkEnd w:id="150"/>
          </w:p>
          <w:p w14:paraId="08A48B3F" w14:textId="280B0FFB" w:rsidR="009E765E" w:rsidRPr="0060256C" w:rsidRDefault="00C0597A" w:rsidP="0060256C">
            <w:pPr>
              <w:spacing w:after="0" w:line="240" w:lineRule="auto"/>
              <w:rPr>
                <w:rFonts w:eastAsiaTheme="minorEastAsia"/>
                <w:lang w:eastAsia="zh-CN"/>
              </w:rPr>
            </w:pPr>
            <w:bookmarkStart w:id="153" w:name="OLE_LINK173"/>
            <w:bookmarkStart w:id="154" w:name="OLE_LINK175"/>
            <w:bookmarkEnd w:id="145"/>
            <w:bookmarkEnd w:id="146"/>
            <w:bookmarkEnd w:id="151"/>
            <w:bookmarkEnd w:id="152"/>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3"/>
            <w:bookmarkEnd w:id="154"/>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5"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5"/>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6"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6"/>
          </w:p>
          <w:p w14:paraId="13752842" w14:textId="20FDE3EA" w:rsidR="009E765E" w:rsidRPr="0069639D" w:rsidRDefault="00C0597A" w:rsidP="0069639D">
            <w:pPr>
              <w:pStyle w:val="a3"/>
              <w:spacing w:after="0"/>
              <w:jc w:val="left"/>
              <w:rPr>
                <w:b w:val="0"/>
                <w:bCs w:val="0"/>
                <w:lang w:eastAsia="zh-CN"/>
              </w:rPr>
            </w:pPr>
            <w:bookmarkStart w:id="157"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7"/>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9"/>
              <w:widowControl w:val="0"/>
              <w:numPr>
                <w:ilvl w:val="0"/>
                <w:numId w:val="68"/>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9"/>
              <w:widowControl w:val="0"/>
              <w:numPr>
                <w:ilvl w:val="0"/>
                <w:numId w:val="68"/>
              </w:numPr>
              <w:spacing w:after="0" w:line="240" w:lineRule="auto"/>
              <w:ind w:firstLineChars="0"/>
              <w:contextualSpacing/>
            </w:pPr>
            <w:r w:rsidRPr="0060256C">
              <w:lastRenderedPageBreak/>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8" w:name="_Toc220675901"/>
            <w:bookmarkStart w:id="159" w:name="_Toc216858329"/>
            <w:r w:rsidRPr="0060256C">
              <w:rPr>
                <w:b w:val="0"/>
                <w:bCs w:val="0"/>
              </w:rPr>
              <w:t>Regarding polar code extension for uplink control channels,</w:t>
            </w:r>
            <w:bookmarkEnd w:id="158"/>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60" w:name="_Toc220675902"/>
            <w:r w:rsidRPr="0060256C">
              <w:rPr>
                <w:b w:val="0"/>
                <w:bCs w:val="0"/>
              </w:rPr>
              <w:t>Whether the UCI payloads would exceed the NR range (e.g. 1706 bits payload) is unclear and there exist alternate solutions that do not require increase of Polar code complexity.</w:t>
            </w:r>
            <w:bookmarkEnd w:id="159"/>
            <w:bookmarkEnd w:id="160"/>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1"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1"/>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9"/>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9"/>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9"/>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9"/>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9"/>
              <w:numPr>
                <w:ilvl w:val="1"/>
                <w:numId w:val="18"/>
              </w:numPr>
              <w:spacing w:after="0" w:line="240" w:lineRule="auto"/>
              <w:ind w:firstLineChars="0"/>
              <w:rPr>
                <w:lang w:val="en-US"/>
              </w:rPr>
            </w:pPr>
            <w:r w:rsidRPr="0060256C">
              <w:rPr>
                <w:lang w:val="en-US"/>
              </w:rPr>
              <w:lastRenderedPageBreak/>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9"/>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9"/>
        <w:widowControl w:val="0"/>
        <w:numPr>
          <w:ilvl w:val="1"/>
          <w:numId w:val="103"/>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FC3EBB">
      <w:pPr>
        <w:pStyle w:val="af9"/>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9"/>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9"/>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FC3EBB">
      <w:pPr>
        <w:pStyle w:val="af9"/>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9"/>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rsidP="00FC3EBB">
      <w:pPr>
        <w:pStyle w:val="af9"/>
        <w:widowControl w:val="0"/>
        <w:numPr>
          <w:ilvl w:val="1"/>
          <w:numId w:val="6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rsidP="00FC3EBB">
      <w:pPr>
        <w:pStyle w:val="af9"/>
        <w:widowControl w:val="0"/>
        <w:numPr>
          <w:ilvl w:val="1"/>
          <w:numId w:val="60"/>
        </w:numPr>
        <w:spacing w:line="259" w:lineRule="auto"/>
        <w:ind w:firstLineChars="0"/>
        <w:jc w:val="left"/>
      </w:pPr>
      <w:r>
        <w:t>increase the CSI feedback payload size by MIMO systems with</w:t>
      </w:r>
      <w:bookmarkStart w:id="162" w:name="_Hlk214035182"/>
      <w:r>
        <w:t xml:space="preserve"> more antenna ports:</w:t>
      </w:r>
      <w:bookmarkEnd w:id="162"/>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rsidP="00FC3EBB">
      <w:pPr>
        <w:pStyle w:val="af9"/>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9"/>
        <w:widowControl w:val="0"/>
        <w:numPr>
          <w:ilvl w:val="0"/>
          <w:numId w:val="5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rsidP="00FC3EBB">
      <w:pPr>
        <w:pStyle w:val="af9"/>
        <w:numPr>
          <w:ilvl w:val="0"/>
          <w:numId w:val="5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9"/>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lastRenderedPageBreak/>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9"/>
        <w:widowControl w:val="0"/>
        <w:numPr>
          <w:ilvl w:val="0"/>
          <w:numId w:val="5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FC3EBB">
      <w:pPr>
        <w:pStyle w:val="af9"/>
        <w:widowControl w:val="0"/>
        <w:numPr>
          <w:ilvl w:val="1"/>
          <w:numId w:val="105"/>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FC3EBB">
      <w:pPr>
        <w:pStyle w:val="af9"/>
        <w:widowControl w:val="0"/>
        <w:numPr>
          <w:ilvl w:val="1"/>
          <w:numId w:val="105"/>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rsidP="00FC3EBB">
      <w:pPr>
        <w:pStyle w:val="af9"/>
        <w:widowControl w:val="0"/>
        <w:numPr>
          <w:ilvl w:val="0"/>
          <w:numId w:val="59"/>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moderate-to-high rate configurations.</w:t>
      </w:r>
    </w:p>
    <w:p w14:paraId="1896BEAD" w14:textId="7777777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lastRenderedPageBreak/>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3" w:name="_Toc210234226"/>
            <w:bookmarkStart w:id="164"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3"/>
            <w:bookmarkEnd w:id="164"/>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5" w:name="OLE_LINK185"/>
            <w:bookmarkStart w:id="166"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7" w:name="OLE_LINK186"/>
            <w:bookmarkEnd w:id="165"/>
            <w:bookmarkEnd w:id="166"/>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7"/>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lastRenderedPageBreak/>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8"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8"/>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9"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9"/>
          </w:p>
          <w:p w14:paraId="4A32A471" w14:textId="32C9845D" w:rsidR="009E765E" w:rsidRPr="0069639D" w:rsidRDefault="00C0597A" w:rsidP="0022602F">
            <w:pPr>
              <w:pStyle w:val="a3"/>
              <w:spacing w:after="0"/>
              <w:jc w:val="left"/>
              <w:rPr>
                <w:b w:val="0"/>
                <w:bCs w:val="0"/>
                <w:lang w:eastAsia="zh-CN"/>
              </w:rPr>
            </w:pPr>
            <w:bookmarkStart w:id="170"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70"/>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9"/>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1"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1"/>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2" w:name="_Toc216858335"/>
            <w:bookmarkStart w:id="173" w:name="_Toc220675889"/>
            <w:r w:rsidRPr="0069639D">
              <w:rPr>
                <w:b w:val="0"/>
                <w:bCs w:val="0"/>
              </w:rPr>
              <w:t>For channel coding of up to K=11 bits, the corresponding NR channel codes are reused, i.e.</w:t>
            </w:r>
            <w:bookmarkEnd w:id="172"/>
            <w:bookmarkEnd w:id="173"/>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4" w:name="_Toc220675890"/>
            <w:bookmarkStart w:id="175" w:name="_Toc216858336"/>
            <w:r w:rsidRPr="0069639D">
              <w:rPr>
                <w:b w:val="0"/>
                <w:bCs w:val="0"/>
              </w:rPr>
              <w:t>K=1: repetition code</w:t>
            </w:r>
            <w:bookmarkEnd w:id="174"/>
            <w:bookmarkEnd w:id="175"/>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6" w:name="_Toc220675891"/>
            <w:bookmarkStart w:id="177" w:name="_Toc216858337"/>
            <w:r w:rsidRPr="0069639D">
              <w:rPr>
                <w:b w:val="0"/>
                <w:bCs w:val="0"/>
              </w:rPr>
              <w:t>K=2: simplex code</w:t>
            </w:r>
            <w:bookmarkEnd w:id="176"/>
            <w:bookmarkEnd w:id="177"/>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8" w:name="_Toc216858338"/>
            <w:bookmarkStart w:id="179" w:name="_Toc220675892"/>
            <w:r w:rsidRPr="0069639D">
              <w:rPr>
                <w:b w:val="0"/>
                <w:bCs w:val="0"/>
              </w:rPr>
              <w:t>3&lt;=K&lt;=11: LTE/NR Reed-Mueller code</w:t>
            </w:r>
            <w:bookmarkEnd w:id="178"/>
            <w:r w:rsidRPr="0069639D">
              <w:rPr>
                <w:b w:val="0"/>
                <w:bCs w:val="0"/>
              </w:rPr>
              <w:t>.</w:t>
            </w:r>
            <w:bookmarkEnd w:id="179"/>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Consider eBCH based SBLC codes for uplink control channels when k is between 3-11 bits.</w:t>
            </w:r>
          </w:p>
          <w:p w14:paraId="28A51F94"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lastRenderedPageBreak/>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9"/>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80"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80"/>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1" w:name="_Ref210381634"/>
            <w:bookmarkStart w:id="182"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1"/>
            <w:r w:rsidRPr="0069639D">
              <w:rPr>
                <w:rFonts w:eastAsia="宋体"/>
                <w:b w:val="0"/>
                <w:bCs w:val="0"/>
              </w:rPr>
              <w:t xml:space="preserve"> FFS the maximal payload size K and coded bits N values supported by this new code.</w:t>
            </w:r>
            <w:bookmarkEnd w:id="182"/>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3"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3"/>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4"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4"/>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rsidP="00FC3EBB">
      <w:pPr>
        <w:pStyle w:val="af9"/>
        <w:numPr>
          <w:ilvl w:val="0"/>
          <w:numId w:val="72"/>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rsidP="00FC3EBB">
      <w:pPr>
        <w:pStyle w:val="af9"/>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9"/>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9"/>
        <w:numPr>
          <w:ilvl w:val="0"/>
          <w:numId w:val="72"/>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9"/>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9"/>
        <w:numPr>
          <w:ilvl w:val="2"/>
          <w:numId w:val="73"/>
        </w:numPr>
        <w:ind w:firstLineChars="0"/>
        <w:rPr>
          <w:lang w:eastAsia="zh-CN"/>
        </w:rPr>
      </w:pPr>
      <w:r w:rsidRPr="009778C9">
        <w:rPr>
          <w:rFonts w:hint="eastAsia"/>
          <w:lang w:val="en-US" w:eastAsia="zh-CN"/>
        </w:rPr>
        <w:lastRenderedPageBreak/>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9"/>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9"/>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9"/>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9"/>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9"/>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9"/>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9"/>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FC3EBB">
      <w:pPr>
        <w:pStyle w:val="af9"/>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9"/>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9"/>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9"/>
        <w:numPr>
          <w:ilvl w:val="2"/>
          <w:numId w:val="73"/>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rsidP="00FC3EBB">
      <w:pPr>
        <w:pStyle w:val="af9"/>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9"/>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9"/>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9"/>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9"/>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宋体"/>
          <w:szCs w:val="22"/>
        </w:rPr>
        <w:t>Gold sequences + QPSK has better performance than RM codes + QPSK</w:t>
      </w:r>
      <w:r w:rsidR="00656826">
        <w:rPr>
          <w:rFonts w:eastAsia="宋体" w:hint="eastAsia"/>
          <w:szCs w:val="22"/>
          <w:lang w:eastAsia="zh-CN"/>
        </w:rPr>
        <w:t>.</w:t>
      </w:r>
    </w:p>
    <w:p w14:paraId="07D6377F" w14:textId="05C8038E" w:rsidR="009E765E" w:rsidRPr="005B1C04" w:rsidRDefault="00B72578" w:rsidP="00FC3EBB">
      <w:pPr>
        <w:pStyle w:val="af9"/>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9"/>
        <w:numPr>
          <w:ilvl w:val="0"/>
          <w:numId w:val="106"/>
        </w:numPr>
        <w:ind w:firstLineChars="0"/>
        <w:rPr>
          <w:rFonts w:eastAsiaTheme="minorEastAsia"/>
          <w:lang w:eastAsia="zh-CN"/>
        </w:rPr>
      </w:pPr>
      <w:r w:rsidRPr="00F13412">
        <w:rPr>
          <w:rFonts w:eastAsiaTheme="minorEastAsia" w:hint="eastAsia"/>
          <w:lang w:eastAsia="zh-CN"/>
        </w:rPr>
        <w:lastRenderedPageBreak/>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宋体"/>
          <w:szCs w:val="22"/>
        </w:rPr>
        <w:t>Gold sequences + QPSK</w:t>
      </w:r>
      <w:r w:rsidR="003D75BC">
        <w:rPr>
          <w:rFonts w:eastAsia="宋体" w:hint="eastAsia"/>
          <w:szCs w:val="22"/>
          <w:lang w:eastAsia="zh-CN"/>
        </w:rPr>
        <w:t>.</w:t>
      </w:r>
    </w:p>
    <w:p w14:paraId="237B797B" w14:textId="6982BDD3" w:rsidR="00F13412" w:rsidRPr="00F13412" w:rsidRDefault="001612B4"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59BA063B" w14:textId="77777777" w:rsidR="008F2EBD" w:rsidRPr="00E45721" w:rsidRDefault="008F2EB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9"/>
              <w:numPr>
                <w:ilvl w:val="1"/>
                <w:numId w:val="75"/>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sidRPr="00082BA5">
              <w:rPr>
                <w:rFonts w:eastAsia="宋体"/>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5"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5"/>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6"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6"/>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7"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7"/>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w:t>
            </w:r>
            <w:r>
              <w:rPr>
                <w:rFonts w:eastAsia="等线"/>
                <w:lang w:val="en-US" w:eastAsia="zh-CN"/>
              </w:rPr>
              <w:lastRenderedPageBreak/>
              <w:t xml:space="preserve">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lastRenderedPageBreak/>
              <w:t>CSCN</w:t>
            </w:r>
          </w:p>
        </w:tc>
        <w:tc>
          <w:tcPr>
            <w:tcW w:w="7932" w:type="dxa"/>
          </w:tcPr>
          <w:p w14:paraId="445EE8BE" w14:textId="77777777" w:rsidR="009E765E" w:rsidRPr="00A80F95" w:rsidRDefault="00C0597A" w:rsidP="00FC3EBB">
            <w:pPr>
              <w:pStyle w:val="af9"/>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rsidP="00FC3EBB">
      <w:pPr>
        <w:pStyle w:val="af9"/>
        <w:numPr>
          <w:ilvl w:val="0"/>
          <w:numId w:val="76"/>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lastRenderedPageBreak/>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lastRenderedPageBreak/>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8"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8"/>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lastRenderedPageBreak/>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 : number of total data integrity check bits</w:t>
            </w:r>
          </w:p>
          <w:p w14:paraId="16B77452" w14:textId="073DAF76" w:rsidR="009E765E" w:rsidRPr="00A80F95" w:rsidRDefault="00E417F7"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9"/>
              <w:numPr>
                <w:ilvl w:val="0"/>
                <w:numId w:val="7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rsidP="00FC3EBB">
            <w:pPr>
              <w:pStyle w:val="af9"/>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Lenovo: </w:t>
            </w:r>
          </w:p>
          <w:p w14:paraId="3EE4CB32"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9"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9"/>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9"/>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lang w:val="fr-CA"/>
              </w:rPr>
              <w:t>100MHz (273 PRBs @ 30kHz SCS)</w:t>
            </w:r>
            <w:r w:rsidRPr="008F2EBD">
              <w:rPr>
                <w:rFonts w:eastAsia="宋体"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lastRenderedPageBreak/>
              <w:t>2 DMRS symbol, no additional for fading channel: vivo</w:t>
            </w:r>
          </w:p>
          <w:p w14:paraId="3CF60A2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9"/>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宋体" w:hAnsi="Cambria Math" w:hint="eastAsia"/>
                <w:lang w:val="fr-CA" w:eastAsia="zh-CN"/>
              </w:rPr>
              <w:t>: Lenovo</w:t>
            </w:r>
          </w:p>
          <w:p w14:paraId="13D5743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rsidP="00FC3EBB">
            <w:pPr>
              <w:pStyle w:val="af9"/>
              <w:numPr>
                <w:ilvl w:val="1"/>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9"/>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3062F" w14:paraId="18228607" w14:textId="77777777">
        <w:trPr>
          <w:jc w:val="center"/>
        </w:trPr>
        <w:tc>
          <w:tcPr>
            <w:tcW w:w="1838" w:type="dxa"/>
            <w:shd w:val="clear" w:color="auto" w:fill="FFFFFF" w:themeFill="background1"/>
          </w:tcPr>
          <w:p w14:paraId="3156A59A" w14:textId="77777777" w:rsidR="0033062F" w:rsidRDefault="0033062F" w:rsidP="0033062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33062F" w:rsidRDefault="0033062F" w:rsidP="0033062F">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9"/>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lastRenderedPageBreak/>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等线"/>
          <w:bCs/>
        </w:rPr>
      </w:pPr>
      <w:r>
        <w:rPr>
          <w:rFonts w:eastAsia="等线"/>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lastRenderedPageBreak/>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9"/>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rsidP="00FC3EBB">
      <w:pPr>
        <w:pStyle w:val="af9"/>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lastRenderedPageBreak/>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3FA5B6D6"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9"/>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9"/>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9"/>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9"/>
        <w:numPr>
          <w:ilvl w:val="0"/>
          <w:numId w:val="88"/>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E6CC4" w14:textId="77777777" w:rsidR="00E417F7" w:rsidRDefault="00E417F7">
      <w:pPr>
        <w:spacing w:line="240" w:lineRule="auto"/>
      </w:pPr>
      <w:r>
        <w:separator/>
      </w:r>
    </w:p>
  </w:endnote>
  <w:endnote w:type="continuationSeparator" w:id="0">
    <w:p w14:paraId="61D5D552" w14:textId="77777777" w:rsidR="00E417F7" w:rsidRDefault="00E41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altName w:val="Times New Roman"/>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44040"/>
      <w:docPartObj>
        <w:docPartGallery w:val="Page Numbers (Bottom of Page)"/>
        <w:docPartUnique/>
      </w:docPartObj>
    </w:sdtPr>
    <w:sdtEndPr/>
    <w:sdtContent>
      <w:p w14:paraId="0D87BF53" w14:textId="5417302D" w:rsidR="00BD2230" w:rsidRDefault="00BD2230" w:rsidP="00A54582">
        <w:pPr>
          <w:pStyle w:val="ab"/>
          <w:jc w:val="center"/>
        </w:pPr>
        <w:r>
          <w:fldChar w:fldCharType="begin"/>
        </w:r>
        <w:r>
          <w:instrText>PAGE   \* MERGEFORMAT</w:instrText>
        </w:r>
        <w:r>
          <w:fldChar w:fldCharType="separate"/>
        </w:r>
        <w:r w:rsidR="00E66D62" w:rsidRPr="00E66D62">
          <w:rPr>
            <w:noProof/>
            <w:lang w:val="zh-CN" w:eastAsia="zh-CN"/>
          </w:rPr>
          <w:t>48</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0974" w14:textId="77777777" w:rsidR="00E417F7" w:rsidRDefault="00E417F7">
      <w:pPr>
        <w:spacing w:after="0"/>
      </w:pPr>
      <w:r>
        <w:separator/>
      </w:r>
    </w:p>
  </w:footnote>
  <w:footnote w:type="continuationSeparator" w:id="0">
    <w:p w14:paraId="75A99DDF" w14:textId="77777777" w:rsidR="00E417F7" w:rsidRDefault="00E417F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3"/>
  </w:num>
  <w:num w:numId="3">
    <w:abstractNumId w:val="12"/>
  </w:num>
  <w:num w:numId="4">
    <w:abstractNumId w:val="67"/>
  </w:num>
  <w:num w:numId="5">
    <w:abstractNumId w:val="3"/>
  </w:num>
  <w:num w:numId="6">
    <w:abstractNumId w:val="1"/>
  </w:num>
  <w:num w:numId="7">
    <w:abstractNumId w:val="2"/>
  </w:num>
  <w:num w:numId="8">
    <w:abstractNumId w:val="62"/>
  </w:num>
  <w:num w:numId="9">
    <w:abstractNumId w:val="52"/>
  </w:num>
  <w:num w:numId="10">
    <w:abstractNumId w:val="101"/>
  </w:num>
  <w:num w:numId="11">
    <w:abstractNumId w:val="63"/>
  </w:num>
  <w:num w:numId="12">
    <w:abstractNumId w:val="99"/>
  </w:num>
  <w:num w:numId="13">
    <w:abstractNumId w:val="5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6"/>
  </w:num>
  <w:num w:numId="17">
    <w:abstractNumId w:val="47"/>
  </w:num>
  <w:num w:numId="18">
    <w:abstractNumId w:val="81"/>
  </w:num>
  <w:num w:numId="19">
    <w:abstractNumId w:val="23"/>
  </w:num>
  <w:num w:numId="20">
    <w:abstractNumId w:val="86"/>
  </w:num>
  <w:num w:numId="21">
    <w:abstractNumId w:val="91"/>
  </w:num>
  <w:num w:numId="22">
    <w:abstractNumId w:val="28"/>
  </w:num>
  <w:num w:numId="23">
    <w:abstractNumId w:val="98"/>
  </w:num>
  <w:num w:numId="24">
    <w:abstractNumId w:val="26"/>
  </w:num>
  <w:num w:numId="25">
    <w:abstractNumId w:val="60"/>
  </w:num>
  <w:num w:numId="26">
    <w:abstractNumId w:val="83"/>
  </w:num>
  <w:num w:numId="27">
    <w:abstractNumId w:val="93"/>
  </w:num>
  <w:num w:numId="28">
    <w:abstractNumId w:val="50"/>
  </w:num>
  <w:num w:numId="29">
    <w:abstractNumId w:val="24"/>
  </w:num>
  <w:num w:numId="30">
    <w:abstractNumId w:val="4"/>
  </w:num>
  <w:num w:numId="31">
    <w:abstractNumId w:val="49"/>
  </w:num>
  <w:num w:numId="32">
    <w:abstractNumId w:val="45"/>
  </w:num>
  <w:num w:numId="33">
    <w:abstractNumId w:val="5"/>
  </w:num>
  <w:num w:numId="34">
    <w:abstractNumId w:val="64"/>
  </w:num>
  <w:num w:numId="35">
    <w:abstractNumId w:val="9"/>
  </w:num>
  <w:num w:numId="36">
    <w:abstractNumId w:val="37"/>
  </w:num>
  <w:num w:numId="37">
    <w:abstractNumId w:val="76"/>
  </w:num>
  <w:num w:numId="38">
    <w:abstractNumId w:val="39"/>
  </w:num>
  <w:num w:numId="39">
    <w:abstractNumId w:val="68"/>
  </w:num>
  <w:num w:numId="40">
    <w:abstractNumId w:val="34"/>
  </w:num>
  <w:num w:numId="41">
    <w:abstractNumId w:val="70"/>
  </w:num>
  <w:num w:numId="42">
    <w:abstractNumId w:val="57"/>
  </w:num>
  <w:num w:numId="43">
    <w:abstractNumId w:val="31"/>
  </w:num>
  <w:num w:numId="44">
    <w:abstractNumId w:val="104"/>
  </w:num>
  <w:num w:numId="45">
    <w:abstractNumId w:val="0"/>
  </w:num>
  <w:num w:numId="46">
    <w:abstractNumId w:val="27"/>
  </w:num>
  <w:num w:numId="47">
    <w:abstractNumId w:val="84"/>
  </w:num>
  <w:num w:numId="48">
    <w:abstractNumId w:val="61"/>
  </w:num>
  <w:num w:numId="49">
    <w:abstractNumId w:val="88"/>
  </w:num>
  <w:num w:numId="50">
    <w:abstractNumId w:val="6"/>
  </w:num>
  <w:num w:numId="51">
    <w:abstractNumId w:val="15"/>
  </w:num>
  <w:num w:numId="52">
    <w:abstractNumId w:val="80"/>
  </w:num>
  <w:num w:numId="53">
    <w:abstractNumId w:val="59"/>
  </w:num>
  <w:num w:numId="54">
    <w:abstractNumId w:val="40"/>
  </w:num>
  <w:num w:numId="55">
    <w:abstractNumId w:val="11"/>
  </w:num>
  <w:num w:numId="56">
    <w:abstractNumId w:val="65"/>
  </w:num>
  <w:num w:numId="57">
    <w:abstractNumId w:val="36"/>
  </w:num>
  <w:num w:numId="58">
    <w:abstractNumId w:val="41"/>
  </w:num>
  <w:num w:numId="59">
    <w:abstractNumId w:val="85"/>
  </w:num>
  <w:num w:numId="60">
    <w:abstractNumId w:val="92"/>
  </w:num>
  <w:num w:numId="61">
    <w:abstractNumId w:val="7"/>
  </w:num>
  <w:num w:numId="62">
    <w:abstractNumId w:val="13"/>
  </w:num>
  <w:num w:numId="63">
    <w:abstractNumId w:val="77"/>
  </w:num>
  <w:num w:numId="64">
    <w:abstractNumId w:val="46"/>
  </w:num>
  <w:num w:numId="65">
    <w:abstractNumId w:val="10"/>
  </w:num>
  <w:num w:numId="66">
    <w:abstractNumId w:val="48"/>
  </w:num>
  <w:num w:numId="67">
    <w:abstractNumId w:val="90"/>
  </w:num>
  <w:num w:numId="68">
    <w:abstractNumId w:val="100"/>
  </w:num>
  <w:num w:numId="69">
    <w:abstractNumId w:val="73"/>
  </w:num>
  <w:num w:numId="70">
    <w:abstractNumId w:val="74"/>
  </w:num>
  <w:num w:numId="71">
    <w:abstractNumId w:val="44"/>
  </w:num>
  <w:num w:numId="72">
    <w:abstractNumId w:val="71"/>
  </w:num>
  <w:num w:numId="73">
    <w:abstractNumId w:val="103"/>
  </w:num>
  <w:num w:numId="74">
    <w:abstractNumId w:val="69"/>
  </w:num>
  <w:num w:numId="75">
    <w:abstractNumId w:val="66"/>
  </w:num>
  <w:num w:numId="76">
    <w:abstractNumId w:val="17"/>
  </w:num>
  <w:num w:numId="77">
    <w:abstractNumId w:val="55"/>
  </w:num>
  <w:num w:numId="78">
    <w:abstractNumId w:val="95"/>
  </w:num>
  <w:num w:numId="79">
    <w:abstractNumId w:val="75"/>
  </w:num>
  <w:num w:numId="80">
    <w:abstractNumId w:val="35"/>
  </w:num>
  <w:num w:numId="81">
    <w:abstractNumId w:val="16"/>
  </w:num>
  <w:num w:numId="82">
    <w:abstractNumId w:val="94"/>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num>
  <w:num w:numId="85">
    <w:abstractNumId w:val="30"/>
  </w:num>
  <w:num w:numId="86">
    <w:abstractNumId w:val="18"/>
  </w:num>
  <w:num w:numId="87">
    <w:abstractNumId w:val="38"/>
  </w:num>
  <w:num w:numId="88">
    <w:abstractNumId w:val="78"/>
  </w:num>
  <w:num w:numId="89">
    <w:abstractNumId w:val="33"/>
  </w:num>
  <w:num w:numId="90">
    <w:abstractNumId w:val="53"/>
  </w:num>
  <w:num w:numId="91">
    <w:abstractNumId w:val="51"/>
  </w:num>
  <w:num w:numId="92">
    <w:abstractNumId w:val="82"/>
  </w:num>
  <w:num w:numId="93">
    <w:abstractNumId w:val="79"/>
  </w:num>
  <w:num w:numId="94">
    <w:abstractNumId w:val="25"/>
  </w:num>
  <w:num w:numId="95">
    <w:abstractNumId w:val="87"/>
  </w:num>
  <w:num w:numId="96">
    <w:abstractNumId w:val="19"/>
  </w:num>
  <w:num w:numId="97">
    <w:abstractNumId w:val="72"/>
  </w:num>
  <w:num w:numId="98">
    <w:abstractNumId w:val="58"/>
  </w:num>
  <w:num w:numId="99">
    <w:abstractNumId w:val="20"/>
  </w:num>
  <w:num w:numId="100">
    <w:abstractNumId w:val="22"/>
  </w:num>
  <w:num w:numId="101">
    <w:abstractNumId w:val="97"/>
  </w:num>
  <w:num w:numId="102">
    <w:abstractNumId w:val="96"/>
  </w:num>
  <w:num w:numId="103">
    <w:abstractNumId w:val="14"/>
  </w:num>
  <w:num w:numId="104">
    <w:abstractNumId w:val="21"/>
  </w:num>
  <w:num w:numId="105">
    <w:abstractNumId w:val="102"/>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出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99312-9649-4725-84CA-C681E1E84F45}">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73</Pages>
  <Words>33462</Words>
  <Characters>190740</Characters>
  <Application>Microsoft Office Word</Application>
  <DocSecurity>0</DocSecurity>
  <Lines>1589</Lines>
  <Paragraphs>447</Paragraphs>
  <ScaleCrop>false</ScaleCrop>
  <Company/>
  <LinksUpToDate>false</LinksUpToDate>
  <CharactersWithSpaces>223755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X13</cp:lastModifiedBy>
  <cp:revision>2</cp:revision>
  <dcterms:created xsi:type="dcterms:W3CDTF">2026-02-09T09:03:00Z</dcterms:created>
  <dcterms:modified xsi:type="dcterms:W3CDTF">2026-02-09T09:03:00Z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