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9"/>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w:t>
            </w:r>
            <w:proofErr w:type="gramStart"/>
            <w:r w:rsidR="00C0597A" w:rsidRPr="004D6E7D">
              <w:rPr>
                <w:rFonts w:eastAsia="PMingLiU"/>
                <w:iCs/>
                <w:lang w:val="en-US" w:eastAsia="zh-TW"/>
              </w:rPr>
              <w:t>independency</w:t>
            </w:r>
            <w:proofErr w:type="gramEnd"/>
            <w:r w:rsidR="00C0597A" w:rsidRPr="004D6E7D">
              <w:rPr>
                <w:rFonts w:eastAsia="PMingLiU"/>
                <w:iCs/>
                <w:lang w:val="en-US" w:eastAsia="zh-TW"/>
              </w:rPr>
              <w:t xml:space="preserve"> in the layer decoding   </w:t>
            </w:r>
          </w:p>
          <w:p w14:paraId="77075F86" w14:textId="51720722"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af9"/>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9"/>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9"/>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gramStart"/>
            <w:r w:rsidRPr="004D6E7D">
              <w:rPr>
                <w:iCs/>
              </w:rPr>
              <w:t>Zc,max</w:t>
            </w:r>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gramStart"/>
            <w:r w:rsidRPr="004D6E7D">
              <w:rPr>
                <w:iCs/>
              </w:rPr>
              <w:t>Zc,max</w:t>
            </w:r>
            <w:proofErr w:type="gramEnd"/>
            <w:r w:rsidRPr="004D6E7D">
              <w:rPr>
                <w:iCs/>
              </w:rPr>
              <w:t xml:space="preserve"> can materially increase decoder area/power due to larger message memory, motivating careful consideration of multi-instance scaling versus </w:t>
            </w:r>
            <w:proofErr w:type="gramStart"/>
            <w:r w:rsidRPr="004D6E7D">
              <w:rPr>
                <w:iCs/>
              </w:rPr>
              <w:t>Zc,max</w:t>
            </w:r>
            <w:proofErr w:type="gram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gramStart"/>
            <w:r w:rsidRPr="004D6E7D">
              <w:rPr>
                <w:iCs/>
              </w:rPr>
              <w:t>Zc,max</w:t>
            </w:r>
            <w:proofErr w:type="gramEnd"/>
            <w:r w:rsidRPr="004D6E7D">
              <w:rPr>
                <w:iCs/>
              </w:rPr>
              <w:t>,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9"/>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AccelerComm,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000000"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000000"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af9"/>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CR_min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bl>
    <w:p w14:paraId="70A3453B" w14:textId="77777777" w:rsidR="009E765E" w:rsidRDefault="009E765E">
      <w:pPr>
        <w:rPr>
          <w:rFonts w:eastAsiaTheme="minorEastAsia"/>
          <w:lang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w:t>
            </w:r>
            <w:proofErr w:type="gramStart"/>
            <w:r w:rsidRPr="00C71105">
              <w:rPr>
                <w:kern w:val="2"/>
                <w:lang w:eastAsia="zh-CN"/>
              </w:rPr>
              <w:t>and also</w:t>
            </w:r>
            <w:proofErr w:type="gramEnd"/>
            <w:r w:rsidRPr="00C71105">
              <w:rPr>
                <w:kern w:val="2"/>
                <w:lang w:eastAsia="zh-CN"/>
              </w:rPr>
              <w:t xml:space="preserve">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Multi-edge QC-LDPC refers to "some check nodes are connected to more than one variable nodes within one circulant";</w:t>
            </w:r>
          </w:p>
          <w:p w14:paraId="73196E1E"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lastRenderedPageBreak/>
              <w:t>Proposal 4: To support an increase in lifting size, there are two options to be considered.</w:t>
            </w:r>
          </w:p>
          <w:p w14:paraId="3CF235B9"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 xml:space="preserve">New BG design including, decoding parallelism optimization, number of iterations reduction, </w:t>
            </w:r>
            <w:proofErr w:type="gramStart"/>
            <w:r w:rsidRPr="00210723">
              <w:t>and etc.</w:t>
            </w:r>
            <w:proofErr w:type="gramEnd"/>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lastRenderedPageBreak/>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sidRPr="00210723">
              <w:rPr>
                <w:b w:val="0"/>
                <w:bCs w:val="0"/>
                <w:lang w:eastAsia="zh-CN"/>
              </w:rPr>
              <w:t>region</w:t>
            </w:r>
            <w:proofErr w:type="gramEnd"/>
            <w:r w:rsidRPr="00210723">
              <w:rPr>
                <w:b w:val="0"/>
                <w:bCs w:val="0"/>
                <w:lang w:eastAsia="zh-CN"/>
              </w:rPr>
              <w:t xml:space="preserve">, but the gain over Option 1 is </w:t>
            </w:r>
            <w:proofErr w:type="gramStart"/>
            <w:r w:rsidRPr="00210723">
              <w:rPr>
                <w:b w:val="0"/>
                <w:bCs w:val="0"/>
                <w:lang w:eastAsia="zh-CN"/>
              </w:rPr>
              <w:t>similar to</w:t>
            </w:r>
            <w:proofErr w:type="gramEnd"/>
            <w:r w:rsidRPr="00210723">
              <w:rPr>
                <w:b w:val="0"/>
                <w:bCs w:val="0"/>
                <w:lang w:eastAsia="zh-CN"/>
              </w:rPr>
              <w:t xml:space="preserve">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lastRenderedPageBreak/>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lastRenderedPageBreak/>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lastRenderedPageBreak/>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FC3EBB">
            <w:pPr>
              <w:pStyle w:val="af9"/>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9"/>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lastRenderedPageBreak/>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9"/>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9"/>
              <w:widowControl w:val="0"/>
              <w:numPr>
                <w:ilvl w:val="0"/>
                <w:numId w:val="92"/>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9"/>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AccelerComm, Orange, Vodafone</w:t>
            </w:r>
          </w:p>
        </w:tc>
        <w:tc>
          <w:tcPr>
            <w:tcW w:w="8030" w:type="dxa"/>
          </w:tcPr>
          <w:p w14:paraId="3DF10B88" w14:textId="77777777" w:rsidR="000F2188" w:rsidRPr="00210723" w:rsidRDefault="000F2188" w:rsidP="00623BC3">
            <w:pPr>
              <w:spacing w:after="0" w:line="240" w:lineRule="auto"/>
            </w:pPr>
            <w:r w:rsidRPr="00210723">
              <w:t xml:space="preserve">Observation 3: A 5G NR LDPC decoder </w:t>
            </w:r>
            <w:proofErr w:type="gramStart"/>
            <w:r w:rsidRPr="00210723">
              <w:t>is capable of achieving</w:t>
            </w:r>
            <w:proofErr w:type="gramEnd"/>
            <w:r w:rsidRPr="00210723">
              <w:t xml:space="preserve">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 xml:space="preserve">Proposal 3: Any increase in LDPC decoder chip area owing to the addition of support for a new BG3 should be considered critically, </w:t>
            </w:r>
            <w:proofErr w:type="gramStart"/>
            <w:r w:rsidRPr="00210723">
              <w:t>in light of</w:t>
            </w:r>
            <w:proofErr w:type="gramEnd"/>
            <w:r w:rsidRPr="00210723">
              <w:t xml:space="preserve">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w:t>
            </w:r>
            <w:proofErr w:type="gramStart"/>
            <w:r w:rsidRPr="00210723">
              <w:rPr>
                <w:rFonts w:ascii="Times New Roman" w:eastAsia="Times New Roman" w:hAnsi="Times New Roman"/>
                <w:sz w:val="20"/>
                <w:szCs w:val="20"/>
                <w:lang w:val="en-GB"/>
              </w:rPr>
              <w:t>i,j</w:t>
            </w:r>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lastRenderedPageBreak/>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Verizon, CMCC, China Telecom, China Unicom, Samsung, ZTE, Sanechips,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3: For data rate beyond NR range, only new 6GR BG(s) is supported. For data rate within NR range, new 6GR BG(s) </w:t>
            </w:r>
            <w:proofErr w:type="gramStart"/>
            <w:r w:rsidRPr="00210723">
              <w:rPr>
                <w:rFonts w:eastAsia="等线"/>
                <w:lang w:val="en-US" w:eastAsia="zh-CN"/>
              </w:rPr>
              <w:t>is considered to be</w:t>
            </w:r>
            <w:proofErr w:type="gramEnd"/>
            <w:r w:rsidRPr="00210723">
              <w:rPr>
                <w:rFonts w:eastAsia="等线"/>
                <w:lang w:val="en-US" w:eastAsia="zh-CN"/>
              </w:rPr>
              <w:t xml:space="preserv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9"/>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9"/>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FC3EBB">
                  <w:pPr>
                    <w:pStyle w:val="af9"/>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9"/>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lastRenderedPageBreak/>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9"/>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9"/>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9"/>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9"/>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gramStart"/>
            <w:r w:rsidRPr="00210723">
              <w:t>Zc,max</w:t>
            </w:r>
            <w:proofErr w:type="gramEnd"/>
            <w:r w:rsidRPr="00210723">
              <w:t xml:space="preserve"> = 384) limits the code block systematic payload (Kb·Zc), which can increase transport-block segmentation overhead and decoding latency for very large payloads. This motivates parallelism-oriented extension directions such as increasing </w:t>
            </w:r>
            <w:proofErr w:type="gramStart"/>
            <w:r w:rsidRPr="00210723">
              <w:t>Zc,max</w:t>
            </w:r>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lastRenderedPageBreak/>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gramStart"/>
            <w:r w:rsidRPr="00210723">
              <w:t>Zc,max</w:t>
            </w:r>
            <w:proofErr w:type="gramEnd"/>
            <w:r w:rsidRPr="00210723">
              <w:t xml:space="preserve"> can materially increase decoder area/power due to larger message memory, motivating careful consideration of multi-instance scaling versus </w:t>
            </w:r>
            <w:proofErr w:type="gramStart"/>
            <w:r w:rsidRPr="00210723">
              <w:t>Zc,max</w:t>
            </w:r>
            <w:proofErr w:type="gram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w:t>
            </w:r>
            <w:proofErr w:type="gramStart"/>
            <w:r w:rsidRPr="00210723">
              <w:rPr>
                <w:rFonts w:eastAsia="宋体"/>
              </w:rPr>
              <w:t>variable</w:t>
            </w:r>
            <w:proofErr w:type="gramEnd"/>
            <w:r w:rsidRPr="00210723">
              <w:rPr>
                <w:rFonts w:eastAsia="宋体"/>
              </w:rPr>
              <w:t xml:space="preserv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9"/>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FC3EBB">
            <w:pPr>
              <w:pStyle w:val="af9"/>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宋体"/>
                <w:lang w:eastAsia="zh-TW"/>
              </w:rPr>
              <w:t xml:space="preserve">Proposal 2: Any increase in LDPC decoder chip area owing to the addition of support for a new BG3 should be considered critically, </w:t>
            </w:r>
            <w:proofErr w:type="gramStart"/>
            <w:r w:rsidRPr="00210723">
              <w:rPr>
                <w:rFonts w:eastAsia="宋体"/>
                <w:lang w:eastAsia="zh-TW"/>
              </w:rPr>
              <w:t>in light of</w:t>
            </w:r>
            <w:proofErr w:type="gramEnd"/>
            <w:r w:rsidRPr="00210723">
              <w:rPr>
                <w:rFonts w:eastAsia="宋体"/>
                <w:lang w:eastAsia="zh-TW"/>
              </w:rPr>
              <w:t xml:space="preserve">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t>CSCN</w:t>
            </w:r>
          </w:p>
        </w:tc>
        <w:tc>
          <w:tcPr>
            <w:tcW w:w="8030" w:type="dxa"/>
          </w:tcPr>
          <w:p w14:paraId="1E296D1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tradeoff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lastRenderedPageBreak/>
        <w:t>H</w:t>
      </w:r>
      <w:r>
        <w:rPr>
          <w:rFonts w:eastAsia="等线"/>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FC3EBB">
      <w:pPr>
        <w:pStyle w:val="af9"/>
        <w:numPr>
          <w:ilvl w:val="1"/>
          <w:numId w:val="47"/>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FC3EBB">
      <w:pPr>
        <w:pStyle w:val="af9"/>
        <w:numPr>
          <w:ilvl w:val="0"/>
          <w:numId w:val="4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FC3EBB">
      <w:pPr>
        <w:pStyle w:val="af9"/>
        <w:numPr>
          <w:ilvl w:val="0"/>
          <w:numId w:val="4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FC3EBB">
      <w:pPr>
        <w:pStyle w:val="af9"/>
        <w:numPr>
          <w:ilvl w:val="0"/>
          <w:numId w:val="4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lastRenderedPageBreak/>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9"/>
        <w:numPr>
          <w:ilvl w:val="0"/>
          <w:numId w:val="4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FC3EBB">
      <w:pPr>
        <w:pStyle w:val="af9"/>
        <w:numPr>
          <w:ilvl w:val="0"/>
          <w:numId w:val="4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Nokia, Huawei, CATT(*),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FC3EBB">
      <w:pPr>
        <w:pStyle w:val="af9"/>
        <w:numPr>
          <w:ilvl w:val="0"/>
          <w:numId w:val="4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FC3EBB">
      <w:pPr>
        <w:pStyle w:val="af9"/>
        <w:numPr>
          <w:ilvl w:val="1"/>
          <w:numId w:val="4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FC3EBB">
      <w:pPr>
        <w:pStyle w:val="af9"/>
        <w:numPr>
          <w:ilvl w:val="0"/>
          <w:numId w:val="4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FC3EBB">
      <w:pPr>
        <w:pStyle w:val="af9"/>
        <w:numPr>
          <w:ilvl w:val="0"/>
          <w:numId w:val="4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FC3EBB">
      <w:pPr>
        <w:pStyle w:val="af9"/>
        <w:numPr>
          <w:ilvl w:val="0"/>
          <w:numId w:val="4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FC3EBB">
      <w:pPr>
        <w:numPr>
          <w:ilvl w:val="0"/>
          <w:numId w:val="4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FC3EBB">
      <w:pPr>
        <w:pStyle w:val="af9"/>
        <w:numPr>
          <w:ilvl w:val="0"/>
          <w:numId w:val="4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FC3EBB">
      <w:pPr>
        <w:pStyle w:val="af9"/>
        <w:numPr>
          <w:ilvl w:val="0"/>
          <w:numId w:val="4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FC3EBB">
      <w:pPr>
        <w:pStyle w:val="af9"/>
        <w:numPr>
          <w:ilvl w:val="0"/>
          <w:numId w:val="4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8F2EBD" w:rsidRDefault="00D46418" w:rsidP="00FC3EBB">
      <w:pPr>
        <w:pStyle w:val="af9"/>
        <w:numPr>
          <w:ilvl w:val="0"/>
          <w:numId w:val="48"/>
        </w:numPr>
        <w:ind w:firstLineChars="0"/>
        <w:jc w:val="left"/>
        <w:rPr>
          <w:rFonts w:eastAsia="等线"/>
          <w:bCs/>
          <w:lang w:val="fr-CA" w:eastAsia="zh-CN"/>
        </w:rPr>
      </w:pPr>
      <w:r w:rsidRPr="008F2EBD">
        <w:rPr>
          <w:rFonts w:eastAsia="等线"/>
          <w:bCs/>
          <w:lang w:val="fr-CA" w:eastAsia="zh-CN"/>
        </w:rPr>
        <w:t xml:space="preserve">16896: </w:t>
      </w:r>
      <w:r w:rsidR="00EF2DAF" w:rsidRPr="008F2EBD">
        <w:rPr>
          <w:rFonts w:eastAsia="等线" w:hint="eastAsia"/>
          <w:bCs/>
          <w:lang w:val="fr-CA" w:eastAsia="zh-CN"/>
        </w:rPr>
        <w:t>5 sources (</w:t>
      </w:r>
      <w:r w:rsidRPr="008F2EBD">
        <w:rPr>
          <w:rFonts w:eastAsia="等线"/>
          <w:bCs/>
          <w:lang w:val="fr-CA" w:eastAsia="zh-CN"/>
        </w:rPr>
        <w:t xml:space="preserve">CATT </w:t>
      </w:r>
      <w:r w:rsidRPr="008F2EBD">
        <w:rPr>
          <w:rFonts w:eastAsia="宋体"/>
          <w:color w:val="000000"/>
          <w:lang w:val="fr-CA" w:eastAsia="zh-CN" w:bidi="ar"/>
        </w:rPr>
        <w:t>(*)</w:t>
      </w:r>
      <w:r w:rsidRPr="008F2EBD">
        <w:rPr>
          <w:rFonts w:eastAsia="等线"/>
          <w:lang w:val="fr-CA" w:eastAsia="zh-CN"/>
        </w:rPr>
        <w:t xml:space="preserve">, vivo </w:t>
      </w:r>
      <w:r w:rsidRPr="008F2EBD">
        <w:rPr>
          <w:rFonts w:eastAsia="宋体"/>
          <w:color w:val="000000"/>
          <w:lang w:val="fr-CA" w:eastAsia="zh-CN" w:bidi="ar"/>
        </w:rPr>
        <w:t>(*)</w:t>
      </w:r>
      <w:r w:rsidRPr="008F2EBD">
        <w:rPr>
          <w:rFonts w:eastAsia="等线"/>
          <w:lang w:val="fr-CA" w:eastAsia="zh-CN"/>
        </w:rPr>
        <w:t xml:space="preserve">, </w:t>
      </w:r>
      <w:r w:rsidRPr="008F2EBD">
        <w:rPr>
          <w:rFonts w:eastAsia="等线"/>
          <w:bCs/>
          <w:lang w:val="fr-CA" w:eastAsia="zh-CN"/>
        </w:rPr>
        <w:t xml:space="preserve">Fujitsu </w:t>
      </w:r>
      <w:r w:rsidRPr="008F2EBD">
        <w:rPr>
          <w:rFonts w:eastAsia="宋体"/>
          <w:color w:val="000000"/>
          <w:lang w:val="fr-CA" w:eastAsia="zh-CN" w:bidi="ar"/>
        </w:rPr>
        <w:t>(*)</w:t>
      </w:r>
      <w:r w:rsidRPr="008F2EBD">
        <w:rPr>
          <w:rFonts w:eastAsia="等线"/>
          <w:lang w:val="fr-CA" w:eastAsia="zh-CN"/>
        </w:rPr>
        <w:t xml:space="preserve">, </w:t>
      </w:r>
      <w:r w:rsidRPr="008F2EBD">
        <w:rPr>
          <w:rFonts w:eastAsia="宋体"/>
          <w:color w:val="000000"/>
          <w:lang w:val="fr-CA" w:eastAsia="zh-CN" w:bidi="ar"/>
        </w:rPr>
        <w:t>C-DOT, CSCN (*)</w:t>
      </w:r>
      <w:r w:rsidR="00EF2DAF" w:rsidRPr="008F2EBD">
        <w:rPr>
          <w:rFonts w:eastAsia="宋体" w:hint="eastAsia"/>
          <w:color w:val="000000"/>
          <w:lang w:val="fr-CA" w:eastAsia="zh-CN" w:bidi="ar"/>
        </w:rPr>
        <w:t>)</w:t>
      </w:r>
    </w:p>
    <w:p w14:paraId="741E9AFD" w14:textId="77777777" w:rsidR="00D46418" w:rsidRPr="00A204FC" w:rsidRDefault="00D46418" w:rsidP="00FC3EBB">
      <w:pPr>
        <w:pStyle w:val="af9"/>
        <w:numPr>
          <w:ilvl w:val="0"/>
          <w:numId w:val="48"/>
        </w:numPr>
        <w:ind w:firstLineChars="0"/>
        <w:rPr>
          <w:rFonts w:eastAsia="等线"/>
          <w:b/>
          <w:bCs/>
          <w:lang w:val="en-US" w:eastAsia="zh-CN"/>
        </w:rPr>
      </w:pPr>
      <w:r w:rsidRPr="002525CB">
        <w:rPr>
          <w:rFonts w:eastAsia="等线"/>
          <w:bCs/>
          <w:lang w:val="en-US" w:eastAsia="zh-CN"/>
        </w:rPr>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000000" w:rsidP="00FC3EBB">
      <w:pPr>
        <w:numPr>
          <w:ilvl w:val="0"/>
          <w:numId w:val="4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000000"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8F2EBD" w:rsidRDefault="00000000"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D46418" w:rsidRPr="008F2EBD">
        <w:rPr>
          <w:rFonts w:eastAsia="等线"/>
          <w:bCs/>
          <w:lang w:val="fr-CA" w:eastAsia="zh-CN"/>
        </w:rPr>
        <w:t>: 3 sources (</w:t>
      </w:r>
      <w:r w:rsidR="00D46418" w:rsidRPr="008F2EBD">
        <w:rPr>
          <w:rFonts w:eastAsia="宋体"/>
          <w:lang w:val="fr-CA" w:eastAsia="zh-CN" w:bidi="ar"/>
        </w:rPr>
        <w:t>SJTU, NERC-DTV</w:t>
      </w:r>
      <w:r w:rsidR="00D46418" w:rsidRPr="008F2EBD">
        <w:rPr>
          <w:rFonts w:eastAsia="等线"/>
          <w:bCs/>
          <w:lang w:val="fr-CA" w:eastAsia="zh-CN"/>
        </w:rPr>
        <w:t xml:space="preserve">, Apple </w:t>
      </w:r>
      <w:r w:rsidR="00D46418" w:rsidRPr="008F2EBD">
        <w:rPr>
          <w:rFonts w:eastAsia="宋体"/>
          <w:color w:val="000000"/>
          <w:lang w:val="fr-CA" w:eastAsia="zh-CN" w:bidi="ar"/>
        </w:rPr>
        <w:t>(*)</w:t>
      </w:r>
      <w:r w:rsidR="00D46418" w:rsidRPr="008F2EBD">
        <w:rPr>
          <w:rFonts w:eastAsia="等线"/>
          <w:bCs/>
          <w:lang w:val="fr-CA" w:eastAsia="zh-CN"/>
        </w:rPr>
        <w:t>)</w:t>
      </w:r>
    </w:p>
    <w:p w14:paraId="763D836F" w14:textId="77777777" w:rsidR="00D46418" w:rsidRPr="008F2EBD" w:rsidRDefault="00000000"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D46418" w:rsidRPr="008F2EBD">
        <w:rPr>
          <w:rFonts w:eastAsia="等线"/>
          <w:bCs/>
          <w:lang w:val="fr-CA" w:eastAsia="zh-CN"/>
        </w:rPr>
        <w:t>: 3 sources (</w:t>
      </w:r>
      <w:r w:rsidR="00D46418" w:rsidRPr="008F2EBD">
        <w:rPr>
          <w:rFonts w:eastAsia="宋体"/>
          <w:lang w:val="fr-CA" w:eastAsia="zh-CN" w:bidi="ar"/>
        </w:rPr>
        <w:t xml:space="preserve">ETRI </w:t>
      </w:r>
      <w:r w:rsidR="00D46418" w:rsidRPr="008F2EBD">
        <w:rPr>
          <w:rFonts w:eastAsia="宋体"/>
          <w:color w:val="000000"/>
          <w:lang w:val="fr-CA" w:eastAsia="zh-CN" w:bidi="ar"/>
        </w:rPr>
        <w:t>(*)</w:t>
      </w:r>
      <w:r w:rsidR="00D46418" w:rsidRPr="008F2EBD">
        <w:rPr>
          <w:rFonts w:eastAsia="宋体"/>
          <w:lang w:val="fr-CA" w:eastAsia="zh-CN" w:bidi="ar"/>
        </w:rPr>
        <w:t xml:space="preserve">, ESA </w:t>
      </w:r>
      <w:r w:rsidR="00D46418" w:rsidRPr="008F2EBD">
        <w:rPr>
          <w:rFonts w:eastAsia="宋体"/>
          <w:color w:val="000000"/>
          <w:lang w:val="fr-CA" w:eastAsia="zh-CN" w:bidi="ar"/>
        </w:rPr>
        <w:t>(*)</w:t>
      </w:r>
      <w:r w:rsidR="00D46418" w:rsidRPr="008F2EBD">
        <w:rPr>
          <w:rFonts w:eastAsia="宋体"/>
          <w:lang w:val="fr-CA" w:eastAsia="zh-CN" w:bidi="ar"/>
        </w:rPr>
        <w:t xml:space="preserve">, Thales </w:t>
      </w:r>
      <w:r w:rsidR="00D46418" w:rsidRPr="008F2EBD">
        <w:rPr>
          <w:rFonts w:eastAsia="宋体"/>
          <w:color w:val="000000"/>
          <w:lang w:val="fr-CA" w:eastAsia="zh-CN" w:bidi="ar"/>
        </w:rPr>
        <w:t>(*)</w:t>
      </w:r>
      <w:r w:rsidR="00D46418" w:rsidRPr="008F2EBD">
        <w:rPr>
          <w:rFonts w:eastAsia="宋体"/>
          <w:lang w:val="fr-CA" w:eastAsia="zh-CN" w:bidi="ar"/>
        </w:rPr>
        <w:t>)</w:t>
      </w:r>
    </w:p>
    <w:p w14:paraId="30E830D6" w14:textId="79E428ED" w:rsidR="00D46418" w:rsidRPr="00073D7D" w:rsidRDefault="00000000"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FC3EBB">
      <w:pPr>
        <w:numPr>
          <w:ilvl w:val="0"/>
          <w:numId w:val="4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44/ (98-2)=11/24: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FC3EBB">
      <w:pPr>
        <w:pStyle w:val="af9"/>
        <w:numPr>
          <w:ilvl w:val="0"/>
          <w:numId w:val="4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宋体"/>
          <w:color w:val="000000"/>
          <w:lang w:val="en-US" w:eastAsia="zh-CN" w:bidi="ar"/>
        </w:rPr>
        <w:t>0/(62-1)=40/61: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FC3EBB">
      <w:pPr>
        <w:pStyle w:val="af9"/>
        <w:numPr>
          <w:ilvl w:val="0"/>
          <w:numId w:val="4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000000"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000000"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FC3EBB">
      <w:pPr>
        <w:pStyle w:val="af9"/>
        <w:numPr>
          <w:ilvl w:val="0"/>
          <w:numId w:val="4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FC3EBB">
      <w:pPr>
        <w:pStyle w:val="af9"/>
        <w:numPr>
          <w:ilvl w:val="1"/>
          <w:numId w:val="4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FC3EBB">
      <w:pPr>
        <w:numPr>
          <w:ilvl w:val="0"/>
          <w:numId w:val="4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lastRenderedPageBreak/>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FC3EBB">
      <w:pPr>
        <w:pStyle w:val="af9"/>
        <w:numPr>
          <w:ilvl w:val="0"/>
          <w:numId w:val="4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9"/>
        <w:numPr>
          <w:ilvl w:val="1"/>
          <w:numId w:val="4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FC3EBB">
      <w:pPr>
        <w:pStyle w:val="af9"/>
        <w:numPr>
          <w:ilvl w:val="1"/>
          <w:numId w:val="48"/>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FC3EBB">
      <w:pPr>
        <w:pStyle w:val="af9"/>
        <w:numPr>
          <w:ilvl w:val="1"/>
          <w:numId w:val="4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proofErr w:type="gramStart"/>
      <w:r>
        <w:rPr>
          <w:rFonts w:eastAsia="宋体"/>
          <w:color w:val="000000"/>
          <w:lang w:val="en-US" w:eastAsia="zh-CN" w:bidi="ar"/>
        </w:rPr>
        <w:t>(*)</w:t>
      </w:r>
      <w:r w:rsidR="007C1E75">
        <w:rPr>
          <w:rFonts w:eastAsia="宋体" w:hint="eastAsia"/>
          <w:color w:val="000000"/>
          <w:lang w:val="en-US" w:eastAsia="zh-CN" w:bidi="ar"/>
        </w:rPr>
        <w:t xml:space="preserve"> </w:t>
      </w:r>
      <w:proofErr w:type="gramEnd"/>
      <w:r>
        <w:rPr>
          <w:rFonts w:eastAsia="宋体" w:hint="eastAsia"/>
          <w:color w:val="000000"/>
          <w:lang w:val="en-US" w:eastAsia="zh-CN" w:bidi="ar"/>
        </w:rPr>
        <w:t>)</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9"/>
        <w:numPr>
          <w:ilvl w:val="0"/>
          <w:numId w:val="4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FC3EBB">
      <w:pPr>
        <w:pStyle w:val="af9"/>
        <w:numPr>
          <w:ilvl w:val="0"/>
          <w:numId w:val="4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FC3EBB">
      <w:pPr>
        <w:pStyle w:val="af9"/>
        <w:numPr>
          <w:ilvl w:val="0"/>
          <w:numId w:val="4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FC3EBB">
      <w:pPr>
        <w:pStyle w:val="af9"/>
        <w:numPr>
          <w:ilvl w:val="0"/>
          <w:numId w:val="4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FC3EBB">
      <w:pPr>
        <w:numPr>
          <w:ilvl w:val="0"/>
          <w:numId w:val="4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Huawei, vivo, Ericsson, AccelerComm,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FC3EBB">
      <w:pPr>
        <w:pStyle w:val="af9"/>
        <w:numPr>
          <w:ilvl w:val="0"/>
          <w:numId w:val="50"/>
        </w:numPr>
        <w:ind w:firstLineChars="0"/>
        <w:rPr>
          <w:rFonts w:eastAsia="等线"/>
          <w:bCs/>
          <w:lang w:val="en-US" w:eastAsia="zh-CN"/>
        </w:rPr>
      </w:pPr>
      <w:r w:rsidRPr="0064262A">
        <w:rPr>
          <w:rFonts w:eastAsia="等线"/>
          <w:bCs/>
          <w:lang w:val="en-US" w:eastAsia="zh-CN"/>
        </w:rPr>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FC3EBB">
      <w:pPr>
        <w:pStyle w:val="af9"/>
        <w:numPr>
          <w:ilvl w:val="0"/>
          <w:numId w:val="5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9"/>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lastRenderedPageBreak/>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bl>
    <w:p w14:paraId="0C4CCF4B" w14:textId="47A1DC73" w:rsidR="009E765E"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9"/>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A46563" w14:paraId="33B658F0" w14:textId="77777777" w:rsidTr="00FB268B">
        <w:trPr>
          <w:jc w:val="center"/>
        </w:trPr>
        <w:tc>
          <w:tcPr>
            <w:tcW w:w="1838" w:type="dxa"/>
            <w:shd w:val="clear" w:color="auto" w:fill="FFFFFF" w:themeFill="background1"/>
          </w:tcPr>
          <w:p w14:paraId="7D4DC772"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E96437" w14:textId="77777777" w:rsidR="00A46563" w:rsidRDefault="00A46563" w:rsidP="00FB268B">
            <w:pPr>
              <w:adjustRightInd w:val="0"/>
              <w:spacing w:after="50" w:line="240" w:lineRule="auto"/>
              <w:jc w:val="left"/>
              <w:rPr>
                <w:rFonts w:eastAsiaTheme="minorEastAsia"/>
                <w:kern w:val="2"/>
                <w:lang w:val="en-US" w:eastAsia="zh-CN"/>
              </w:rPr>
            </w:pP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9E765E" w14:paraId="02E0FD09" w14:textId="77777777">
        <w:trPr>
          <w:jc w:val="center"/>
        </w:trPr>
        <w:tc>
          <w:tcPr>
            <w:tcW w:w="1838" w:type="dxa"/>
            <w:shd w:val="clear" w:color="auto" w:fill="FFFFFF" w:themeFill="background1"/>
          </w:tcPr>
          <w:p w14:paraId="092A964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D426CA" w14:textId="77777777" w:rsidR="009E765E" w:rsidRDefault="009E765E">
            <w:pPr>
              <w:adjustRightInd w:val="0"/>
              <w:spacing w:after="50" w:line="240" w:lineRule="auto"/>
              <w:jc w:val="left"/>
              <w:rPr>
                <w:rFonts w:eastAsiaTheme="minorEastAsia"/>
                <w:kern w:val="2"/>
                <w:lang w:val="en-US" w:eastAsia="zh-CN"/>
              </w:rPr>
            </w:pP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lastRenderedPageBreak/>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lastRenderedPageBreak/>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9"/>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9"/>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9"/>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9"/>
        <w:numPr>
          <w:ilvl w:val="0"/>
          <w:numId w:val="102"/>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LGE, InterDigital,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FC3EBB">
      <w:pPr>
        <w:pStyle w:val="af9"/>
        <w:numPr>
          <w:ilvl w:val="0"/>
          <w:numId w:val="102"/>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discussed to enhance the bit interleaver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FC3EBB">
      <w:pPr>
        <w:pStyle w:val="af9"/>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87DA1" w14:paraId="3B578867" w14:textId="77777777" w:rsidTr="00FB268B">
        <w:trPr>
          <w:jc w:val="center"/>
        </w:trPr>
        <w:tc>
          <w:tcPr>
            <w:tcW w:w="1838" w:type="dxa"/>
            <w:shd w:val="clear" w:color="auto" w:fill="FFFFFF" w:themeFill="background1"/>
          </w:tcPr>
          <w:p w14:paraId="201B698B"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interleaver generation procedures that can ensure the same NR sequence for the existing DCI payload size </w:t>
            </w:r>
            <w:proofErr w:type="gramStart"/>
            <w:r w:rsidR="00C0597A" w:rsidRPr="00261C20">
              <w:rPr>
                <w:lang w:eastAsia="zh-CN"/>
              </w:rPr>
              <w:t>region, and</w:t>
            </w:r>
            <w:proofErr w:type="gramEnd"/>
            <w:r w:rsidR="00C0597A" w:rsidRPr="00261C20">
              <w:rPr>
                <w:lang w:eastAsia="zh-CN"/>
              </w:rPr>
              <w:t xml:space="preserve">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lastRenderedPageBreak/>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9"/>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lastRenderedPageBreak/>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9"/>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9"/>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9"/>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9"/>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FC3EBB">
            <w:pPr>
              <w:pStyle w:val="af9"/>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9"/>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9"/>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9"/>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9"/>
              <w:numPr>
                <w:ilvl w:val="1"/>
                <w:numId w:val="18"/>
              </w:numPr>
              <w:spacing w:after="0" w:line="240" w:lineRule="auto"/>
              <w:ind w:firstLineChars="0"/>
            </w:pPr>
            <w:r w:rsidRPr="00261C20">
              <w:lastRenderedPageBreak/>
              <w:t>Option 1: Remove the distributed CRC interleaver</w:t>
            </w:r>
          </w:p>
          <w:p w14:paraId="3600A6F4"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9"/>
              <w:numPr>
                <w:ilvl w:val="1"/>
                <w:numId w:val="18"/>
              </w:numPr>
              <w:spacing w:after="0" w:line="240" w:lineRule="auto"/>
              <w:ind w:firstLineChars="0"/>
            </w:pPr>
            <w:r w:rsidRPr="00261C20">
              <w:t>Option 2: Redefine the distributed CRC interleaver pattern</w:t>
            </w:r>
          </w:p>
          <w:p w14:paraId="09BFFC50" w14:textId="77777777" w:rsidR="009E765E" w:rsidRPr="00261C20" w:rsidRDefault="00C0597A" w:rsidP="00FC3EBB">
            <w:pPr>
              <w:pStyle w:val="af9"/>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9"/>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9"/>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9"/>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2"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2"/>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9"/>
        <w:widowControl w:val="0"/>
        <w:numPr>
          <w:ilvl w:val="0"/>
          <w:numId w:val="5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FC3EBB">
      <w:pPr>
        <w:pStyle w:val="af9"/>
        <w:widowControl w:val="0"/>
        <w:numPr>
          <w:ilvl w:val="1"/>
          <w:numId w:val="6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782C0F51" w14:textId="00D67BB2" w:rsidR="009E765E" w:rsidRDefault="00C0597A" w:rsidP="00FC3EBB">
      <w:pPr>
        <w:pStyle w:val="af9"/>
        <w:widowControl w:val="0"/>
        <w:numPr>
          <w:ilvl w:val="1"/>
          <w:numId w:val="6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FC3EBB">
      <w:pPr>
        <w:pStyle w:val="af9"/>
        <w:widowControl w:val="0"/>
        <w:numPr>
          <w:ilvl w:val="1"/>
          <w:numId w:val="60"/>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FC3EBB">
      <w:pPr>
        <w:pStyle w:val="af9"/>
        <w:widowControl w:val="0"/>
        <w:numPr>
          <w:ilvl w:val="1"/>
          <w:numId w:val="6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FC3EBB">
      <w:pPr>
        <w:pStyle w:val="af9"/>
        <w:widowControl w:val="0"/>
        <w:numPr>
          <w:ilvl w:val="0"/>
          <w:numId w:val="59"/>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FC3EBB">
      <w:pPr>
        <w:pStyle w:val="af9"/>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9"/>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FC3EBB">
      <w:pPr>
        <w:pStyle w:val="af9"/>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9"/>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9"/>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rsidP="00FC3EBB">
      <w:pPr>
        <w:pStyle w:val="af9"/>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9"/>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9"/>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9"/>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9"/>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lastRenderedPageBreak/>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9"/>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rsidP="00FC3EBB">
      <w:pPr>
        <w:pStyle w:val="af9"/>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9"/>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27009C" w14:paraId="7B5E7878" w14:textId="77777777" w:rsidTr="004638E2">
        <w:trPr>
          <w:jc w:val="center"/>
        </w:trPr>
        <w:tc>
          <w:tcPr>
            <w:tcW w:w="1838" w:type="dxa"/>
            <w:shd w:val="clear" w:color="auto" w:fill="FFFFFF" w:themeFill="background1"/>
          </w:tcPr>
          <w:p w14:paraId="59F8FFC4" w14:textId="77777777" w:rsidR="0027009C" w:rsidRPr="008F2EBD" w:rsidRDefault="0027009C" w:rsidP="0027009C">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4078F512" w14:textId="77777777" w:rsidR="0027009C" w:rsidRDefault="0027009C" w:rsidP="0027009C">
            <w:pPr>
              <w:adjustRightInd w:val="0"/>
              <w:spacing w:after="50" w:line="240" w:lineRule="auto"/>
              <w:jc w:val="left"/>
              <w:rPr>
                <w:rFonts w:eastAsiaTheme="minorEastAsia"/>
                <w:kern w:val="2"/>
                <w:lang w:val="en-US" w:eastAsia="zh-CN"/>
              </w:rPr>
            </w:pP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9E765E" w14:paraId="4A18C6F8" w14:textId="77777777">
        <w:trPr>
          <w:jc w:val="center"/>
        </w:trPr>
        <w:tc>
          <w:tcPr>
            <w:tcW w:w="1838" w:type="dxa"/>
            <w:shd w:val="clear" w:color="auto" w:fill="FFFFFF" w:themeFill="background1"/>
          </w:tcPr>
          <w:p w14:paraId="2CD97155"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2CDD8A8B" w14:textId="77777777" w:rsidR="009E765E" w:rsidRDefault="009E765E">
            <w:pPr>
              <w:adjustRightInd w:val="0"/>
              <w:spacing w:after="50" w:line="240" w:lineRule="auto"/>
              <w:jc w:val="left"/>
              <w:rPr>
                <w:rFonts w:eastAsiaTheme="minorEastAsia"/>
                <w:kern w:val="2"/>
                <w:lang w:val="en-US" w:eastAsia="zh-CN"/>
              </w:rPr>
            </w:pP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lastRenderedPageBreak/>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w:t>
            </w:r>
            <w:proofErr w:type="gramStart"/>
            <w:r w:rsidRPr="0060256C">
              <w:rPr>
                <w:rFonts w:eastAsiaTheme="minorEastAsia"/>
                <w:color w:val="000000" w:themeColor="text1"/>
              </w:rPr>
              <w:t>), and</w:t>
            </w:r>
            <w:proofErr w:type="gramEnd"/>
            <w:r w:rsidRPr="0060256C">
              <w:rPr>
                <w:rFonts w:eastAsiaTheme="minorEastAsia"/>
                <w:color w:val="000000" w:themeColor="text1"/>
              </w:rPr>
              <w:t xml:space="preserve">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t>
            </w:r>
            <w:r w:rsidRPr="0060256C">
              <w:rPr>
                <w:lang w:val="en-US" w:eastAsia="ko-KR"/>
              </w:rPr>
              <w:lastRenderedPageBreak/>
              <w:t xml:space="preserve">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9"/>
              <w:widowControl w:val="0"/>
              <w:numPr>
                <w:ilvl w:val="0"/>
                <w:numId w:val="68"/>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9"/>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lastRenderedPageBreak/>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9"/>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9"/>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9"/>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9"/>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9"/>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9"/>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9"/>
        <w:widowControl w:val="0"/>
        <w:numPr>
          <w:ilvl w:val="1"/>
          <w:numId w:val="103"/>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FC3EBB">
      <w:pPr>
        <w:pStyle w:val="af9"/>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9"/>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9"/>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FC3EBB">
      <w:pPr>
        <w:pStyle w:val="af9"/>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9"/>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rsidP="00FC3EBB">
      <w:pPr>
        <w:pStyle w:val="af9"/>
        <w:widowControl w:val="0"/>
        <w:numPr>
          <w:ilvl w:val="1"/>
          <w:numId w:val="6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rsidP="00FC3EBB">
      <w:pPr>
        <w:pStyle w:val="af9"/>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rsidP="00FC3EBB">
      <w:pPr>
        <w:pStyle w:val="af9"/>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9"/>
        <w:widowControl w:val="0"/>
        <w:numPr>
          <w:ilvl w:val="0"/>
          <w:numId w:val="5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rsidP="00FC3EBB">
      <w:pPr>
        <w:pStyle w:val="af9"/>
        <w:numPr>
          <w:ilvl w:val="0"/>
          <w:numId w:val="5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9"/>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9"/>
        <w:widowControl w:val="0"/>
        <w:numPr>
          <w:ilvl w:val="0"/>
          <w:numId w:val="5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FC3EBB">
      <w:pPr>
        <w:pStyle w:val="af9"/>
        <w:widowControl w:val="0"/>
        <w:numPr>
          <w:ilvl w:val="1"/>
          <w:numId w:val="105"/>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FC3EBB">
      <w:pPr>
        <w:pStyle w:val="af9"/>
        <w:widowControl w:val="0"/>
        <w:numPr>
          <w:ilvl w:val="1"/>
          <w:numId w:val="105"/>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rsidP="00FC3EBB">
      <w:pPr>
        <w:pStyle w:val="af9"/>
        <w:widowControl w:val="0"/>
        <w:numPr>
          <w:ilvl w:val="0"/>
          <w:numId w:val="59"/>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w:t>
      </w:r>
      <w:proofErr w:type="gramStart"/>
      <w:r w:rsidRPr="00B8042A">
        <w:rPr>
          <w:rFonts w:eastAsia="宋体"/>
          <w:lang w:val="en-US" w:eastAsia="zh-CN"/>
        </w:rPr>
        <w:t>high rate</w:t>
      </w:r>
      <w:proofErr w:type="gramEnd"/>
      <w:r w:rsidRPr="00B8042A">
        <w:rPr>
          <w:rFonts w:eastAsia="宋体"/>
          <w:lang w:val="en-US" w:eastAsia="zh-CN"/>
        </w:rPr>
        <w:t xml:space="preserve"> configurations.</w:t>
      </w:r>
    </w:p>
    <w:p w14:paraId="1896BEAD" w14:textId="7777777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lastRenderedPageBreak/>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bl>
    <w:p w14:paraId="7BA45BE2" w14:textId="77777777" w:rsidR="009E765E"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lastRenderedPageBreak/>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9"/>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Consider eBCH based SBLC codes for uplink control channels when k is between 3-11 bits.</w:t>
            </w:r>
          </w:p>
          <w:p w14:paraId="28A51F94"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lastRenderedPageBreak/>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9"/>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 xml:space="preserve">For small UCI on PUSCH, the modification of RM or </w:t>
            </w:r>
            <w:proofErr w:type="gramStart"/>
            <w:r w:rsidRPr="0069639D">
              <w:rPr>
                <w:rFonts w:eastAsia="MS Mincho"/>
              </w:rPr>
              <w:t>similar to</w:t>
            </w:r>
            <w:proofErr w:type="gramEnd"/>
            <w:r w:rsidRPr="0069639D">
              <w:rPr>
                <w:rFonts w:eastAsia="MS Mincho"/>
              </w:rPr>
              <w:t xml:space="preserve">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0" w:name="_Ref210381634"/>
            <w:bookmarkStart w:id="181"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0"/>
            <w:r w:rsidRPr="0069639D">
              <w:rPr>
                <w:rFonts w:eastAsia="宋体"/>
                <w:b w:val="0"/>
                <w:bCs w:val="0"/>
              </w:rPr>
              <w:t xml:space="preserve"> FFS the maximal payload size K and coded bits N values supported by this new code.</w:t>
            </w:r>
            <w:bookmarkEnd w:id="181"/>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2"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2"/>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3"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3"/>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rsidP="00FC3EBB">
      <w:pPr>
        <w:pStyle w:val="af9"/>
        <w:numPr>
          <w:ilvl w:val="0"/>
          <w:numId w:val="72"/>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rsidP="00FC3EBB">
      <w:pPr>
        <w:pStyle w:val="af9"/>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9"/>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9"/>
        <w:numPr>
          <w:ilvl w:val="0"/>
          <w:numId w:val="72"/>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9"/>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9"/>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9"/>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lastRenderedPageBreak/>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9"/>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9"/>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9"/>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9"/>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9"/>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9"/>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FC3EBB">
      <w:pPr>
        <w:pStyle w:val="af9"/>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9"/>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9"/>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9"/>
        <w:numPr>
          <w:ilvl w:val="2"/>
          <w:numId w:val="73"/>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rsidP="00FC3EBB">
      <w:pPr>
        <w:pStyle w:val="af9"/>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9"/>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9"/>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9"/>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9"/>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宋体"/>
          <w:szCs w:val="22"/>
        </w:rPr>
        <w:t>Gold</w:t>
      </w:r>
      <w:proofErr w:type="gramEnd"/>
      <w:r w:rsidR="00656826">
        <w:rPr>
          <w:rFonts w:eastAsia="宋体"/>
          <w:szCs w:val="22"/>
        </w:rPr>
        <w:t xml:space="preserve"> sequences + QPSK has better performance than RM codes + QPSK</w:t>
      </w:r>
      <w:r w:rsidR="00656826">
        <w:rPr>
          <w:rFonts w:eastAsia="宋体" w:hint="eastAsia"/>
          <w:szCs w:val="22"/>
          <w:lang w:eastAsia="zh-CN"/>
        </w:rPr>
        <w:t>.</w:t>
      </w:r>
    </w:p>
    <w:p w14:paraId="07D6377F" w14:textId="05C8038E" w:rsidR="009E765E" w:rsidRPr="005B1C04" w:rsidRDefault="00B72578" w:rsidP="00FC3EBB">
      <w:pPr>
        <w:pStyle w:val="af9"/>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9"/>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宋体"/>
          <w:szCs w:val="22"/>
        </w:rPr>
        <w:t>Gold</w:t>
      </w:r>
      <w:proofErr w:type="gramEnd"/>
      <w:r w:rsidR="003D75BC">
        <w:rPr>
          <w:rFonts w:eastAsia="宋体"/>
          <w:szCs w:val="22"/>
        </w:rPr>
        <w:t xml:space="preserve"> sequences + QPSK</w:t>
      </w:r>
      <w:r w:rsidR="003D75BC">
        <w:rPr>
          <w:rFonts w:eastAsia="宋体" w:hint="eastAsia"/>
          <w:szCs w:val="22"/>
          <w:lang w:eastAsia="zh-CN"/>
        </w:rPr>
        <w:t>.</w:t>
      </w:r>
    </w:p>
    <w:p w14:paraId="237B797B" w14:textId="6982BDD3" w:rsidR="00F13412" w:rsidRPr="00F13412" w:rsidRDefault="001612B4"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lastRenderedPageBreak/>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59BA063B" w14:textId="77777777" w:rsidR="008F2EBD" w:rsidRPr="00E45721" w:rsidRDefault="008F2EB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9"/>
              <w:numPr>
                <w:ilvl w:val="1"/>
                <w:numId w:val="75"/>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sidRPr="00082BA5">
              <w:rPr>
                <w:rFonts w:eastAsia="宋体"/>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bl>
    <w:p w14:paraId="2E12A5B4" w14:textId="77777777" w:rsidR="009E765E" w:rsidRDefault="009E765E">
      <w:pPr>
        <w:jc w:val="left"/>
        <w:rPr>
          <w:rFonts w:eastAsiaTheme="minorEastAsia"/>
          <w:lang w:val="en-US" w:eastAsia="zh-CN"/>
        </w:rPr>
      </w:pPr>
    </w:p>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lastRenderedPageBreak/>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t>CSCN</w:t>
            </w:r>
          </w:p>
        </w:tc>
        <w:tc>
          <w:tcPr>
            <w:tcW w:w="7932" w:type="dxa"/>
          </w:tcPr>
          <w:p w14:paraId="445EE8BE" w14:textId="77777777" w:rsidR="009E765E" w:rsidRPr="00A80F95" w:rsidRDefault="00C0597A" w:rsidP="00FC3EBB">
            <w:pPr>
              <w:pStyle w:val="af9"/>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rsidP="00FC3EBB">
      <w:pPr>
        <w:pStyle w:val="af9"/>
        <w:numPr>
          <w:ilvl w:val="0"/>
          <w:numId w:val="76"/>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63953" w14:paraId="3915AB29" w14:textId="77777777" w:rsidTr="004638E2">
        <w:trPr>
          <w:jc w:val="center"/>
        </w:trPr>
        <w:tc>
          <w:tcPr>
            <w:tcW w:w="1838" w:type="dxa"/>
            <w:shd w:val="clear" w:color="auto" w:fill="FFFFFF" w:themeFill="background1"/>
          </w:tcPr>
          <w:p w14:paraId="770ED2D4" w14:textId="77777777" w:rsidR="00363953" w:rsidRPr="008F2EBD" w:rsidRDefault="00363953" w:rsidP="004638E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0EBB0E06" w14:textId="77777777" w:rsidR="00363953" w:rsidRDefault="00363953" w:rsidP="004638E2">
            <w:pPr>
              <w:adjustRightInd w:val="0"/>
              <w:spacing w:after="50" w:line="240" w:lineRule="auto"/>
              <w:jc w:val="left"/>
              <w:rPr>
                <w:rFonts w:eastAsiaTheme="minorEastAsia"/>
                <w:kern w:val="2"/>
                <w:lang w:val="en-US" w:eastAsia="zh-CN"/>
              </w:rPr>
            </w:pP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lastRenderedPageBreak/>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lastRenderedPageBreak/>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lastRenderedPageBreak/>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 : number of total data integrity check bits</w:t>
            </w:r>
          </w:p>
          <w:p w14:paraId="16B77452" w14:textId="073DAF76" w:rsidR="009E765E" w:rsidRPr="00A80F95" w:rsidRDefault="00000000"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lastRenderedPageBreak/>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9"/>
              <w:numPr>
                <w:ilvl w:val="0"/>
                <w:numId w:val="7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rsidP="00FC3EBB">
            <w:pPr>
              <w:pStyle w:val="af9"/>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Lenovo: </w:t>
            </w:r>
          </w:p>
          <w:p w14:paraId="3EE4CB32"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9"/>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lang w:val="fr-CA"/>
              </w:rPr>
              <w:t>100MHz (273 PRBs @ 30kHz SCS)</w:t>
            </w:r>
            <w:r w:rsidRPr="008F2EBD">
              <w:rPr>
                <w:rFonts w:eastAsia="宋体"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3CF60A2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9"/>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宋体" w:hAnsi="Cambria Math" w:hint="eastAsia"/>
                <w:lang w:val="fr-CA" w:eastAsia="zh-CN"/>
              </w:rPr>
              <w:t>: Lenovo</w:t>
            </w:r>
          </w:p>
          <w:p w14:paraId="13D5743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rsidP="00FC3EBB">
            <w:pPr>
              <w:pStyle w:val="af9"/>
              <w:numPr>
                <w:ilvl w:val="1"/>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9"/>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9E765E" w14:paraId="16E1AC90" w14:textId="77777777">
        <w:trPr>
          <w:jc w:val="center"/>
        </w:trPr>
        <w:tc>
          <w:tcPr>
            <w:tcW w:w="1838" w:type="dxa"/>
            <w:shd w:val="clear" w:color="auto" w:fill="FFFFFF" w:themeFill="background1"/>
          </w:tcPr>
          <w:p w14:paraId="13F61686"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2CABDD6" w14:textId="77777777" w:rsidR="009E765E" w:rsidRDefault="009E765E">
            <w:pPr>
              <w:adjustRightInd w:val="0"/>
              <w:spacing w:after="50" w:line="240" w:lineRule="auto"/>
              <w:jc w:val="left"/>
              <w:rPr>
                <w:rFonts w:eastAsiaTheme="minorEastAsia"/>
                <w:kern w:val="2"/>
                <w:lang w:val="en-US" w:eastAsia="zh-CN"/>
              </w:rPr>
            </w:pP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9E765E" w14:paraId="0BCF78B6" w14:textId="77777777">
        <w:trPr>
          <w:jc w:val="center"/>
        </w:trPr>
        <w:tc>
          <w:tcPr>
            <w:tcW w:w="1838" w:type="dxa"/>
            <w:shd w:val="clear" w:color="auto" w:fill="FFFFFF" w:themeFill="background1"/>
          </w:tcPr>
          <w:p w14:paraId="0FBF0495"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2E1F8F76" w14:textId="77777777" w:rsidR="009E765E" w:rsidRDefault="009E765E">
            <w:pPr>
              <w:adjustRightInd w:val="0"/>
              <w:spacing w:after="50" w:line="240" w:lineRule="auto"/>
              <w:jc w:val="left"/>
              <w:rPr>
                <w:rFonts w:eastAsiaTheme="minorEastAsia"/>
                <w:kern w:val="2"/>
                <w:lang w:val="en-US" w:eastAsia="zh-CN"/>
              </w:rPr>
            </w:pPr>
          </w:p>
        </w:tc>
      </w:tr>
      <w:tr w:rsidR="009E765E" w14:paraId="18228607" w14:textId="77777777">
        <w:trPr>
          <w:jc w:val="center"/>
        </w:trPr>
        <w:tc>
          <w:tcPr>
            <w:tcW w:w="1838" w:type="dxa"/>
            <w:shd w:val="clear" w:color="auto" w:fill="FFFFFF" w:themeFill="background1"/>
          </w:tcPr>
          <w:p w14:paraId="3156A59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9E765E" w:rsidRDefault="009E765E">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9"/>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lastRenderedPageBreak/>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等线"/>
          <w:bCs/>
        </w:rPr>
      </w:pPr>
      <w:r>
        <w:rPr>
          <w:rFonts w:eastAsia="等线"/>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lastRenderedPageBreak/>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9"/>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rsidP="00FC3EBB">
      <w:pPr>
        <w:pStyle w:val="af9"/>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lastRenderedPageBreak/>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lastRenderedPageBreak/>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3FA5B6D6"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9"/>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9"/>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9"/>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9"/>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8F59" w14:textId="77777777" w:rsidR="00312DF8" w:rsidRDefault="00312DF8">
      <w:pPr>
        <w:spacing w:line="240" w:lineRule="auto"/>
      </w:pPr>
      <w:r>
        <w:separator/>
      </w:r>
    </w:p>
  </w:endnote>
  <w:endnote w:type="continuationSeparator" w:id="0">
    <w:p w14:paraId="7847F01A" w14:textId="77777777" w:rsidR="00312DF8" w:rsidRDefault="0031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STZhongsong"/>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5187C5E9" w:rsidR="00BD2230" w:rsidRDefault="00BD2230" w:rsidP="00A54582">
        <w:pPr>
          <w:pStyle w:val="ab"/>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E9FE" w14:textId="77777777" w:rsidR="00312DF8" w:rsidRDefault="00312DF8">
      <w:pPr>
        <w:spacing w:after="0"/>
      </w:pPr>
      <w:r>
        <w:separator/>
      </w:r>
    </w:p>
  </w:footnote>
  <w:footnote w:type="continuationSeparator" w:id="0">
    <w:p w14:paraId="0D5B0885" w14:textId="77777777" w:rsidR="00312DF8" w:rsidRDefault="00312D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19884715">
    <w:abstractNumId w:val="8"/>
  </w:num>
  <w:num w:numId="2" w16cid:durableId="1719890477">
    <w:abstractNumId w:val="43"/>
  </w:num>
  <w:num w:numId="3" w16cid:durableId="736779801">
    <w:abstractNumId w:val="12"/>
  </w:num>
  <w:num w:numId="4" w16cid:durableId="1568570199">
    <w:abstractNumId w:val="67"/>
  </w:num>
  <w:num w:numId="5" w16cid:durableId="2130542422">
    <w:abstractNumId w:val="3"/>
  </w:num>
  <w:num w:numId="6" w16cid:durableId="593124338">
    <w:abstractNumId w:val="1"/>
  </w:num>
  <w:num w:numId="7" w16cid:durableId="201015586">
    <w:abstractNumId w:val="2"/>
  </w:num>
  <w:num w:numId="8" w16cid:durableId="768623709">
    <w:abstractNumId w:val="62"/>
  </w:num>
  <w:num w:numId="9" w16cid:durableId="2077239951">
    <w:abstractNumId w:val="52"/>
  </w:num>
  <w:num w:numId="10" w16cid:durableId="614024814">
    <w:abstractNumId w:val="101"/>
  </w:num>
  <w:num w:numId="11" w16cid:durableId="532613041">
    <w:abstractNumId w:val="63"/>
  </w:num>
  <w:num w:numId="12" w16cid:durableId="1425422763">
    <w:abstractNumId w:val="99"/>
  </w:num>
  <w:num w:numId="13" w16cid:durableId="124083843">
    <w:abstractNumId w:val="54"/>
  </w:num>
  <w:num w:numId="14" w16cid:durableId="954603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904841">
    <w:abstractNumId w:val="42"/>
  </w:num>
  <w:num w:numId="16" w16cid:durableId="1033120018">
    <w:abstractNumId w:val="56"/>
  </w:num>
  <w:num w:numId="17" w16cid:durableId="1492208833">
    <w:abstractNumId w:val="47"/>
  </w:num>
  <w:num w:numId="18" w16cid:durableId="1106343445">
    <w:abstractNumId w:val="81"/>
  </w:num>
  <w:num w:numId="19" w16cid:durableId="1437749274">
    <w:abstractNumId w:val="23"/>
  </w:num>
  <w:num w:numId="20" w16cid:durableId="1165706021">
    <w:abstractNumId w:val="86"/>
  </w:num>
  <w:num w:numId="21" w16cid:durableId="583957309">
    <w:abstractNumId w:val="91"/>
  </w:num>
  <w:num w:numId="22" w16cid:durableId="2050228965">
    <w:abstractNumId w:val="28"/>
  </w:num>
  <w:num w:numId="23" w16cid:durableId="415399874">
    <w:abstractNumId w:val="98"/>
  </w:num>
  <w:num w:numId="24" w16cid:durableId="1817257525">
    <w:abstractNumId w:val="26"/>
  </w:num>
  <w:num w:numId="25" w16cid:durableId="1106998123">
    <w:abstractNumId w:val="60"/>
  </w:num>
  <w:num w:numId="26" w16cid:durableId="882592572">
    <w:abstractNumId w:val="83"/>
  </w:num>
  <w:num w:numId="27" w16cid:durableId="1721972009">
    <w:abstractNumId w:val="93"/>
  </w:num>
  <w:num w:numId="28" w16cid:durableId="90247213">
    <w:abstractNumId w:val="50"/>
  </w:num>
  <w:num w:numId="29" w16cid:durableId="1438066564">
    <w:abstractNumId w:val="24"/>
  </w:num>
  <w:num w:numId="30" w16cid:durableId="1157651515">
    <w:abstractNumId w:val="4"/>
  </w:num>
  <w:num w:numId="31" w16cid:durableId="461459083">
    <w:abstractNumId w:val="49"/>
  </w:num>
  <w:num w:numId="32" w16cid:durableId="713313539">
    <w:abstractNumId w:val="45"/>
  </w:num>
  <w:num w:numId="33" w16cid:durableId="1260026553">
    <w:abstractNumId w:val="5"/>
  </w:num>
  <w:num w:numId="34" w16cid:durableId="452484482">
    <w:abstractNumId w:val="64"/>
  </w:num>
  <w:num w:numId="35" w16cid:durableId="2139494551">
    <w:abstractNumId w:val="9"/>
  </w:num>
  <w:num w:numId="36" w16cid:durableId="1080058727">
    <w:abstractNumId w:val="37"/>
  </w:num>
  <w:num w:numId="37" w16cid:durableId="1732649588">
    <w:abstractNumId w:val="76"/>
  </w:num>
  <w:num w:numId="38" w16cid:durableId="966545174">
    <w:abstractNumId w:val="39"/>
  </w:num>
  <w:num w:numId="39" w16cid:durableId="451480996">
    <w:abstractNumId w:val="68"/>
  </w:num>
  <w:num w:numId="40" w16cid:durableId="1869828747">
    <w:abstractNumId w:val="34"/>
  </w:num>
  <w:num w:numId="41" w16cid:durableId="108553224">
    <w:abstractNumId w:val="70"/>
  </w:num>
  <w:num w:numId="42" w16cid:durableId="1630043068">
    <w:abstractNumId w:val="57"/>
  </w:num>
  <w:num w:numId="43" w16cid:durableId="1307784269">
    <w:abstractNumId w:val="31"/>
  </w:num>
  <w:num w:numId="44" w16cid:durableId="1851288685">
    <w:abstractNumId w:val="104"/>
  </w:num>
  <w:num w:numId="45" w16cid:durableId="1646158213">
    <w:abstractNumId w:val="0"/>
  </w:num>
  <w:num w:numId="46" w16cid:durableId="2097702837">
    <w:abstractNumId w:val="27"/>
  </w:num>
  <w:num w:numId="47" w16cid:durableId="1387295192">
    <w:abstractNumId w:val="84"/>
  </w:num>
  <w:num w:numId="48" w16cid:durableId="962812478">
    <w:abstractNumId w:val="61"/>
  </w:num>
  <w:num w:numId="49" w16cid:durableId="642273788">
    <w:abstractNumId w:val="88"/>
  </w:num>
  <w:num w:numId="50" w16cid:durableId="190001550">
    <w:abstractNumId w:val="6"/>
  </w:num>
  <w:num w:numId="51" w16cid:durableId="2114593404">
    <w:abstractNumId w:val="15"/>
  </w:num>
  <w:num w:numId="52" w16cid:durableId="1165361375">
    <w:abstractNumId w:val="80"/>
  </w:num>
  <w:num w:numId="53" w16cid:durableId="341276556">
    <w:abstractNumId w:val="59"/>
  </w:num>
  <w:num w:numId="54" w16cid:durableId="1349331701">
    <w:abstractNumId w:val="40"/>
  </w:num>
  <w:num w:numId="55" w16cid:durableId="725496558">
    <w:abstractNumId w:val="11"/>
  </w:num>
  <w:num w:numId="56" w16cid:durableId="868639434">
    <w:abstractNumId w:val="65"/>
  </w:num>
  <w:num w:numId="57" w16cid:durableId="968171373">
    <w:abstractNumId w:val="36"/>
  </w:num>
  <w:num w:numId="58" w16cid:durableId="531460642">
    <w:abstractNumId w:val="41"/>
  </w:num>
  <w:num w:numId="59" w16cid:durableId="1078792978">
    <w:abstractNumId w:val="85"/>
  </w:num>
  <w:num w:numId="60" w16cid:durableId="1272931683">
    <w:abstractNumId w:val="92"/>
  </w:num>
  <w:num w:numId="61" w16cid:durableId="1115445835">
    <w:abstractNumId w:val="7"/>
  </w:num>
  <w:num w:numId="62" w16cid:durableId="1218710850">
    <w:abstractNumId w:val="13"/>
  </w:num>
  <w:num w:numId="63" w16cid:durableId="497578885">
    <w:abstractNumId w:val="77"/>
  </w:num>
  <w:num w:numId="64" w16cid:durableId="1145664744">
    <w:abstractNumId w:val="46"/>
  </w:num>
  <w:num w:numId="65" w16cid:durableId="1879777028">
    <w:abstractNumId w:val="10"/>
  </w:num>
  <w:num w:numId="66" w16cid:durableId="527909018">
    <w:abstractNumId w:val="48"/>
  </w:num>
  <w:num w:numId="67" w16cid:durableId="1897277266">
    <w:abstractNumId w:val="90"/>
  </w:num>
  <w:num w:numId="68" w16cid:durableId="517696136">
    <w:abstractNumId w:val="100"/>
  </w:num>
  <w:num w:numId="69" w16cid:durableId="2126196944">
    <w:abstractNumId w:val="73"/>
  </w:num>
  <w:num w:numId="70" w16cid:durableId="1147822167">
    <w:abstractNumId w:val="74"/>
  </w:num>
  <w:num w:numId="71" w16cid:durableId="1718551422">
    <w:abstractNumId w:val="44"/>
  </w:num>
  <w:num w:numId="72" w16cid:durableId="1089429695">
    <w:abstractNumId w:val="71"/>
  </w:num>
  <w:num w:numId="73" w16cid:durableId="942955802">
    <w:abstractNumId w:val="103"/>
  </w:num>
  <w:num w:numId="74" w16cid:durableId="2056074471">
    <w:abstractNumId w:val="69"/>
  </w:num>
  <w:num w:numId="75" w16cid:durableId="1862471447">
    <w:abstractNumId w:val="66"/>
  </w:num>
  <w:num w:numId="76" w16cid:durableId="19402851">
    <w:abstractNumId w:val="17"/>
  </w:num>
  <w:num w:numId="77" w16cid:durableId="1291282304">
    <w:abstractNumId w:val="55"/>
  </w:num>
  <w:num w:numId="78" w16cid:durableId="1120953206">
    <w:abstractNumId w:val="95"/>
  </w:num>
  <w:num w:numId="79" w16cid:durableId="943614020">
    <w:abstractNumId w:val="75"/>
  </w:num>
  <w:num w:numId="80" w16cid:durableId="1675262573">
    <w:abstractNumId w:val="35"/>
  </w:num>
  <w:num w:numId="81" w16cid:durableId="458770274">
    <w:abstractNumId w:val="16"/>
  </w:num>
  <w:num w:numId="82" w16cid:durableId="1566447830">
    <w:abstractNumId w:val="94"/>
  </w:num>
  <w:num w:numId="83" w16cid:durableId="454754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64279975">
    <w:abstractNumId w:val="89"/>
    <w:lvlOverride w:ilvl="0">
      <w:startOverride w:val="1"/>
    </w:lvlOverride>
    <w:lvlOverride w:ilvl="1">
      <w:startOverride w:val="1"/>
    </w:lvlOverride>
  </w:num>
  <w:num w:numId="85" w16cid:durableId="1533153293">
    <w:abstractNumId w:val="30"/>
  </w:num>
  <w:num w:numId="86" w16cid:durableId="761533085">
    <w:abstractNumId w:val="18"/>
  </w:num>
  <w:num w:numId="87" w16cid:durableId="859468813">
    <w:abstractNumId w:val="38"/>
  </w:num>
  <w:num w:numId="88" w16cid:durableId="1030036824">
    <w:abstractNumId w:val="78"/>
  </w:num>
  <w:num w:numId="89" w16cid:durableId="998734110">
    <w:abstractNumId w:val="33"/>
  </w:num>
  <w:num w:numId="90" w16cid:durableId="49354275">
    <w:abstractNumId w:val="53"/>
  </w:num>
  <w:num w:numId="91" w16cid:durableId="1001548348">
    <w:abstractNumId w:val="51"/>
  </w:num>
  <w:num w:numId="92" w16cid:durableId="2006082301">
    <w:abstractNumId w:val="82"/>
  </w:num>
  <w:num w:numId="93" w16cid:durableId="976766398">
    <w:abstractNumId w:val="79"/>
  </w:num>
  <w:num w:numId="94" w16cid:durableId="2106262367">
    <w:abstractNumId w:val="25"/>
  </w:num>
  <w:num w:numId="95" w16cid:durableId="1912232189">
    <w:abstractNumId w:val="87"/>
  </w:num>
  <w:num w:numId="96" w16cid:durableId="2046952445">
    <w:abstractNumId w:val="19"/>
  </w:num>
  <w:num w:numId="97" w16cid:durableId="1274171964">
    <w:abstractNumId w:val="72"/>
  </w:num>
  <w:num w:numId="98" w16cid:durableId="376440265">
    <w:abstractNumId w:val="58"/>
  </w:num>
  <w:num w:numId="99" w16cid:durableId="1441559849">
    <w:abstractNumId w:val="20"/>
  </w:num>
  <w:num w:numId="100" w16cid:durableId="197861595">
    <w:abstractNumId w:val="22"/>
  </w:num>
  <w:num w:numId="101" w16cid:durableId="1357736027">
    <w:abstractNumId w:val="97"/>
  </w:num>
  <w:num w:numId="102" w16cid:durableId="808547090">
    <w:abstractNumId w:val="96"/>
  </w:num>
  <w:num w:numId="103" w16cid:durableId="1224561283">
    <w:abstractNumId w:val="14"/>
  </w:num>
  <w:num w:numId="104" w16cid:durableId="1608777844">
    <w:abstractNumId w:val="21"/>
  </w:num>
  <w:num w:numId="105" w16cid:durableId="1319530832">
    <w:abstractNumId w:val="102"/>
  </w:num>
  <w:num w:numId="106" w16cid:durableId="1310593674">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71</Pages>
  <Words>33250</Words>
  <Characters>181703</Characters>
  <Application>Microsoft Office Word</Application>
  <DocSecurity>0</DocSecurity>
  <Lines>3976</Lines>
  <Paragraphs>2383</Paragraphs>
  <ScaleCrop>false</ScaleCrop>
  <Company/>
  <LinksUpToDate>false</LinksUpToDate>
  <CharactersWithSpaces>213080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Jin, Liqiang/金 立强</cp:lastModifiedBy>
  <cp:revision>6</cp:revision>
  <dcterms:created xsi:type="dcterms:W3CDTF">2026-02-09T08:21:00Z</dcterms:created>
  <dcterms:modified xsi:type="dcterms:W3CDTF">2026-02-09T08:34:00Z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8sY3AJcDiQot7u6Dt56vN8U44Rz5ohH6IQqY1ch5mmm4=</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