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>
        <w:rPr>
          <w:rFonts w:ascii="Times New Roman" w:eastAsia="Times New Roman" w:hAnsi="Times New Roman"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3B24443A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4353AC67" w14:textId="72AE4FAD" w:rsidR="007A2081" w:rsidRPr="0097219E" w:rsidRDefault="007A2081" w:rsidP="007A2081">
      <w:pPr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Times New Roman" w:hAnsi="Times New Roman" w:hint="eastAsia"/>
          <w:highlight w:val="yellow"/>
        </w:rPr>
        <w:t xml:space="preserve">Possible </w:t>
      </w:r>
      <w:r w:rsidRPr="0097219E">
        <w:rPr>
          <w:rFonts w:ascii="Times New Roman" w:eastAsia="ＭＳ 明朝" w:hAnsi="Times New Roman" w:hint="eastAsia"/>
          <w:highlight w:val="yellow"/>
          <w:lang w:eastAsia="ja-JP"/>
        </w:rPr>
        <w:t>A</w:t>
      </w:r>
      <w:r w:rsidRPr="0097219E">
        <w:rPr>
          <w:rFonts w:ascii="Times New Roman" w:eastAsia="Times New Roman" w:hAnsi="Times New Roman" w:hint="eastAsia"/>
          <w:highlight w:val="yellow"/>
        </w:rPr>
        <w:t>greement:</w:t>
      </w:r>
    </w:p>
    <w:p w14:paraId="7C09B7FE" w14:textId="77777777" w:rsidR="007A2081" w:rsidRPr="0097219E" w:rsidRDefault="007A2081" w:rsidP="007A2081">
      <w:pPr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Times New Roman" w:hAnsi="Times New Roman"/>
          <w:highlight w:val="yellow"/>
        </w:rPr>
        <w:t>Support indicating the UL beam information via one or a combination of multiple options from following options, for down-selection:</w:t>
      </w:r>
    </w:p>
    <w:p w14:paraId="1BE47D8B" w14:textId="019E16B0" w:rsidR="007A2081" w:rsidRPr="0097219E" w:rsidRDefault="007A2081" w:rsidP="007A2081">
      <w:pPr>
        <w:pStyle w:val="afe"/>
        <w:numPr>
          <w:ilvl w:val="0"/>
          <w:numId w:val="34"/>
        </w:numPr>
        <w:ind w:leftChars="0"/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Times New Roman" w:hAnsi="Times New Roman" w:hint="eastAsia"/>
          <w:highlight w:val="yellow"/>
        </w:rPr>
        <w:t xml:space="preserve">Option 1: </w:t>
      </w:r>
      <w:r w:rsidRPr="0097219E">
        <w:rPr>
          <w:rFonts w:ascii="Times New Roman" w:eastAsia="Times New Roman" w:hAnsi="Times New Roman"/>
          <w:highlight w:val="yellow"/>
        </w:rPr>
        <w:t>implicitly indicated by RA-RNTI</w:t>
      </w:r>
    </w:p>
    <w:p w14:paraId="27B0F120" w14:textId="77777777" w:rsidR="007A2081" w:rsidRPr="0097219E" w:rsidRDefault="007A2081" w:rsidP="007A2081">
      <w:pPr>
        <w:pStyle w:val="afe"/>
        <w:numPr>
          <w:ilvl w:val="0"/>
          <w:numId w:val="34"/>
        </w:numPr>
        <w:ind w:leftChars="0"/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Times New Roman" w:hAnsi="Times New Roman"/>
          <w:highlight w:val="yellow"/>
        </w:rPr>
        <w:t>Option 3: explicitly indicated by repurposing field(s) in UL Grant in RAR</w:t>
      </w:r>
    </w:p>
    <w:p w14:paraId="4A1F11DF" w14:textId="6A01F5FE" w:rsidR="007A2081" w:rsidRPr="0097219E" w:rsidRDefault="007A2081" w:rsidP="007A2081">
      <w:pPr>
        <w:pStyle w:val="afe"/>
        <w:numPr>
          <w:ilvl w:val="0"/>
          <w:numId w:val="34"/>
        </w:numPr>
        <w:ind w:leftChars="0"/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Times New Roman" w:hAnsi="Times New Roman"/>
          <w:highlight w:val="yellow"/>
        </w:rPr>
        <w:t xml:space="preserve">Option 4: </w:t>
      </w:r>
      <w:r w:rsidRPr="0097219E">
        <w:rPr>
          <w:rFonts w:ascii="Times New Roman" w:eastAsia="SimSun" w:hAnsi="Times New Roman"/>
          <w:color w:val="000000"/>
          <w:szCs w:val="20"/>
          <w:highlight w:val="yellow"/>
        </w:rPr>
        <w:t>explicitly indicated by introducing new field in MAC RAR</w:t>
      </w:r>
    </w:p>
    <w:p w14:paraId="696A1A99" w14:textId="65F9BF3F" w:rsidR="0097219E" w:rsidRPr="0097219E" w:rsidRDefault="0097219E" w:rsidP="0097219E">
      <w:pPr>
        <w:pStyle w:val="afe"/>
        <w:numPr>
          <w:ilvl w:val="1"/>
          <w:numId w:val="34"/>
        </w:numPr>
        <w:ind w:leftChars="0"/>
        <w:rPr>
          <w:rFonts w:ascii="Times New Roman" w:eastAsia="Times New Roman" w:hAnsi="Times New Roman"/>
          <w:highlight w:val="yellow"/>
        </w:rPr>
      </w:pPr>
      <w:proofErr w:type="spellStart"/>
      <w:r w:rsidRPr="0097219E">
        <w:rPr>
          <w:rFonts w:ascii="Times New Roman" w:eastAsia="ＭＳ 明朝" w:hAnsi="Times New Roman" w:hint="eastAsia"/>
          <w:color w:val="000000"/>
          <w:szCs w:val="20"/>
          <w:highlight w:val="yellow"/>
          <w:lang w:eastAsia="ja-JP"/>
        </w:rPr>
        <w:t>gNB</w:t>
      </w:r>
      <w:proofErr w:type="spellEnd"/>
      <w:r w:rsidRPr="0097219E">
        <w:rPr>
          <w:rFonts w:ascii="Times New Roman" w:eastAsia="ＭＳ 明朝" w:hAnsi="Times New Roman" w:hint="eastAsia"/>
          <w:color w:val="000000"/>
          <w:szCs w:val="20"/>
          <w:highlight w:val="yellow"/>
          <w:lang w:eastAsia="ja-JP"/>
        </w:rPr>
        <w:t xml:space="preserve"> complexity due to different payload size for different UEs</w:t>
      </w:r>
    </w:p>
    <w:p w14:paraId="3A6DAFA8" w14:textId="2CF2C289" w:rsidR="0097219E" w:rsidRPr="0097219E" w:rsidRDefault="0097219E" w:rsidP="0097219E">
      <w:pPr>
        <w:pStyle w:val="afe"/>
        <w:numPr>
          <w:ilvl w:val="1"/>
          <w:numId w:val="34"/>
        </w:numPr>
        <w:ind w:leftChars="0"/>
        <w:rPr>
          <w:rFonts w:ascii="Times New Roman" w:eastAsia="Times New Roman" w:hAnsi="Times New Roman"/>
          <w:highlight w:val="yellow"/>
        </w:rPr>
      </w:pPr>
      <w:r w:rsidRPr="0097219E">
        <w:rPr>
          <w:rFonts w:ascii="Times New Roman" w:eastAsia="ＭＳ 明朝" w:hAnsi="Times New Roman" w:hint="eastAsia"/>
          <w:color w:val="000000"/>
          <w:szCs w:val="20"/>
          <w:highlight w:val="yellow"/>
          <w:lang w:eastAsia="ja-JP"/>
        </w:rPr>
        <w:t>whether RAN2 can accept the introduction of new field</w:t>
      </w:r>
    </w:p>
    <w:p w14:paraId="0F6DB1E4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2C25A55B" w14:textId="1F70B8DF" w:rsidR="0097219E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Possible agreement</w:t>
      </w:r>
    </w:p>
    <w:p w14:paraId="03A9DFB5" w14:textId="71FA0416" w:rsidR="00947F09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For 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the determination of 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total number of PRACH transmissions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 per RACH attempt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, RSRP-based criteria </w:t>
      </w:r>
      <w:proofErr w:type="gramStart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>is</w:t>
      </w:r>
      <w:proofErr w:type="gramEnd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 supported.</w:t>
      </w:r>
    </w:p>
    <w:p w14:paraId="5C7E4C4B" w14:textId="2027D90B" w:rsidR="00947F09" w:rsidRPr="00947F09" w:rsidRDefault="00947F09" w:rsidP="00947F09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 w:hint="eastAsia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FFS: details</w:t>
      </w:r>
    </w:p>
    <w:p w14:paraId="18F9D456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17382C48" w14:textId="6993FF88" w:rsidR="009B2797" w:rsidRPr="009B2797" w:rsidRDefault="009B2797" w:rsidP="009B2797">
      <w:pPr>
        <w:rPr>
          <w:rFonts w:ascii="Times New Roman" w:eastAsia="ＭＳ 明朝" w:hAnsi="Times New Roman"/>
          <w:highlight w:val="green"/>
          <w:lang w:eastAsia="ja-JP"/>
        </w:rPr>
      </w:pPr>
      <w:r w:rsidRPr="009B2797">
        <w:rPr>
          <w:rFonts w:ascii="Times New Roman" w:eastAsia="ＭＳ 明朝" w:hAnsi="Times New Roman" w:hint="eastAsia"/>
          <w:highlight w:val="green"/>
          <w:lang w:eastAsia="ja-JP"/>
        </w:rPr>
        <w:t>A</w:t>
      </w:r>
      <w:r w:rsidRPr="009B2797">
        <w:rPr>
          <w:rFonts w:ascii="Times New Roman" w:eastAsia="ＭＳ 明朝" w:hAnsi="Times New Roman" w:hint="eastAsia"/>
          <w:highlight w:val="green"/>
          <w:lang w:eastAsia="ja-JP"/>
        </w:rPr>
        <w:t>greement</w:t>
      </w:r>
      <w:r>
        <w:rPr>
          <w:rFonts w:ascii="Times New Roman" w:eastAsia="ＭＳ 明朝" w:hAnsi="Times New Roman" w:hint="eastAsia"/>
          <w:highlight w:val="green"/>
          <w:lang w:eastAsia="ja-JP"/>
        </w:rPr>
        <w:t>:</w:t>
      </w:r>
    </w:p>
    <w:p w14:paraId="3CF259CB" w14:textId="36BC2E4C" w:rsidR="009B2797" w:rsidRPr="009B2797" w:rsidRDefault="009B2797" w:rsidP="0038747D">
      <w:pPr>
        <w:rPr>
          <w:rFonts w:ascii="Times New Roman" w:eastAsia="ＭＳ 明朝" w:hAnsi="Times New Roman"/>
          <w:lang w:eastAsia="ja-JP"/>
        </w:rPr>
      </w:pPr>
      <w:r w:rsidRPr="009B2797">
        <w:rPr>
          <w:rFonts w:ascii="Times New Roman" w:eastAsia="ＭＳ 明朝" w:hAnsi="Times New Roman"/>
          <w:lang w:eastAsia="ja-JP"/>
        </w:rPr>
        <w:t xml:space="preserve">Support </w:t>
      </w:r>
      <w:r>
        <w:rPr>
          <w:rFonts w:ascii="Times New Roman" w:eastAsia="ＭＳ 明朝" w:hAnsi="Times New Roman" w:hint="eastAsia"/>
          <w:lang w:eastAsia="ja-JP"/>
        </w:rPr>
        <w:t>[</w:t>
      </w:r>
      <w:r w:rsidRPr="009B2797">
        <w:rPr>
          <w:rFonts w:ascii="Times New Roman" w:eastAsia="ＭＳ 明朝" w:hAnsi="Times New Roman"/>
          <w:lang w:eastAsia="ja-JP"/>
        </w:rPr>
        <w:t>request or capability report</w:t>
      </w:r>
      <w:r>
        <w:rPr>
          <w:rFonts w:ascii="Times New Roman" w:eastAsia="ＭＳ 明朝" w:hAnsi="Times New Roman" w:hint="eastAsia"/>
          <w:lang w:eastAsia="ja-JP"/>
        </w:rPr>
        <w:t>]</w:t>
      </w:r>
      <w:r w:rsidRPr="009B2797">
        <w:rPr>
          <w:rFonts w:ascii="Times New Roman" w:eastAsia="ＭＳ 明朝" w:hAnsi="Times New Roman"/>
          <w:lang w:eastAsia="ja-JP"/>
        </w:rPr>
        <w:t xml:space="preserve"> of PUSCH repetition scheduled by DCI 0_0 with C-RNTI before receiving </w:t>
      </w:r>
      <w:proofErr w:type="spellStart"/>
      <w:r w:rsidRPr="009B2797">
        <w:rPr>
          <w:rFonts w:ascii="Times New Roman" w:eastAsia="ＭＳ 明朝" w:hAnsi="Times New Roman"/>
          <w:lang w:eastAsia="ja-JP"/>
        </w:rPr>
        <w:t>RRCReconfiguration</w:t>
      </w:r>
      <w:proofErr w:type="spellEnd"/>
      <w:r w:rsidRPr="009B2797">
        <w:rPr>
          <w:rFonts w:ascii="Times New Roman" w:eastAsia="ＭＳ 明朝" w:hAnsi="Times New Roman"/>
          <w:lang w:eastAsia="ja-JP"/>
        </w:rPr>
        <w:t xml:space="preserve"> in Msg3.</w:t>
      </w:r>
    </w:p>
    <w:p w14:paraId="13ABB771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0FE990C4" w14:textId="0E36DB9E" w:rsidR="009B2797" w:rsidRPr="000F615E" w:rsidRDefault="009B2797" w:rsidP="009B2797">
      <w:pPr>
        <w:rPr>
          <w:rFonts w:ascii="Times New Roman" w:eastAsia="ＭＳ 明朝" w:hAnsi="Times New Roman" w:hint="eastAsia"/>
          <w:highlight w:val="yellow"/>
          <w:lang w:eastAsia="ja-JP"/>
        </w:rPr>
      </w:pP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Possible agreement:</w:t>
      </w:r>
    </w:p>
    <w:p w14:paraId="0E636B26" w14:textId="4E8B423D" w:rsidR="009B2797" w:rsidRPr="000F615E" w:rsidRDefault="009B2797" w:rsidP="009B2797">
      <w:pPr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Pi/2-BPSK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is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extended to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all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MCS entries in MCS tables with spectrum efficiency smaller than 0.8770.</w:t>
      </w:r>
    </w:p>
    <w:p w14:paraId="59EE431B" w14:textId="5056EA4E" w:rsidR="009B2797" w:rsidRPr="000F615E" w:rsidRDefault="009B2797" w:rsidP="009B2797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>FFS: when spectrum efficiency equals to 0.8770</w:t>
      </w:r>
    </w:p>
    <w:p w14:paraId="76BE90B6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4B8CC1E3" w14:textId="77777777" w:rsidR="009B2797" w:rsidRPr="007A2081" w:rsidRDefault="009B2797" w:rsidP="0038747D">
      <w:pPr>
        <w:rPr>
          <w:rFonts w:ascii="Times New Roman" w:eastAsia="ＭＳ 明朝" w:hAnsi="Times New Roman" w:hint="eastAsia"/>
          <w:lang w:eastAsia="ja-JP"/>
        </w:rPr>
      </w:pPr>
    </w:p>
    <w:p w14:paraId="27A9DCD6" w14:textId="482B2B2D" w:rsidR="0038747D" w:rsidRDefault="0038747D" w:rsidP="0038747D">
      <w:r>
        <w:rPr>
          <w:rFonts w:ascii="Times New Roman" w:eastAsia="Times New Roman" w:hAnsi="Times New Roman"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89C0F4" w14:textId="0FADB73D" w:rsidR="0038747D" w:rsidRDefault="0038747D" w:rsidP="0038747D">
      <w:r>
        <w:rPr>
          <w:rFonts w:ascii="Times New Roman" w:eastAsia="Times New Roman" w:hAnsi="Times New Roman"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1BC27DB" w14:textId="4AFC2C2D" w:rsidR="0038747D" w:rsidRDefault="0038747D" w:rsidP="0038747D">
      <w:r>
        <w:rPr>
          <w:rFonts w:ascii="Times New Roman" w:eastAsia="Times New Roman" w:hAnsi="Times New Roman"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lastRenderedPageBreak/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>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C403" w14:textId="77777777" w:rsidR="001155AA" w:rsidRDefault="001155AA">
      <w:r>
        <w:separator/>
      </w:r>
    </w:p>
  </w:endnote>
  <w:endnote w:type="continuationSeparator" w:id="0">
    <w:p w14:paraId="6FE5D9E0" w14:textId="77777777" w:rsidR="001155AA" w:rsidRDefault="0011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6C37" w14:textId="77777777" w:rsidR="001155AA" w:rsidRDefault="001155AA">
      <w:r>
        <w:separator/>
      </w:r>
    </w:p>
  </w:footnote>
  <w:footnote w:type="continuationSeparator" w:id="0">
    <w:p w14:paraId="61FDE1E7" w14:textId="77777777" w:rsidR="001155AA" w:rsidRDefault="0011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3D9B2FC9"/>
    <w:multiLevelType w:val="hybridMultilevel"/>
    <w:tmpl w:val="92B838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9C5138"/>
    <w:multiLevelType w:val="hybridMultilevel"/>
    <w:tmpl w:val="417A5E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F4DBF"/>
    <w:multiLevelType w:val="hybridMultilevel"/>
    <w:tmpl w:val="CF06AA6A"/>
    <w:lvl w:ilvl="0" w:tplc="79C879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5"/>
  </w:num>
  <w:num w:numId="4" w16cid:durableId="1495148429">
    <w:abstractNumId w:val="34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1"/>
  </w:num>
  <w:num w:numId="8" w16cid:durableId="903375730">
    <w:abstractNumId w:val="11"/>
  </w:num>
  <w:num w:numId="9" w16cid:durableId="646320922">
    <w:abstractNumId w:val="36"/>
  </w:num>
  <w:num w:numId="10" w16cid:durableId="514416341">
    <w:abstractNumId w:val="16"/>
  </w:num>
  <w:num w:numId="11" w16cid:durableId="1468474526">
    <w:abstractNumId w:val="31"/>
  </w:num>
  <w:num w:numId="12" w16cid:durableId="1347251692">
    <w:abstractNumId w:val="33"/>
  </w:num>
  <w:num w:numId="13" w16cid:durableId="893658488">
    <w:abstractNumId w:val="15"/>
  </w:num>
  <w:num w:numId="14" w16cid:durableId="710350081">
    <w:abstractNumId w:val="22"/>
  </w:num>
  <w:num w:numId="15" w16cid:durableId="1560824571">
    <w:abstractNumId w:val="26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8"/>
  </w:num>
  <w:num w:numId="27" w16cid:durableId="78796323">
    <w:abstractNumId w:val="18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1441606294">
    <w:abstractNumId w:val="27"/>
  </w:num>
  <w:num w:numId="34" w16cid:durableId="176621056">
    <w:abstractNumId w:val="24"/>
  </w:num>
  <w:num w:numId="35" w16cid:durableId="2039742788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15E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5AA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A78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081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47F09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19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97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2025-11-17T21:31:00Z</dcterms:created>
  <dcterms:modified xsi:type="dcterms:W3CDTF">2025-11-17T22:34:00Z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