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426"/>
        <w:gridCol w:w="708"/>
        <w:gridCol w:w="2637"/>
        <w:gridCol w:w="280"/>
        <w:gridCol w:w="9"/>
        <w:gridCol w:w="4672"/>
      </w:tblGrid>
      <w:tr w:rsidR="00647C7E" w14:paraId="104BE21B" w14:textId="77777777">
        <w:trPr>
          <w:cantSplit/>
        </w:trPr>
        <w:tc>
          <w:tcPr>
            <w:tcW w:w="1276" w:type="dxa"/>
            <w:vMerge w:val="restart"/>
          </w:tcPr>
          <w:p w14:paraId="14B67E2E" w14:textId="77777777" w:rsidR="00647C7E" w:rsidRDefault="00C4774E">
            <w:pPr>
              <w:rPr>
                <w:sz w:val="20"/>
              </w:rPr>
            </w:pPr>
            <w:bookmarkStart w:id="0" w:name="dnum" w:colFirst="2" w:colLast="2"/>
            <w:bookmarkStart w:id="1" w:name="dtableau"/>
            <w:r>
              <w:rPr>
                <w:noProof/>
                <w:sz w:val="20"/>
                <w:lang w:val="en-US" w:eastAsia="zh-CN"/>
              </w:rPr>
              <w:drawing>
                <wp:inline distT="0" distB="0" distL="0" distR="0" wp14:anchorId="789BE0D4" wp14:editId="0F0D17A9">
                  <wp:extent cx="650875" cy="826770"/>
                  <wp:effectExtent l="0" t="0" r="0" b="0"/>
                  <wp:docPr id="1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encilGrayscale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  <w:gridSpan w:val="5"/>
            <w:vMerge w:val="restart"/>
          </w:tcPr>
          <w:p w14:paraId="38136CA6" w14:textId="77777777" w:rsidR="00647C7E" w:rsidRDefault="00C477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INTERNATIONAL TELECOMMUNICATION UNION</w:t>
            </w:r>
          </w:p>
          <w:p w14:paraId="5C3BF026" w14:textId="77777777" w:rsidR="00647C7E" w:rsidRDefault="00C4774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TELECOMMUNICATION</w:t>
            </w:r>
            <w:r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278C577" w14:textId="77777777" w:rsidR="00647C7E" w:rsidRDefault="00C4774E">
            <w:pPr>
              <w:rPr>
                <w:sz w:val="20"/>
              </w:rPr>
            </w:pPr>
            <w:r>
              <w:rPr>
                <w:sz w:val="20"/>
              </w:rPr>
              <w:t xml:space="preserve">STUDY PERIOD </w:t>
            </w:r>
            <w:bookmarkStart w:id="2" w:name="dstudyperiod"/>
            <w:r>
              <w:rPr>
                <w:sz w:val="20"/>
              </w:rPr>
              <w:t>2025-202</w:t>
            </w:r>
            <w:bookmarkEnd w:id="2"/>
            <w:r>
              <w:rPr>
                <w:sz w:val="20"/>
              </w:rPr>
              <w:t>8</w:t>
            </w:r>
          </w:p>
        </w:tc>
        <w:tc>
          <w:tcPr>
            <w:tcW w:w="4672" w:type="dxa"/>
            <w:vAlign w:val="center"/>
          </w:tcPr>
          <w:p w14:paraId="6E3C09AB" w14:textId="47AD984C" w:rsidR="00647C7E" w:rsidRPr="009D610C" w:rsidRDefault="00C4774E">
            <w:pPr>
              <w:pStyle w:val="Docnumber"/>
              <w:rPr>
                <w:szCs w:val="40"/>
                <w:lang w:val="en-US" w:eastAsia="zh-CN"/>
              </w:rPr>
            </w:pPr>
            <w:r w:rsidRPr="009D610C">
              <w:rPr>
                <w:szCs w:val="40"/>
              </w:rPr>
              <w:t>JCA-IMT2020-</w:t>
            </w:r>
            <w:r w:rsidR="002253E7">
              <w:rPr>
                <w:szCs w:val="40"/>
                <w:lang w:val="en-US"/>
              </w:rPr>
              <w:t>LS18</w:t>
            </w:r>
          </w:p>
        </w:tc>
      </w:tr>
      <w:tr w:rsidR="00647C7E" w14:paraId="6E3B3E0B" w14:textId="77777777">
        <w:trPr>
          <w:cantSplit/>
        </w:trPr>
        <w:tc>
          <w:tcPr>
            <w:tcW w:w="1276" w:type="dxa"/>
            <w:vMerge/>
          </w:tcPr>
          <w:p w14:paraId="4A2DEF76" w14:textId="77777777" w:rsidR="00647C7E" w:rsidRDefault="00647C7E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60" w:type="dxa"/>
            <w:gridSpan w:val="5"/>
            <w:vMerge/>
          </w:tcPr>
          <w:p w14:paraId="5F4870E9" w14:textId="77777777" w:rsidR="00647C7E" w:rsidRDefault="00647C7E">
            <w:pPr>
              <w:rPr>
                <w:smallCaps/>
                <w:sz w:val="20"/>
              </w:rPr>
            </w:pPr>
          </w:p>
        </w:tc>
        <w:tc>
          <w:tcPr>
            <w:tcW w:w="4672" w:type="dxa"/>
          </w:tcPr>
          <w:p w14:paraId="79207BD3" w14:textId="77777777" w:rsidR="00647C7E" w:rsidRDefault="00C4774E">
            <w:pPr>
              <w:pStyle w:val="Docnumber"/>
              <w:rPr>
                <w:b w:val="0"/>
                <w:bCs w:val="0"/>
                <w:smallCaps/>
                <w:sz w:val="28"/>
                <w:szCs w:val="28"/>
              </w:rPr>
            </w:pPr>
            <w:r>
              <w:t>JCA-IMT2020</w:t>
            </w:r>
          </w:p>
        </w:tc>
      </w:tr>
      <w:bookmarkEnd w:id="3"/>
      <w:tr w:rsidR="00647C7E" w14:paraId="23A9C265" w14:textId="77777777">
        <w:trPr>
          <w:cantSplit/>
        </w:trPr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71C81784" w14:textId="77777777" w:rsidR="00647C7E" w:rsidRDefault="00647C7E">
            <w:pPr>
              <w:rPr>
                <w:b/>
                <w:bCs/>
                <w:sz w:val="26"/>
              </w:rPr>
            </w:pPr>
          </w:p>
        </w:tc>
        <w:tc>
          <w:tcPr>
            <w:tcW w:w="4060" w:type="dxa"/>
            <w:gridSpan w:val="5"/>
            <w:vMerge/>
            <w:tcBorders>
              <w:bottom w:val="single" w:sz="12" w:space="0" w:color="auto"/>
            </w:tcBorders>
          </w:tcPr>
          <w:p w14:paraId="243B15F8" w14:textId="77777777" w:rsidR="00647C7E" w:rsidRDefault="00647C7E">
            <w:pPr>
              <w:rPr>
                <w:b/>
                <w:bCs/>
                <w:sz w:val="26"/>
              </w:rPr>
            </w:pPr>
          </w:p>
        </w:tc>
        <w:tc>
          <w:tcPr>
            <w:tcW w:w="4672" w:type="dxa"/>
            <w:tcBorders>
              <w:bottom w:val="single" w:sz="12" w:space="0" w:color="auto"/>
            </w:tcBorders>
            <w:vAlign w:val="center"/>
          </w:tcPr>
          <w:p w14:paraId="09C69E0B" w14:textId="77777777" w:rsidR="00647C7E" w:rsidRDefault="00C4774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647C7E" w14:paraId="236FB8E0" w14:textId="77777777">
        <w:trPr>
          <w:cantSplit/>
        </w:trPr>
        <w:tc>
          <w:tcPr>
            <w:tcW w:w="5327" w:type="dxa"/>
            <w:gridSpan w:val="5"/>
          </w:tcPr>
          <w:p w14:paraId="42937196" w14:textId="77777777" w:rsidR="00647C7E" w:rsidRDefault="00647C7E">
            <w:pPr>
              <w:spacing w:before="80"/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4681" w:type="dxa"/>
            <w:gridSpan w:val="2"/>
          </w:tcPr>
          <w:p w14:paraId="2D79599D" w14:textId="413C308A" w:rsidR="00647C7E" w:rsidRDefault="00C559A0">
            <w:pPr>
              <w:spacing w:before="80"/>
              <w:jc w:val="right"/>
            </w:pPr>
            <w:r>
              <w:t>Tashkent, 29 October</w:t>
            </w:r>
            <w:r w:rsidR="00C4774E">
              <w:rPr>
                <w:rFonts w:hint="eastAsia"/>
                <w:lang w:val="en-US" w:eastAsia="zh-CN"/>
              </w:rPr>
              <w:t xml:space="preserve"> </w:t>
            </w:r>
            <w:r w:rsidR="00C4774E">
              <w:t xml:space="preserve">2025 </w:t>
            </w:r>
          </w:p>
        </w:tc>
      </w:tr>
      <w:tr w:rsidR="002253E7" w14:paraId="6EF1455F" w14:textId="77777777" w:rsidTr="00A229BB">
        <w:trPr>
          <w:cantSplit/>
        </w:trPr>
        <w:tc>
          <w:tcPr>
            <w:tcW w:w="10008" w:type="dxa"/>
            <w:gridSpan w:val="7"/>
            <w:vAlign w:val="center"/>
          </w:tcPr>
          <w:p w14:paraId="10141EE1" w14:textId="5ADE1530" w:rsidR="002253E7" w:rsidRDefault="002253E7" w:rsidP="002253E7">
            <w:pPr>
              <w:spacing w:before="80"/>
              <w:jc w:val="center"/>
              <w:rPr>
                <w:b/>
                <w:bCs/>
              </w:rPr>
            </w:pPr>
            <w:bookmarkStart w:id="6" w:name="ddoctype" w:colFirst="0" w:colLast="0"/>
            <w:bookmarkEnd w:id="4"/>
            <w:bookmarkEnd w:id="5"/>
            <w:bookmarkEnd w:id="1"/>
            <w:r w:rsidRPr="00BC7D9D">
              <w:rPr>
                <w:b/>
                <w:bCs/>
                <w:lang w:val="pt-PT"/>
              </w:rPr>
              <w:t xml:space="preserve">(Ref: </w:t>
            </w:r>
            <w:r w:rsidRPr="002253E7">
              <w:rPr>
                <w:b/>
                <w:bCs/>
                <w:color w:val="0000FF"/>
              </w:rPr>
              <w:t>JCA-IMT2020-</w:t>
            </w:r>
            <w:r w:rsidRPr="002253E7">
              <w:rPr>
                <w:b/>
                <w:bCs/>
                <w:color w:val="0000FF"/>
                <w:lang w:val="en-US"/>
              </w:rPr>
              <w:t>O-040</w:t>
            </w:r>
            <w:r w:rsidRPr="00BC7D9D">
              <w:rPr>
                <w:b/>
                <w:bCs/>
                <w:lang w:val="pt-PT"/>
              </w:rPr>
              <w:t>)</w:t>
            </w:r>
          </w:p>
        </w:tc>
      </w:tr>
      <w:tr w:rsidR="002253E7" w14:paraId="039249A4" w14:textId="77777777">
        <w:trPr>
          <w:cantSplit/>
        </w:trPr>
        <w:tc>
          <w:tcPr>
            <w:tcW w:w="1702" w:type="dxa"/>
            <w:gridSpan w:val="2"/>
          </w:tcPr>
          <w:p w14:paraId="38FF5116" w14:textId="77777777" w:rsidR="002253E7" w:rsidRDefault="002253E7" w:rsidP="002253E7">
            <w:pPr>
              <w:spacing w:before="80"/>
              <w:rPr>
                <w:b/>
                <w:bCs/>
              </w:rPr>
            </w:pPr>
            <w:bookmarkStart w:id="7" w:name="dsource" w:colFirst="1" w:colLast="1"/>
            <w:bookmarkEnd w:id="6"/>
            <w:r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5"/>
          </w:tcPr>
          <w:p w14:paraId="35D69155" w14:textId="57493A74" w:rsidR="002253E7" w:rsidRDefault="002253E7" w:rsidP="002253E7">
            <w:pPr>
              <w:spacing w:before="80"/>
            </w:pPr>
            <w:r>
              <w:t>JCA-IMT2020</w:t>
            </w:r>
          </w:p>
        </w:tc>
      </w:tr>
      <w:tr w:rsidR="002253E7" w14:paraId="22250E37" w14:textId="77777777">
        <w:trPr>
          <w:cantSplit/>
        </w:trPr>
        <w:tc>
          <w:tcPr>
            <w:tcW w:w="1702" w:type="dxa"/>
            <w:gridSpan w:val="2"/>
          </w:tcPr>
          <w:p w14:paraId="1E1FD14D" w14:textId="77777777" w:rsidR="002253E7" w:rsidRDefault="002253E7" w:rsidP="002253E7">
            <w:pPr>
              <w:spacing w:before="80"/>
            </w:pPr>
            <w:bookmarkStart w:id="8" w:name="dtitle1" w:colFirst="1" w:colLast="1"/>
            <w:bookmarkEnd w:id="7"/>
            <w:r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5"/>
          </w:tcPr>
          <w:p w14:paraId="45AD3DB4" w14:textId="2F545387" w:rsidR="002253E7" w:rsidRDefault="002253E7" w:rsidP="002253E7">
            <w:pPr>
              <w:spacing w:before="80"/>
            </w:pPr>
            <w:r>
              <w:t xml:space="preserve">LS on Invitation to update the information in the IMT-2020 and beyond roadmap </w:t>
            </w:r>
          </w:p>
        </w:tc>
      </w:tr>
      <w:bookmarkEnd w:id="8"/>
      <w:tr w:rsidR="002253E7" w14:paraId="2C1E6BF5" w14:textId="77777777">
        <w:trPr>
          <w:cantSplit/>
          <w:trHeight w:val="357"/>
        </w:trPr>
        <w:tc>
          <w:tcPr>
            <w:tcW w:w="10008" w:type="dxa"/>
            <w:gridSpan w:val="7"/>
            <w:tcBorders>
              <w:top w:val="single" w:sz="12" w:space="0" w:color="auto"/>
            </w:tcBorders>
          </w:tcPr>
          <w:p w14:paraId="029F1612" w14:textId="77777777" w:rsidR="002253E7" w:rsidRDefault="002253E7" w:rsidP="002253E7">
            <w:pPr>
              <w:spacing w:before="80"/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2253E7" w14:paraId="713FFD77" w14:textId="77777777">
        <w:trPr>
          <w:cantSplit/>
          <w:trHeight w:val="357"/>
        </w:trPr>
        <w:tc>
          <w:tcPr>
            <w:tcW w:w="2410" w:type="dxa"/>
            <w:gridSpan w:val="3"/>
          </w:tcPr>
          <w:p w14:paraId="2620716C" w14:textId="77777777" w:rsidR="002253E7" w:rsidRDefault="002253E7" w:rsidP="002253E7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598" w:type="dxa"/>
            <w:gridSpan w:val="4"/>
          </w:tcPr>
          <w:p w14:paraId="45ABF76D" w14:textId="731EEBB1" w:rsidR="002253E7" w:rsidRDefault="002253E7" w:rsidP="002253E7">
            <w:pPr>
              <w:pStyle w:val="LSForAction"/>
              <w:rPr>
                <w:b w:val="0"/>
                <w:bCs w:val="0"/>
                <w:lang w:eastAsia="ja-JP"/>
              </w:rPr>
            </w:pPr>
            <w:r>
              <w:rPr>
                <w:b w:val="0"/>
                <w:bCs w:val="0"/>
                <w:lang w:eastAsia="ja-JP"/>
              </w:rPr>
              <w:t xml:space="preserve">All </w:t>
            </w:r>
            <w:r>
              <w:rPr>
                <w:rFonts w:hint="eastAsia"/>
                <w:b w:val="0"/>
                <w:bCs w:val="0"/>
                <w:lang w:eastAsia="ja-JP"/>
              </w:rPr>
              <w:t xml:space="preserve">ITU-T </w:t>
            </w:r>
            <w:r>
              <w:rPr>
                <w:b w:val="0"/>
                <w:bCs w:val="0"/>
                <w:lang w:eastAsia="ja-JP"/>
              </w:rPr>
              <w:t xml:space="preserve">Study Groups, ITU-R SG5 and ITU-D SG2, 3GPP (Core Network and Terminals, RAN, Service and System Aspects), Broadband Forum, ETSI (ISG MEC, ISG NFV, Millimetre Wave Transmission), GSMA (Network 2020), IEEE 802.1, IEEE </w:t>
            </w:r>
            <w:r>
              <w:rPr>
                <w:b w:val="0"/>
                <w:bCs w:val="0"/>
                <w:lang w:val="en-US" w:eastAsia="ja-JP"/>
              </w:rPr>
              <w:t>Future Networks Initiative</w:t>
            </w:r>
            <w:r>
              <w:rPr>
                <w:b w:val="0"/>
                <w:bCs w:val="0"/>
                <w:lang w:eastAsia="ja-JP"/>
              </w:rPr>
              <w:t>, IEEE 1914, IETF (DETNET, DMM, SFC, CCAMP and TEAS), Mplify Alliance, NGNM (5G Work Programme), OASIS (TOSCA), oneM2M,  Linux Foundation, ONAP, OSSDN, SCF, TM Forum, TTA (Telecommunications Convergence), TSDSI</w:t>
            </w:r>
          </w:p>
        </w:tc>
      </w:tr>
      <w:tr w:rsidR="002253E7" w14:paraId="3B9BE34A" w14:textId="77777777">
        <w:trPr>
          <w:cantSplit/>
          <w:trHeight w:val="357"/>
        </w:trPr>
        <w:tc>
          <w:tcPr>
            <w:tcW w:w="2410" w:type="dxa"/>
            <w:gridSpan w:val="3"/>
          </w:tcPr>
          <w:p w14:paraId="3EEBBB83" w14:textId="77777777" w:rsidR="002253E7" w:rsidRDefault="002253E7" w:rsidP="002253E7">
            <w:pPr>
              <w:spacing w:before="80"/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598" w:type="dxa"/>
            <w:gridSpan w:val="4"/>
          </w:tcPr>
          <w:p w14:paraId="74855F09" w14:textId="77777777" w:rsidR="002253E7" w:rsidRDefault="002253E7" w:rsidP="002253E7">
            <w:pPr>
              <w:pStyle w:val="LSForInfo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2253E7" w14:paraId="30DF6833" w14:textId="77777777">
        <w:trPr>
          <w:cantSplit/>
          <w:trHeight w:val="357"/>
        </w:trPr>
        <w:tc>
          <w:tcPr>
            <w:tcW w:w="2410" w:type="dxa"/>
            <w:gridSpan w:val="3"/>
          </w:tcPr>
          <w:p w14:paraId="666B7402" w14:textId="77777777" w:rsidR="002253E7" w:rsidRDefault="002253E7" w:rsidP="002253E7">
            <w:pPr>
              <w:spacing w:before="80"/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598" w:type="dxa"/>
            <w:gridSpan w:val="4"/>
          </w:tcPr>
          <w:p w14:paraId="434E60AB" w14:textId="689228D9" w:rsidR="002253E7" w:rsidRDefault="002253E7" w:rsidP="002253E7">
            <w:pPr>
              <w:spacing w:before="80"/>
              <w:rPr>
                <w:b/>
                <w:bCs/>
                <w:lang w:eastAsia="ja-JP"/>
              </w:rPr>
            </w:pPr>
            <w:r>
              <w:rPr>
                <w:rFonts w:hint="eastAsia"/>
                <w:b/>
                <w:bCs/>
                <w:lang w:eastAsia="ja-JP"/>
              </w:rPr>
              <w:t>JCA-</w:t>
            </w:r>
            <w:r>
              <w:rPr>
                <w:b/>
                <w:bCs/>
                <w:lang w:eastAsia="ja-JP"/>
              </w:rPr>
              <w:t>IMT2020</w:t>
            </w:r>
            <w:r>
              <w:rPr>
                <w:rFonts w:hint="eastAsia"/>
                <w:b/>
                <w:bCs/>
                <w:lang w:eastAsia="ja-JP"/>
              </w:rPr>
              <w:t xml:space="preserve"> meeting</w:t>
            </w:r>
            <w:r>
              <w:rPr>
                <w:b/>
                <w:bCs/>
                <w:lang w:eastAsia="ja-JP"/>
              </w:rPr>
              <w:t xml:space="preserve"> (Tashkent, 29 October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  <w:lang w:eastAsia="ja-JP"/>
              </w:rPr>
              <w:t>2025)</w:t>
            </w:r>
          </w:p>
        </w:tc>
      </w:tr>
      <w:tr w:rsidR="002253E7" w14:paraId="6937B3EE" w14:textId="77777777">
        <w:trPr>
          <w:cantSplit/>
          <w:trHeight w:val="357"/>
        </w:trPr>
        <w:tc>
          <w:tcPr>
            <w:tcW w:w="2410" w:type="dxa"/>
            <w:gridSpan w:val="3"/>
            <w:tcBorders>
              <w:bottom w:val="single" w:sz="12" w:space="0" w:color="auto"/>
            </w:tcBorders>
          </w:tcPr>
          <w:p w14:paraId="05AD2B79" w14:textId="77777777" w:rsidR="002253E7" w:rsidRDefault="002253E7" w:rsidP="002253E7">
            <w:pPr>
              <w:spacing w:before="80"/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598" w:type="dxa"/>
            <w:gridSpan w:val="4"/>
            <w:tcBorders>
              <w:bottom w:val="single" w:sz="12" w:space="0" w:color="auto"/>
            </w:tcBorders>
          </w:tcPr>
          <w:p w14:paraId="5F69643F" w14:textId="6971CB91" w:rsidR="002253E7" w:rsidRDefault="002253E7" w:rsidP="002253E7">
            <w:pPr>
              <w:pStyle w:val="LSDeadline"/>
              <w:spacing w:before="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16</w:t>
            </w:r>
            <w:r>
              <w:rPr>
                <w:b w:val="0"/>
                <w:bCs w:val="0"/>
                <w:lang w:eastAsia="ja-JP"/>
              </w:rPr>
              <w:t xml:space="preserve"> February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lang w:eastAsia="ja-JP"/>
              </w:rPr>
              <w:t xml:space="preserve">2026 </w:t>
            </w:r>
          </w:p>
        </w:tc>
      </w:tr>
      <w:tr w:rsidR="002253E7" w:rsidRPr="005D76E8" w14:paraId="50117E03" w14:textId="77777777">
        <w:trPr>
          <w:cantSplit/>
          <w:trHeight w:val="204"/>
        </w:trPr>
        <w:tc>
          <w:tcPr>
            <w:tcW w:w="24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8FE92A5" w14:textId="77777777" w:rsidR="002253E7" w:rsidRDefault="002253E7" w:rsidP="002253E7">
            <w:pPr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Contact:</w:t>
            </w: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</w:tcBorders>
          </w:tcPr>
          <w:p w14:paraId="794C8DF8" w14:textId="77777777" w:rsidR="002253E7" w:rsidRDefault="002253E7" w:rsidP="002253E7">
            <w:pPr>
              <w:rPr>
                <w:lang w:eastAsia="ja-JP"/>
              </w:rPr>
            </w:pPr>
            <w:r>
              <w:rPr>
                <w:szCs w:val="24"/>
                <w:lang w:eastAsia="ja-JP"/>
              </w:rPr>
              <w:t>Ying Cheng</w:t>
            </w:r>
            <w:r>
              <w:rPr>
                <w:szCs w:val="24"/>
                <w:lang w:eastAsia="ja-JP"/>
              </w:rPr>
              <w:br/>
              <w:t>China Unicom</w:t>
            </w:r>
            <w:r>
              <w:rPr>
                <w:szCs w:val="24"/>
                <w:lang w:eastAsia="ja-JP"/>
              </w:rPr>
              <w:br/>
              <w:t>P.R.China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8EF4E9F" w14:textId="77777777" w:rsidR="002253E7" w:rsidRPr="002253E7" w:rsidRDefault="002253E7" w:rsidP="002253E7">
            <w:pPr>
              <w:rPr>
                <w:szCs w:val="24"/>
                <w:lang w:val="pt-PT"/>
              </w:rPr>
            </w:pPr>
            <w:r w:rsidRPr="002253E7">
              <w:rPr>
                <w:szCs w:val="24"/>
                <w:lang w:val="pt-PT"/>
              </w:rPr>
              <w:t>Tel:</w:t>
            </w:r>
            <w:r w:rsidRPr="002253E7">
              <w:rPr>
                <w:szCs w:val="24"/>
                <w:lang w:val="pt-PT" w:eastAsia="ja-JP"/>
              </w:rPr>
              <w:t xml:space="preserve"> </w:t>
            </w:r>
            <w:r w:rsidRPr="002253E7">
              <w:rPr>
                <w:szCs w:val="24"/>
                <w:lang w:val="pt-PT" w:eastAsia="ja-JP"/>
              </w:rPr>
              <w:tab/>
            </w:r>
            <w:r w:rsidRPr="002253E7">
              <w:rPr>
                <w:szCs w:val="24"/>
                <w:lang w:val="pt-PT"/>
              </w:rPr>
              <w:t>+86-10-66259394</w:t>
            </w:r>
          </w:p>
          <w:p w14:paraId="5FA7D00C" w14:textId="77777777" w:rsidR="002253E7" w:rsidRPr="002253E7" w:rsidRDefault="002253E7" w:rsidP="002253E7">
            <w:pPr>
              <w:spacing w:before="0"/>
              <w:rPr>
                <w:szCs w:val="24"/>
                <w:lang w:val="pt-PT"/>
              </w:rPr>
            </w:pPr>
            <w:r w:rsidRPr="002253E7">
              <w:rPr>
                <w:szCs w:val="24"/>
                <w:lang w:val="pt-PT"/>
              </w:rPr>
              <w:t>Fax:</w:t>
            </w:r>
            <w:r w:rsidRPr="002253E7">
              <w:rPr>
                <w:szCs w:val="24"/>
                <w:lang w:val="pt-PT" w:eastAsia="ja-JP"/>
              </w:rPr>
              <w:t xml:space="preserve"> </w:t>
            </w:r>
            <w:r w:rsidRPr="002253E7">
              <w:rPr>
                <w:szCs w:val="24"/>
                <w:lang w:val="pt-PT" w:eastAsia="ja-JP"/>
              </w:rPr>
              <w:tab/>
            </w:r>
            <w:r w:rsidRPr="002253E7">
              <w:rPr>
                <w:szCs w:val="24"/>
                <w:lang w:val="pt-PT"/>
              </w:rPr>
              <w:t>+86-10-66259154</w:t>
            </w:r>
          </w:p>
          <w:p w14:paraId="43E55598" w14:textId="51151E49" w:rsidR="002253E7" w:rsidRPr="002253E7" w:rsidRDefault="002253E7" w:rsidP="002253E7">
            <w:pPr>
              <w:spacing w:before="0"/>
              <w:rPr>
                <w:lang w:val="pt-PT" w:eastAsia="ja-JP"/>
              </w:rPr>
            </w:pPr>
            <w:r w:rsidRPr="002253E7">
              <w:rPr>
                <w:szCs w:val="24"/>
                <w:lang w:val="pt-PT"/>
              </w:rPr>
              <w:t>E-mail:</w:t>
            </w:r>
            <w:r w:rsidRPr="002253E7">
              <w:rPr>
                <w:szCs w:val="24"/>
                <w:lang w:val="pt-PT" w:eastAsia="ja-JP"/>
              </w:rPr>
              <w:t xml:space="preserve"> </w:t>
            </w:r>
            <w:r w:rsidRPr="002253E7">
              <w:rPr>
                <w:szCs w:val="24"/>
                <w:lang w:val="pt-PT" w:eastAsia="ja-JP"/>
              </w:rPr>
              <w:tab/>
            </w:r>
            <w:hyperlink r:id="rId9" w:history="1">
              <w:r w:rsidRPr="002253E7">
                <w:rPr>
                  <w:rStyle w:val="Hyperlink"/>
                  <w:color w:val="0000FF"/>
                  <w:szCs w:val="24"/>
                  <w:lang w:val="pt-PT"/>
                </w:rPr>
                <w:t>chengying10@chinaunicom.cn</w:t>
              </w:r>
            </w:hyperlink>
            <w:r w:rsidRPr="002253E7">
              <w:rPr>
                <w:color w:val="0000FF"/>
                <w:szCs w:val="24"/>
                <w:lang w:val="pt-PT"/>
              </w:rPr>
              <w:t xml:space="preserve"> </w:t>
            </w:r>
          </w:p>
        </w:tc>
      </w:tr>
      <w:tr w:rsidR="002253E7" w:rsidRPr="005D76E8" w14:paraId="48B443F1" w14:textId="77777777">
        <w:trPr>
          <w:cantSplit/>
          <w:trHeight w:val="204"/>
        </w:trPr>
        <w:tc>
          <w:tcPr>
            <w:tcW w:w="24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A1C121B" w14:textId="77777777" w:rsidR="002253E7" w:rsidRDefault="002253E7" w:rsidP="002253E7">
            <w:pPr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Contact:</w:t>
            </w: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</w:tcBorders>
          </w:tcPr>
          <w:p w14:paraId="31EF678E" w14:textId="77777777" w:rsidR="002253E7" w:rsidRDefault="002253E7" w:rsidP="002253E7">
            <w:pPr>
              <w:spacing w:before="0"/>
              <w:rPr>
                <w:lang w:eastAsia="ja-JP"/>
              </w:rPr>
            </w:pPr>
            <w:r>
              <w:rPr>
                <w:szCs w:val="24"/>
                <w:lang w:eastAsia="ja-JP"/>
              </w:rPr>
              <w:t>Nanxiang Shi</w:t>
            </w:r>
            <w:r>
              <w:rPr>
                <w:szCs w:val="24"/>
                <w:lang w:eastAsia="ja-JP"/>
              </w:rPr>
              <w:br/>
              <w:t>China Mobile</w:t>
            </w:r>
            <w:r>
              <w:rPr>
                <w:szCs w:val="24"/>
                <w:lang w:eastAsia="ja-JP"/>
              </w:rPr>
              <w:br/>
              <w:t>P.R.China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86492F2" w14:textId="77777777" w:rsidR="002253E7" w:rsidRPr="005D76E8" w:rsidRDefault="002253E7" w:rsidP="002253E7">
            <w:pPr>
              <w:jc w:val="both"/>
              <w:rPr>
                <w:szCs w:val="24"/>
                <w:lang w:val="pt-PT" w:eastAsia="ja-JP"/>
              </w:rPr>
            </w:pPr>
            <w:r w:rsidRPr="005D76E8">
              <w:rPr>
                <w:szCs w:val="24"/>
                <w:lang w:val="pt-PT"/>
              </w:rPr>
              <w:t>Tel:</w:t>
            </w:r>
            <w:r w:rsidRPr="005D76E8">
              <w:rPr>
                <w:szCs w:val="24"/>
                <w:lang w:val="pt-PT" w:eastAsia="ja-JP"/>
              </w:rPr>
              <w:tab/>
            </w:r>
            <w:r w:rsidRPr="005D76E8">
              <w:rPr>
                <w:szCs w:val="24"/>
                <w:lang w:val="pt-PT"/>
              </w:rPr>
              <w:t>+</w:t>
            </w:r>
            <w:r w:rsidRPr="005D76E8">
              <w:rPr>
                <w:rFonts w:hint="eastAsia"/>
                <w:lang w:val="pt-PT"/>
              </w:rPr>
              <w:t>86 13699291776</w:t>
            </w:r>
          </w:p>
          <w:p w14:paraId="55661804" w14:textId="3237B1DC" w:rsidR="002253E7" w:rsidRPr="002253E7" w:rsidRDefault="002253E7" w:rsidP="002253E7">
            <w:pPr>
              <w:spacing w:before="0"/>
              <w:rPr>
                <w:lang w:val="pt-PT"/>
              </w:rPr>
            </w:pPr>
            <w:r w:rsidRPr="002253E7">
              <w:rPr>
                <w:szCs w:val="24"/>
                <w:lang w:val="pt-PT"/>
              </w:rPr>
              <w:t>E-mail:</w:t>
            </w:r>
            <w:r w:rsidRPr="002253E7">
              <w:rPr>
                <w:szCs w:val="24"/>
                <w:lang w:val="pt-PT" w:eastAsia="ja-JP"/>
              </w:rPr>
              <w:t xml:space="preserve"> </w:t>
            </w:r>
            <w:r w:rsidRPr="002253E7">
              <w:rPr>
                <w:szCs w:val="24"/>
                <w:lang w:val="pt-PT" w:eastAsia="ja-JP"/>
              </w:rPr>
              <w:tab/>
            </w:r>
            <w:r w:rsidRPr="002253E7">
              <w:rPr>
                <w:szCs w:val="24"/>
                <w:lang w:val="pt-PT"/>
              </w:rPr>
              <w:t xml:space="preserve"> </w:t>
            </w:r>
            <w:hyperlink r:id="rId10" w:history="1">
              <w:r w:rsidRPr="002253E7">
                <w:rPr>
                  <w:rStyle w:val="Hyperlink"/>
                  <w:rFonts w:hint="eastAsia"/>
                  <w:color w:val="0000FF"/>
                  <w:lang w:val="pt-PT"/>
                </w:rPr>
                <w:t>shinanxiang@chinamobile.com</w:t>
              </w:r>
            </w:hyperlink>
            <w:r w:rsidRPr="002253E7">
              <w:rPr>
                <w:color w:val="0000FF"/>
                <w:lang w:val="pt-PT"/>
              </w:rPr>
              <w:t xml:space="preserve">  </w:t>
            </w:r>
          </w:p>
        </w:tc>
      </w:tr>
    </w:tbl>
    <w:p w14:paraId="469F635F" w14:textId="77777777" w:rsidR="00647C7E" w:rsidRDefault="00C4774E">
      <w:pPr>
        <w:ind w:left="-426"/>
        <w:jc w:val="both"/>
        <w:rPr>
          <w:lang w:eastAsia="ja-JP"/>
        </w:rPr>
      </w:pPr>
      <w:r>
        <w:rPr>
          <w:lang w:eastAsia="ja-JP"/>
        </w:rPr>
        <w:t xml:space="preserve">The </w:t>
      </w:r>
      <w:r>
        <w:rPr>
          <w:rFonts w:hint="eastAsia"/>
          <w:lang w:eastAsia="ja-JP"/>
        </w:rPr>
        <w:t xml:space="preserve">ITU-T Joint Coordination Activity for </w:t>
      </w:r>
      <w:r>
        <w:rPr>
          <w:lang w:eastAsia="ja-JP"/>
        </w:rPr>
        <w:t xml:space="preserve">IMT2020 and Beyond </w:t>
      </w:r>
      <w:r>
        <w:rPr>
          <w:rFonts w:hint="eastAsia"/>
          <w:lang w:eastAsia="ja-JP"/>
        </w:rPr>
        <w:t>(JCA</w:t>
      </w:r>
      <w:r>
        <w:rPr>
          <w:lang w:eastAsia="ja-JP"/>
        </w:rPr>
        <w:noBreakHyphen/>
        <w:t>IMT2020</w:t>
      </w:r>
      <w:r>
        <w:rPr>
          <w:rFonts w:hint="eastAsia"/>
          <w:lang w:eastAsia="ja-JP"/>
        </w:rPr>
        <w:t>)</w:t>
      </w:r>
      <w:r>
        <w:rPr>
          <w:lang w:eastAsia="ja-JP"/>
        </w:rPr>
        <w:t xml:space="preserve"> thanks all that have replied to previous requests for input on IMT-2020 and beyond related standardization work. </w:t>
      </w:r>
      <w:r>
        <w:rPr>
          <w:rFonts w:hint="eastAsia"/>
          <w:lang w:eastAsia="ja-JP"/>
        </w:rPr>
        <w:t xml:space="preserve">The current </w:t>
      </w:r>
      <w:r>
        <w:rPr>
          <w:lang w:eastAsia="ja-JP"/>
        </w:rPr>
        <w:t>online v</w:t>
      </w:r>
      <w:r>
        <w:rPr>
          <w:rFonts w:hint="eastAsia"/>
          <w:lang w:eastAsia="ja-JP"/>
        </w:rPr>
        <w:t xml:space="preserve">ersion of the roadmap is available from </w:t>
      </w:r>
      <w:r>
        <w:rPr>
          <w:lang w:eastAsia="ja-JP"/>
        </w:rPr>
        <w:t xml:space="preserve">the </w:t>
      </w:r>
      <w:hyperlink r:id="rId11" w:history="1">
        <w:r w:rsidRPr="002253E7">
          <w:rPr>
            <w:rStyle w:val="Hyperlink"/>
            <w:rFonts w:hint="eastAsia"/>
            <w:color w:val="0000FF"/>
            <w:lang w:eastAsia="ja-JP"/>
          </w:rPr>
          <w:t>JCA</w:t>
        </w:r>
        <w:r w:rsidRPr="002253E7">
          <w:rPr>
            <w:rStyle w:val="Hyperlink"/>
            <w:color w:val="0000FF"/>
            <w:lang w:eastAsia="ja-JP"/>
          </w:rPr>
          <w:t>-IMT2020</w:t>
        </w:r>
        <w:r w:rsidRPr="002253E7">
          <w:rPr>
            <w:rStyle w:val="Hyperlink"/>
            <w:rFonts w:hint="eastAsia"/>
            <w:color w:val="0000FF"/>
            <w:lang w:eastAsia="ja-JP"/>
          </w:rPr>
          <w:t xml:space="preserve"> website</w:t>
        </w:r>
      </w:hyperlink>
      <w:r>
        <w:rPr>
          <w:rFonts w:hint="eastAsia"/>
          <w:lang w:eastAsia="ja-JP"/>
        </w:rPr>
        <w:t xml:space="preserve">. </w:t>
      </w:r>
    </w:p>
    <w:p w14:paraId="6BB3FFC9" w14:textId="77777777" w:rsidR="00647C7E" w:rsidRDefault="00C4774E">
      <w:pPr>
        <w:ind w:left="-426"/>
        <w:jc w:val="both"/>
        <w:rPr>
          <w:strike/>
          <w:lang w:eastAsia="ja-JP"/>
        </w:rPr>
      </w:pPr>
      <w:r>
        <w:rPr>
          <w:lang w:eastAsia="ja-JP"/>
        </w:rPr>
        <w:t>The</w:t>
      </w:r>
      <w:r>
        <w:rPr>
          <w:rFonts w:hint="eastAsia"/>
          <w:lang w:eastAsia="ja-JP"/>
        </w:rPr>
        <w:t xml:space="preserve"> objective of the roadmap is</w:t>
      </w:r>
      <w:r>
        <w:rPr>
          <w:lang w:eastAsia="ja-JP"/>
        </w:rPr>
        <w:t xml:space="preserve"> to support IMT-2020 and beyond standardization coordination. IMT-2020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and beyond are the</w:t>
      </w:r>
      <w:r>
        <w:rPr>
          <w:rFonts w:hint="eastAsia"/>
          <w:lang w:eastAsia="ja-JP"/>
        </w:rPr>
        <w:t xml:space="preserve"> important topic</w:t>
      </w:r>
      <w:r>
        <w:rPr>
          <w:lang w:eastAsia="ja-JP"/>
        </w:rPr>
        <w:t>s</w:t>
      </w:r>
      <w:r>
        <w:rPr>
          <w:rFonts w:hint="eastAsia"/>
          <w:lang w:eastAsia="ja-JP"/>
        </w:rPr>
        <w:t xml:space="preserve"> for our industry, and many standardization-related </w:t>
      </w:r>
      <w:r>
        <w:rPr>
          <w:lang w:eastAsia="ja-JP"/>
        </w:rPr>
        <w:t>activities</w:t>
      </w:r>
      <w:r>
        <w:rPr>
          <w:rFonts w:hint="eastAsia"/>
          <w:lang w:eastAsia="ja-JP"/>
        </w:rPr>
        <w:t xml:space="preserve"> are held in various entities. </w:t>
      </w:r>
    </w:p>
    <w:p w14:paraId="7368BEC6" w14:textId="77777777" w:rsidR="00647C7E" w:rsidRDefault="00C4774E">
      <w:pPr>
        <w:ind w:left="-426"/>
        <w:jc w:val="both"/>
        <w:rPr>
          <w:lang w:eastAsia="ja-JP"/>
        </w:rPr>
      </w:pPr>
      <w:r>
        <w:rPr>
          <w:rFonts w:hint="eastAsia"/>
          <w:lang w:eastAsia="ja-JP"/>
        </w:rPr>
        <w:t xml:space="preserve">The JCA </w:t>
      </w:r>
      <w:r>
        <w:rPr>
          <w:lang w:eastAsia="ja-JP"/>
        </w:rPr>
        <w:t>is progressing this work in a form of road</w:t>
      </w:r>
      <w:r>
        <w:rPr>
          <w:rFonts w:hint="eastAsia"/>
          <w:lang w:eastAsia="ja-JP"/>
        </w:rPr>
        <w:t xml:space="preserve">map of </w:t>
      </w:r>
      <w:r>
        <w:rPr>
          <w:lang w:eastAsia="ja-JP"/>
        </w:rPr>
        <w:t>IMT2020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and beyond standardization</w:t>
      </w:r>
      <w:r>
        <w:rPr>
          <w:rFonts w:hint="eastAsia"/>
          <w:lang w:eastAsia="ja-JP"/>
        </w:rPr>
        <w:t>.</w:t>
      </w:r>
    </w:p>
    <w:p w14:paraId="146B9C68" w14:textId="04A0D0EC" w:rsidR="00647C7E" w:rsidRDefault="00C4774E">
      <w:pPr>
        <w:ind w:left="-426"/>
        <w:jc w:val="both"/>
        <w:rPr>
          <w:lang w:val="en-US" w:eastAsia="zh-CN"/>
        </w:rPr>
      </w:pPr>
      <w:r>
        <w:rPr>
          <w:rFonts w:hint="eastAsia"/>
          <w:lang w:eastAsia="ja-JP"/>
        </w:rPr>
        <w:t>JCA-</w:t>
      </w:r>
      <w:r>
        <w:rPr>
          <w:lang w:eastAsia="ja-JP"/>
        </w:rPr>
        <w:t>IMT2020 will keep</w:t>
      </w:r>
      <w:r>
        <w:rPr>
          <w:rFonts w:hint="eastAsia"/>
          <w:lang w:eastAsia="ja-JP"/>
        </w:rPr>
        <w:t xml:space="preserve"> updating this roadmap, and therefore we solicit your </w:t>
      </w:r>
      <w:r>
        <w:rPr>
          <w:lang w:eastAsia="ja-JP"/>
        </w:rPr>
        <w:t>information</w:t>
      </w:r>
      <w:r>
        <w:rPr>
          <w:rFonts w:hint="eastAsia"/>
          <w:lang w:eastAsia="ja-JP"/>
        </w:rPr>
        <w:t xml:space="preserve"> about updates. If you send us </w:t>
      </w:r>
      <w:r>
        <w:rPr>
          <w:lang w:eastAsia="ja-JP"/>
        </w:rPr>
        <w:t xml:space="preserve">the </w:t>
      </w:r>
      <w:r>
        <w:rPr>
          <w:rFonts w:hint="eastAsia"/>
          <w:lang w:eastAsia="ja-JP"/>
        </w:rPr>
        <w:t>latest</w:t>
      </w:r>
      <w:r>
        <w:rPr>
          <w:lang w:eastAsia="ja-JP"/>
        </w:rPr>
        <w:t xml:space="preserve"> information</w:t>
      </w:r>
      <w:r>
        <w:rPr>
          <w:rFonts w:hint="eastAsia"/>
          <w:lang w:eastAsia="ja-JP"/>
        </w:rPr>
        <w:t xml:space="preserve"> of your activity related to </w:t>
      </w:r>
      <w:r>
        <w:rPr>
          <w:lang w:eastAsia="ja-JP"/>
        </w:rPr>
        <w:t>IMT-2020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and beyond </w:t>
      </w:r>
      <w:r>
        <w:rPr>
          <w:rFonts w:hint="eastAsia"/>
          <w:lang w:eastAsia="ja-JP"/>
        </w:rPr>
        <w:t xml:space="preserve">as well as Network </w:t>
      </w:r>
      <w:r>
        <w:rPr>
          <w:lang w:eastAsia="ja-JP"/>
        </w:rPr>
        <w:t>Function Virtualization (NFV), programmable networks, self-managed networks, autonomous network, slicing (including orchestration and capability exposure), fixed-mobile and satellite convergence (FM</w:t>
      </w:r>
      <w:r>
        <w:rPr>
          <w:rFonts w:hint="eastAsia"/>
          <w:lang w:val="en-US" w:eastAsia="zh-CN"/>
        </w:rPr>
        <w:t>S</w:t>
      </w:r>
      <w:r>
        <w:rPr>
          <w:lang w:eastAsia="ja-JP"/>
        </w:rPr>
        <w:t xml:space="preserve">C) and Information-Centric Networking (ICN), </w:t>
      </w:r>
      <w:r>
        <w:rPr>
          <w:rFonts w:hint="eastAsia"/>
          <w:lang w:val="en-US" w:eastAsia="zh-CN"/>
        </w:rPr>
        <w:t>digital twin network, AI/</w:t>
      </w:r>
      <w:r>
        <w:rPr>
          <w:lang w:eastAsia="ja-JP"/>
        </w:rPr>
        <w:t>machine learning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and other activities </w:t>
      </w:r>
      <w:r>
        <w:rPr>
          <w:rFonts w:hint="eastAsia"/>
          <w:lang w:eastAsia="ja-JP"/>
        </w:rPr>
        <w:t xml:space="preserve">that are strongly related to </w:t>
      </w:r>
      <w:r>
        <w:rPr>
          <w:lang w:eastAsia="ja-JP"/>
        </w:rPr>
        <w:t>IMT</w:t>
      </w:r>
      <w:r>
        <w:rPr>
          <w:lang w:eastAsia="ja-JP"/>
        </w:rPr>
        <w:noBreakHyphen/>
        <w:t>2020</w:t>
      </w:r>
      <w:r>
        <w:rPr>
          <w:rFonts w:hint="eastAsia"/>
          <w:lang w:eastAsia="ja-JP"/>
        </w:rPr>
        <w:t xml:space="preserve">, we will </w:t>
      </w:r>
      <w:r>
        <w:rPr>
          <w:lang w:eastAsia="ja-JP"/>
        </w:rPr>
        <w:t>reflect</w:t>
      </w:r>
      <w:r>
        <w:rPr>
          <w:rFonts w:hint="eastAsia"/>
          <w:lang w:eastAsia="ja-JP"/>
        </w:rPr>
        <w:t xml:space="preserve"> it </w:t>
      </w:r>
      <w:r>
        <w:rPr>
          <w:lang w:eastAsia="ja-JP"/>
        </w:rPr>
        <w:t>in</w:t>
      </w:r>
      <w:r>
        <w:rPr>
          <w:rFonts w:hint="eastAsia"/>
          <w:lang w:eastAsia="ja-JP"/>
        </w:rPr>
        <w:t xml:space="preserve"> the next </w:t>
      </w:r>
      <w:r>
        <w:rPr>
          <w:lang w:eastAsia="ja-JP"/>
        </w:rPr>
        <w:t>roadmap update,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which will be performed online soon after</w:t>
      </w:r>
      <w:r>
        <w:rPr>
          <w:rFonts w:hint="eastAsia"/>
          <w:lang w:eastAsia="ja-JP"/>
        </w:rPr>
        <w:t xml:space="preserve"> the next JCA</w:t>
      </w:r>
      <w:r>
        <w:rPr>
          <w:lang w:eastAsia="ja-JP"/>
        </w:rPr>
        <w:noBreakHyphen/>
        <w:t>IMT2020</w:t>
      </w:r>
      <w:r>
        <w:rPr>
          <w:rFonts w:hint="eastAsia"/>
          <w:lang w:eastAsia="ja-JP"/>
        </w:rPr>
        <w:t xml:space="preserve"> meeting. </w:t>
      </w:r>
      <w:r>
        <w:rPr>
          <w:rFonts w:hint="eastAsia"/>
          <w:lang w:val="en-US" w:eastAsia="zh-CN"/>
        </w:rPr>
        <w:t>Also, if you have IMT-2030 related work, please kindly send us the information</w:t>
      </w:r>
      <w:r w:rsidR="00645452">
        <w:rPr>
          <w:lang w:val="en-US" w:eastAsia="zh-CN"/>
        </w:rPr>
        <w:t xml:space="preserve"> with a label like IMT-2030</w:t>
      </w:r>
      <w:r>
        <w:rPr>
          <w:rFonts w:hint="eastAsia"/>
          <w:lang w:val="en-US" w:eastAsia="zh-CN"/>
        </w:rPr>
        <w:t>.</w:t>
      </w:r>
    </w:p>
    <w:p w14:paraId="7F5BF999" w14:textId="77777777" w:rsidR="00647C7E" w:rsidRDefault="00C4774E">
      <w:pPr>
        <w:ind w:left="-426"/>
        <w:jc w:val="both"/>
        <w:rPr>
          <w:lang w:eastAsia="ja-JP"/>
        </w:rPr>
      </w:pPr>
      <w:r>
        <w:rPr>
          <w:lang w:eastAsia="ja-JP"/>
        </w:rPr>
        <w:t xml:space="preserve">Please submit your updates using the template to be found in appendix below. In the last column of this template we expect to get a direct pointer to your document and not to the website where one needs to search for your document. Should you wish to communicate any additional information </w:t>
      </w:r>
      <w:r>
        <w:rPr>
          <w:lang w:eastAsia="ja-JP"/>
        </w:rPr>
        <w:lastRenderedPageBreak/>
        <w:t xml:space="preserve">about your specifications and projects, we invite you to do so. If you have a representative that wishes to present at an upcoming JCA-IMT2020 meeting, please let us know. </w:t>
      </w:r>
    </w:p>
    <w:p w14:paraId="06836F27" w14:textId="77777777" w:rsidR="00647C7E" w:rsidRDefault="00C4774E">
      <w:pPr>
        <w:ind w:left="-426"/>
        <w:jc w:val="both"/>
        <w:rPr>
          <w:lang w:eastAsia="ja-JP"/>
        </w:rPr>
      </w:pPr>
      <w:r>
        <w:rPr>
          <w:lang w:eastAsia="ja-JP"/>
        </w:rPr>
        <w:t xml:space="preserve">In addition, if not done yet, we invite the ITU-T Study Groups, SDOs, fora to nominate a representative to this group. </w:t>
      </w:r>
    </w:p>
    <w:p w14:paraId="7B4BD559" w14:textId="1C24278D" w:rsidR="00647C7E" w:rsidRDefault="00C4774E">
      <w:pPr>
        <w:ind w:left="-426"/>
        <w:jc w:val="both"/>
        <w:rPr>
          <w:lang w:eastAsia="ja-JP"/>
        </w:rPr>
      </w:pPr>
      <w:r>
        <w:rPr>
          <w:lang w:eastAsia="ja-JP"/>
        </w:rPr>
        <w:t>JCA-IMT2020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anticipates having its next meeting </w:t>
      </w:r>
      <w:r w:rsidRPr="00BF4BEC">
        <w:rPr>
          <w:lang w:eastAsia="ja-JP"/>
        </w:rPr>
        <w:t xml:space="preserve">on </w:t>
      </w:r>
      <w:r w:rsidRPr="00BF4BEC">
        <w:rPr>
          <w:rFonts w:hint="eastAsia"/>
          <w:lang w:val="en-US" w:eastAsia="zh-CN"/>
        </w:rPr>
        <w:t>2</w:t>
      </w:r>
      <w:r w:rsidR="002C1F35">
        <w:rPr>
          <w:lang w:val="en-US" w:eastAsia="zh-CN"/>
        </w:rPr>
        <w:t>4 February 2026</w:t>
      </w:r>
      <w:r>
        <w:rPr>
          <w:lang w:eastAsia="ja-JP"/>
        </w:rPr>
        <w:t>, 13:00</w:t>
      </w:r>
      <w:r w:rsidR="00110860">
        <w:rPr>
          <w:lang w:eastAsia="ja-JP"/>
        </w:rPr>
        <w:t xml:space="preserve"> </w:t>
      </w:r>
      <w:r>
        <w:rPr>
          <w:lang w:eastAsia="ja-JP"/>
        </w:rPr>
        <w:t xml:space="preserve">- 14:30, alongside the ITU-T SG13 </w:t>
      </w:r>
      <w:r w:rsidR="002C1F35">
        <w:rPr>
          <w:lang w:eastAsia="ja-JP"/>
        </w:rPr>
        <w:t>co-located rapporteur group meeting</w:t>
      </w:r>
      <w:r w:rsidR="00227754">
        <w:rPr>
          <w:lang w:eastAsia="ja-JP"/>
        </w:rPr>
        <w:t>s</w:t>
      </w:r>
      <w:r>
        <w:rPr>
          <w:lang w:eastAsia="ja-JP"/>
        </w:rPr>
        <w:t xml:space="preserve"> (</w:t>
      </w:r>
      <w:r>
        <w:rPr>
          <w:rFonts w:hint="eastAsia"/>
          <w:lang w:eastAsia="ja-JP"/>
        </w:rPr>
        <w:t>2</w:t>
      </w:r>
      <w:r w:rsidR="00227754">
        <w:rPr>
          <w:lang w:eastAsia="ja-JP"/>
        </w:rPr>
        <w:t>3 – 27 February 2026</w:t>
      </w:r>
      <w:r>
        <w:rPr>
          <w:lang w:eastAsia="ja-JP"/>
        </w:rPr>
        <w:t xml:space="preserve">) in </w:t>
      </w:r>
      <w:r w:rsidR="0052695C">
        <w:rPr>
          <w:lang w:eastAsia="ja-JP"/>
        </w:rPr>
        <w:t>Geneva</w:t>
      </w:r>
      <w:r w:rsidR="00BF4BEC">
        <w:rPr>
          <w:lang w:eastAsia="ja-JP"/>
        </w:rPr>
        <w:t>.</w:t>
      </w:r>
      <w:r>
        <w:rPr>
          <w:lang w:eastAsia="ja-JP"/>
        </w:rPr>
        <w:t xml:space="preserve"> We invite your inputs/updates to the roadmap.</w:t>
      </w:r>
    </w:p>
    <w:p w14:paraId="2744C1A7" w14:textId="77777777" w:rsidR="00647C7E" w:rsidRDefault="00647C7E">
      <w:pPr>
        <w:ind w:left="-284"/>
        <w:rPr>
          <w:lang w:eastAsia="ja-JP"/>
        </w:rPr>
      </w:pPr>
    </w:p>
    <w:p w14:paraId="13C5E323" w14:textId="77777777" w:rsidR="00647C7E" w:rsidRDefault="00647C7E">
      <w:pPr>
        <w:ind w:left="-284"/>
        <w:rPr>
          <w:lang w:eastAsia="ja-JP"/>
        </w:rPr>
      </w:pPr>
    </w:p>
    <w:p w14:paraId="29A7636C" w14:textId="77777777" w:rsidR="00647C7E" w:rsidRDefault="00647C7E">
      <w:pPr>
        <w:rPr>
          <w:lang w:eastAsia="ja-JP"/>
        </w:rPr>
      </w:pPr>
    </w:p>
    <w:p w14:paraId="159DF86F" w14:textId="77777777" w:rsidR="00647C7E" w:rsidRDefault="00647C7E">
      <w:pPr>
        <w:rPr>
          <w:lang w:eastAsia="ja-JP"/>
        </w:rPr>
      </w:pPr>
    </w:p>
    <w:p w14:paraId="685077C3" w14:textId="77777777" w:rsidR="00647C7E" w:rsidRDefault="00647C7E">
      <w:pPr>
        <w:rPr>
          <w:lang w:eastAsia="ja-JP"/>
        </w:rPr>
        <w:sectPr w:rsidR="00647C7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1254" w:right="1417" w:bottom="993" w:left="1276" w:header="720" w:footer="720" w:gutter="0"/>
          <w:cols w:space="720"/>
          <w:titlePg/>
          <w:docGrid w:linePitch="326"/>
        </w:sectPr>
      </w:pPr>
    </w:p>
    <w:p w14:paraId="720F71F1" w14:textId="77777777" w:rsidR="00647C7E" w:rsidRDefault="00C4774E">
      <w:pPr>
        <w:keepNext/>
        <w:keepLines/>
        <w:spacing w:after="240"/>
        <w:ind w:left="794" w:hanging="794"/>
        <w:jc w:val="center"/>
        <w:outlineLvl w:val="0"/>
        <w:rPr>
          <w:rFonts w:eastAsia="MS Mincho"/>
          <w:b/>
          <w:lang w:eastAsia="ja-JP"/>
        </w:rPr>
      </w:pPr>
      <w:r>
        <w:rPr>
          <w:rFonts w:eastAsia="MS Mincho" w:hint="eastAsia"/>
          <w:b/>
          <w:lang w:eastAsia="ja-JP"/>
        </w:rPr>
        <w:lastRenderedPageBreak/>
        <w:t>Appendix</w:t>
      </w:r>
      <w:r>
        <w:rPr>
          <w:rFonts w:eastAsia="MS Mincho"/>
          <w:b/>
          <w:lang w:eastAsia="ja-JP"/>
        </w:rPr>
        <w:t xml:space="preserve"> – </w:t>
      </w:r>
      <w:r>
        <w:rPr>
          <w:rFonts w:eastAsia="MS Mincho" w:hint="eastAsia"/>
          <w:b/>
          <w:lang w:eastAsia="ja-JP"/>
        </w:rPr>
        <w:t>template</w:t>
      </w:r>
      <w:r>
        <w:rPr>
          <w:rFonts w:eastAsia="MS Mincho"/>
          <w:b/>
          <w:lang w:eastAsia="ja-JP"/>
        </w:rPr>
        <w:t xml:space="preserve"> to provide information on IMT-2020 and beyond related activities</w:t>
      </w:r>
    </w:p>
    <w:tbl>
      <w:tblPr>
        <w:tblW w:w="12743" w:type="dxa"/>
        <w:tblInd w:w="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555"/>
        <w:gridCol w:w="1890"/>
        <w:gridCol w:w="3870"/>
        <w:gridCol w:w="1890"/>
        <w:gridCol w:w="1980"/>
      </w:tblGrid>
      <w:tr w:rsidR="00647C7E" w14:paraId="0BE01D2B" w14:textId="77777777">
        <w:tc>
          <w:tcPr>
            <w:tcW w:w="1558" w:type="dxa"/>
            <w:vAlign w:val="center"/>
          </w:tcPr>
          <w:p w14:paraId="55931F4A" w14:textId="77777777" w:rsidR="00647C7E" w:rsidRDefault="00C4774E">
            <w:pPr>
              <w:rPr>
                <w:b/>
              </w:rPr>
            </w:pPr>
            <w:r>
              <w:rPr>
                <w:b/>
              </w:rPr>
              <w:t>Activity domain</w:t>
            </w:r>
          </w:p>
        </w:tc>
        <w:tc>
          <w:tcPr>
            <w:tcW w:w="1555" w:type="dxa"/>
            <w:vAlign w:val="center"/>
          </w:tcPr>
          <w:p w14:paraId="082433BA" w14:textId="77777777" w:rsidR="00647C7E" w:rsidRDefault="00C4774E">
            <w:pPr>
              <w:rPr>
                <w:b/>
              </w:rPr>
            </w:pPr>
            <w:r>
              <w:rPr>
                <w:b/>
              </w:rPr>
              <w:t>Entity</w:t>
            </w:r>
          </w:p>
        </w:tc>
        <w:tc>
          <w:tcPr>
            <w:tcW w:w="1890" w:type="dxa"/>
            <w:vAlign w:val="center"/>
          </w:tcPr>
          <w:p w14:paraId="6FE111E0" w14:textId="77777777" w:rsidR="00647C7E" w:rsidRDefault="00C4774E">
            <w:pPr>
              <w:rPr>
                <w:b/>
              </w:rPr>
            </w:pPr>
            <w:r>
              <w:rPr>
                <w:b/>
              </w:rPr>
              <w:t>Title of deliverable</w:t>
            </w:r>
          </w:p>
        </w:tc>
        <w:tc>
          <w:tcPr>
            <w:tcW w:w="3870" w:type="dxa"/>
            <w:vAlign w:val="center"/>
          </w:tcPr>
          <w:p w14:paraId="2877BE21" w14:textId="77777777" w:rsidR="00647C7E" w:rsidRDefault="00C4774E">
            <w:pPr>
              <w:rPr>
                <w:b/>
              </w:rPr>
            </w:pPr>
            <w:r>
              <w:rPr>
                <w:b/>
              </w:rPr>
              <w:t>Scope of deliverable</w:t>
            </w:r>
          </w:p>
        </w:tc>
        <w:tc>
          <w:tcPr>
            <w:tcW w:w="1890" w:type="dxa"/>
            <w:vAlign w:val="center"/>
          </w:tcPr>
          <w:p w14:paraId="14C5C64B" w14:textId="77777777" w:rsidR="00647C7E" w:rsidRDefault="00C4774E">
            <w:pPr>
              <w:rPr>
                <w:b/>
              </w:rPr>
            </w:pPr>
            <w:r>
              <w:rPr>
                <w:b/>
              </w:rPr>
              <w:t>Current status</w:t>
            </w:r>
          </w:p>
        </w:tc>
        <w:tc>
          <w:tcPr>
            <w:tcW w:w="1980" w:type="dxa"/>
            <w:vAlign w:val="center"/>
          </w:tcPr>
          <w:p w14:paraId="0254D79C" w14:textId="77777777" w:rsidR="00647C7E" w:rsidRDefault="00C4774E">
            <w:pPr>
              <w:rPr>
                <w:b/>
              </w:rPr>
            </w:pPr>
            <w:r>
              <w:rPr>
                <w:b/>
              </w:rPr>
              <w:t>Reference/URI</w:t>
            </w:r>
          </w:p>
        </w:tc>
      </w:tr>
      <w:tr w:rsidR="00647C7E" w14:paraId="6299626F" w14:textId="77777777">
        <w:tc>
          <w:tcPr>
            <w:tcW w:w="1558" w:type="dxa"/>
          </w:tcPr>
          <w:p w14:paraId="2FCBB585" w14:textId="77777777" w:rsidR="00647C7E" w:rsidRDefault="00C4774E">
            <w:r>
              <w:t>IMT-2020 and beyond</w:t>
            </w:r>
          </w:p>
          <w:p w14:paraId="34FF70F2" w14:textId="77777777" w:rsidR="00647C7E" w:rsidRDefault="00C4774E">
            <w:r>
              <w:t>5G</w:t>
            </w:r>
          </w:p>
          <w:p w14:paraId="469CC300" w14:textId="77777777" w:rsidR="00647C7E" w:rsidRDefault="00C4774E">
            <w:r>
              <w:t>Network Slicing</w:t>
            </w:r>
          </w:p>
          <w:p w14:paraId="06F1B959" w14:textId="77777777" w:rsidR="00647C7E" w:rsidRDefault="00C4774E">
            <w:r>
              <w:t>ICN</w:t>
            </w:r>
          </w:p>
          <w:p w14:paraId="02603B24" w14:textId="77777777" w:rsidR="00647C7E" w:rsidRDefault="00C4774E">
            <w:r>
              <w:t>FMSC</w:t>
            </w:r>
          </w:p>
          <w:p w14:paraId="40C98335" w14:textId="77777777" w:rsidR="00647C7E" w:rsidRDefault="00647C7E"/>
        </w:tc>
        <w:tc>
          <w:tcPr>
            <w:tcW w:w="1555" w:type="dxa"/>
          </w:tcPr>
          <w:p w14:paraId="0DBB6BC4" w14:textId="77777777" w:rsidR="00647C7E" w:rsidRDefault="00C4774E">
            <w:r>
              <w:rPr>
                <w:rFonts w:hint="eastAsia"/>
              </w:rPr>
              <w:t>SDO, and WG</w:t>
            </w:r>
            <w:r>
              <w:t>,</w:t>
            </w:r>
            <w:r>
              <w:rPr>
                <w:rFonts w:hint="eastAsia"/>
              </w:rPr>
              <w:t xml:space="preserve"> if possible</w:t>
            </w:r>
          </w:p>
        </w:tc>
        <w:tc>
          <w:tcPr>
            <w:tcW w:w="1890" w:type="dxa"/>
          </w:tcPr>
          <w:p w14:paraId="6A21EAB5" w14:textId="77777777" w:rsidR="00647C7E" w:rsidRDefault="00C4774E">
            <w:r>
              <w:rPr>
                <w:b/>
              </w:rPr>
              <w:t>N</w:t>
            </w:r>
            <w:r>
              <w:rPr>
                <w:rFonts w:hint="eastAsia"/>
                <w:b/>
              </w:rPr>
              <w:t xml:space="preserve">ame </w:t>
            </w:r>
            <w:r>
              <w:t xml:space="preserve"> </w:t>
            </w:r>
            <w:r>
              <w:rPr>
                <w:rFonts w:hint="eastAsia"/>
              </w:rPr>
              <w:t>|</w:t>
            </w:r>
            <w:r>
              <w:t xml:space="preserve"> </w:t>
            </w:r>
            <w:r>
              <w:rPr>
                <w:b/>
              </w:rPr>
              <w:t>acronym</w:t>
            </w:r>
            <w:r>
              <w:t xml:space="preserve"> </w:t>
            </w:r>
            <w:r>
              <w:rPr>
                <w:rFonts w:hint="eastAsia"/>
              </w:rPr>
              <w:t>|</w:t>
            </w:r>
            <w:r>
              <w:t xml:space="preserve"> </w:t>
            </w:r>
          </w:p>
        </w:tc>
        <w:tc>
          <w:tcPr>
            <w:tcW w:w="3870" w:type="dxa"/>
          </w:tcPr>
          <w:p w14:paraId="32361DE9" w14:textId="77777777" w:rsidR="00647C7E" w:rsidRDefault="00C4774E">
            <w:r>
              <w:t xml:space="preserve">This </w:t>
            </w:r>
            <w:r>
              <w:rPr>
                <w:rFonts w:hint="eastAsia"/>
              </w:rPr>
              <w:t xml:space="preserve">document aims to </w:t>
            </w:r>
            <w:r>
              <w:t>…</w:t>
            </w:r>
          </w:p>
        </w:tc>
        <w:tc>
          <w:tcPr>
            <w:tcW w:w="1890" w:type="dxa"/>
          </w:tcPr>
          <w:p w14:paraId="61264CA8" w14:textId="77777777" w:rsidR="00647C7E" w:rsidRDefault="00C4774E">
            <w:r>
              <w:rPr>
                <w:rFonts w:hint="eastAsia"/>
              </w:rPr>
              <w:t xml:space="preserve">Draft </w:t>
            </w:r>
            <w:r>
              <w:t xml:space="preserve">ITU-T Recommendation </w:t>
            </w:r>
            <w:r>
              <w:rPr>
                <w:rFonts w:hint="eastAsia"/>
              </w:rPr>
              <w:t>|</w:t>
            </w:r>
            <w:r>
              <w:t xml:space="preserve"> International Standard </w:t>
            </w:r>
            <w:r>
              <w:rPr>
                <w:rFonts w:hint="eastAsia"/>
              </w:rPr>
              <w:t>|</w:t>
            </w:r>
            <w:r>
              <w:t xml:space="preserve"> Specification</w:t>
            </w:r>
          </w:p>
        </w:tc>
        <w:tc>
          <w:tcPr>
            <w:tcW w:w="1980" w:type="dxa"/>
          </w:tcPr>
          <w:p w14:paraId="1557C125" w14:textId="77777777" w:rsidR="00647C7E" w:rsidRDefault="00C4774E">
            <w:r>
              <w:t xml:space="preserve"> www….</w:t>
            </w:r>
          </w:p>
        </w:tc>
      </w:tr>
    </w:tbl>
    <w:p w14:paraId="31622CCB" w14:textId="77777777" w:rsidR="00647C7E" w:rsidRDefault="00647C7E">
      <w:pPr>
        <w:rPr>
          <w:lang w:eastAsia="ja-JP"/>
        </w:rPr>
      </w:pPr>
    </w:p>
    <w:p w14:paraId="1E5D33E0" w14:textId="77777777" w:rsidR="00647C7E" w:rsidRDefault="00C4774E">
      <w:pPr>
        <w:jc w:val="center"/>
        <w:rPr>
          <w:lang w:eastAsia="zh-CN"/>
        </w:rPr>
      </w:pPr>
      <w:r>
        <w:rPr>
          <w:lang w:eastAsia="zh-CN"/>
        </w:rPr>
        <w:t>_________________</w:t>
      </w:r>
    </w:p>
    <w:sectPr w:rsidR="00647C7E">
      <w:pgSz w:w="16840" w:h="11907" w:orient="landscape"/>
      <w:pgMar w:top="1417" w:right="1134" w:bottom="141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B6F8" w14:textId="77777777" w:rsidR="000356E5" w:rsidRDefault="000356E5">
      <w:pPr>
        <w:spacing w:before="0"/>
      </w:pPr>
      <w:r>
        <w:separator/>
      </w:r>
    </w:p>
  </w:endnote>
  <w:endnote w:type="continuationSeparator" w:id="0">
    <w:p w14:paraId="6173B633" w14:textId="77777777" w:rsidR="000356E5" w:rsidRDefault="000356E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E073" w14:textId="77777777" w:rsidR="005D76E8" w:rsidRDefault="005D7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8097" w14:textId="77777777" w:rsidR="005D76E8" w:rsidRDefault="005D7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FEFF" w14:textId="77777777" w:rsidR="00647C7E" w:rsidRDefault="00647C7E">
    <w:pPr>
      <w:pStyle w:val="Footer"/>
      <w:jc w:val="center"/>
      <w:rPr>
        <w:caps w:val="0"/>
        <w:color w:val="5B9BD5"/>
      </w:rPr>
    </w:pPr>
  </w:p>
  <w:p w14:paraId="59A56D7A" w14:textId="77777777" w:rsidR="00647C7E" w:rsidRDefault="00647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3F77" w14:textId="77777777" w:rsidR="000356E5" w:rsidRDefault="000356E5">
      <w:pPr>
        <w:spacing w:before="0"/>
      </w:pPr>
      <w:r>
        <w:separator/>
      </w:r>
    </w:p>
  </w:footnote>
  <w:footnote w:type="continuationSeparator" w:id="0">
    <w:p w14:paraId="580EED90" w14:textId="77777777" w:rsidR="000356E5" w:rsidRDefault="000356E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7539" w14:textId="77777777" w:rsidR="005D76E8" w:rsidRDefault="005D7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61A5" w14:textId="77777777" w:rsidR="00647C7E" w:rsidRDefault="00C4774E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MS Mincho"/>
        <w:sz w:val="18"/>
        <w:lang w:val="de-DE"/>
      </w:rPr>
    </w:pPr>
    <w:r>
      <w:rPr>
        <w:rFonts w:eastAsia="MS Mincho"/>
        <w:sz w:val="18"/>
        <w:lang w:val="de-DE"/>
      </w:rPr>
      <w:t xml:space="preserve">- </w:t>
    </w:r>
    <w:r>
      <w:rPr>
        <w:rFonts w:eastAsia="MS Mincho"/>
        <w:sz w:val="18"/>
      </w:rPr>
      <w:fldChar w:fldCharType="begin"/>
    </w:r>
    <w:r>
      <w:rPr>
        <w:rFonts w:eastAsia="MS Mincho"/>
        <w:sz w:val="18"/>
        <w:lang w:val="de-DE"/>
      </w:rPr>
      <w:instrText xml:space="preserve"> PAGE  \* MERGEFORMAT </w:instrText>
    </w:r>
    <w:r>
      <w:rPr>
        <w:rFonts w:eastAsia="MS Mincho"/>
        <w:sz w:val="18"/>
      </w:rPr>
      <w:fldChar w:fldCharType="separate"/>
    </w:r>
    <w:r>
      <w:rPr>
        <w:rFonts w:eastAsia="MS Mincho"/>
        <w:sz w:val="18"/>
        <w:lang w:val="de-DE"/>
      </w:rPr>
      <w:t>3</w:t>
    </w:r>
    <w:r>
      <w:rPr>
        <w:rFonts w:eastAsia="MS Mincho"/>
        <w:sz w:val="18"/>
      </w:rPr>
      <w:fldChar w:fldCharType="end"/>
    </w:r>
    <w:r>
      <w:rPr>
        <w:rFonts w:eastAsia="MS Mincho"/>
        <w:sz w:val="18"/>
        <w:lang w:val="de-DE"/>
      </w:rPr>
      <w:t xml:space="preserve"> -</w:t>
    </w:r>
  </w:p>
  <w:p w14:paraId="2A7FD008" w14:textId="41856D5F" w:rsidR="00647C7E" w:rsidRDefault="00C4774E">
    <w:pPr>
      <w:pStyle w:val="Header"/>
      <w:rPr>
        <w:lang w:val="de-DE"/>
      </w:rPr>
    </w:pPr>
    <w:r>
      <w:rPr>
        <w:lang w:val="de-DE"/>
      </w:rPr>
      <w:t>JCA-</w:t>
    </w:r>
    <w:r w:rsidR="005D76E8">
      <w:rPr>
        <w:lang w:val="de-DE"/>
      </w:rPr>
      <w:t>IMT2020</w:t>
    </w:r>
    <w:r>
      <w:rPr>
        <w:lang w:val="de-DE"/>
      </w:rPr>
      <w:t>-</w:t>
    </w:r>
    <w:r w:rsidR="002253E7">
      <w:rPr>
        <w:lang w:val="de-DE"/>
      </w:rPr>
      <w:t>LS17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B6E1" w14:textId="77777777" w:rsidR="005D76E8" w:rsidRDefault="005D76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CAB"/>
    <w:rsid w:val="0001087E"/>
    <w:rsid w:val="00033679"/>
    <w:rsid w:val="000346CB"/>
    <w:rsid w:val="000356E5"/>
    <w:rsid w:val="00042CDB"/>
    <w:rsid w:val="0004639C"/>
    <w:rsid w:val="00047CA0"/>
    <w:rsid w:val="000527E7"/>
    <w:rsid w:val="0005785B"/>
    <w:rsid w:val="000631BF"/>
    <w:rsid w:val="00064FEE"/>
    <w:rsid w:val="000704FE"/>
    <w:rsid w:val="00075F62"/>
    <w:rsid w:val="00083D10"/>
    <w:rsid w:val="00086F34"/>
    <w:rsid w:val="000912C3"/>
    <w:rsid w:val="0009609B"/>
    <w:rsid w:val="0009721A"/>
    <w:rsid w:val="000A581B"/>
    <w:rsid w:val="000C117F"/>
    <w:rsid w:val="000C3C88"/>
    <w:rsid w:val="000D45EE"/>
    <w:rsid w:val="000E7834"/>
    <w:rsid w:val="0010596B"/>
    <w:rsid w:val="00110860"/>
    <w:rsid w:val="00112A64"/>
    <w:rsid w:val="00132957"/>
    <w:rsid w:val="00146BD0"/>
    <w:rsid w:val="00147EF5"/>
    <w:rsid w:val="00153715"/>
    <w:rsid w:val="001539AF"/>
    <w:rsid w:val="00165ABE"/>
    <w:rsid w:val="001766B7"/>
    <w:rsid w:val="00187048"/>
    <w:rsid w:val="00187A6E"/>
    <w:rsid w:val="00192C87"/>
    <w:rsid w:val="00192E4F"/>
    <w:rsid w:val="00195035"/>
    <w:rsid w:val="001B1212"/>
    <w:rsid w:val="001B2AB9"/>
    <w:rsid w:val="001C6F08"/>
    <w:rsid w:val="001D3118"/>
    <w:rsid w:val="001D724F"/>
    <w:rsid w:val="001E60EB"/>
    <w:rsid w:val="001E7370"/>
    <w:rsid w:val="001F3D02"/>
    <w:rsid w:val="00206224"/>
    <w:rsid w:val="002072D4"/>
    <w:rsid w:val="0021127A"/>
    <w:rsid w:val="0022109E"/>
    <w:rsid w:val="002253E7"/>
    <w:rsid w:val="00226033"/>
    <w:rsid w:val="002264DF"/>
    <w:rsid w:val="00227754"/>
    <w:rsid w:val="002325FF"/>
    <w:rsid w:val="00233054"/>
    <w:rsid w:val="00252402"/>
    <w:rsid w:val="00256E9F"/>
    <w:rsid w:val="00257C42"/>
    <w:rsid w:val="00262ED2"/>
    <w:rsid w:val="002732A4"/>
    <w:rsid w:val="00293946"/>
    <w:rsid w:val="002B365D"/>
    <w:rsid w:val="002B3C1C"/>
    <w:rsid w:val="002B49DF"/>
    <w:rsid w:val="002C1F35"/>
    <w:rsid w:val="002D0C98"/>
    <w:rsid w:val="002D34BC"/>
    <w:rsid w:val="002E18F4"/>
    <w:rsid w:val="002E7156"/>
    <w:rsid w:val="002F4720"/>
    <w:rsid w:val="0030001D"/>
    <w:rsid w:val="003204B0"/>
    <w:rsid w:val="00335797"/>
    <w:rsid w:val="00335DFF"/>
    <w:rsid w:val="0033752B"/>
    <w:rsid w:val="003445AF"/>
    <w:rsid w:val="00350321"/>
    <w:rsid w:val="00360933"/>
    <w:rsid w:val="00361F3E"/>
    <w:rsid w:val="00363960"/>
    <w:rsid w:val="0036613A"/>
    <w:rsid w:val="00377A6C"/>
    <w:rsid w:val="003807F8"/>
    <w:rsid w:val="00381F5F"/>
    <w:rsid w:val="003869CD"/>
    <w:rsid w:val="00391EFC"/>
    <w:rsid w:val="00397ABC"/>
    <w:rsid w:val="003A2E51"/>
    <w:rsid w:val="003A798E"/>
    <w:rsid w:val="003B5915"/>
    <w:rsid w:val="003B6746"/>
    <w:rsid w:val="003B736D"/>
    <w:rsid w:val="003B74FA"/>
    <w:rsid w:val="003C08AE"/>
    <w:rsid w:val="003C284F"/>
    <w:rsid w:val="003E1ADC"/>
    <w:rsid w:val="00415794"/>
    <w:rsid w:val="00415CA3"/>
    <w:rsid w:val="00421C5B"/>
    <w:rsid w:val="0042571D"/>
    <w:rsid w:val="00465745"/>
    <w:rsid w:val="00465AC6"/>
    <w:rsid w:val="00487779"/>
    <w:rsid w:val="0049065A"/>
    <w:rsid w:val="00490EE7"/>
    <w:rsid w:val="004A2D61"/>
    <w:rsid w:val="004A50F7"/>
    <w:rsid w:val="004B1E29"/>
    <w:rsid w:val="004B1FEE"/>
    <w:rsid w:val="004B756C"/>
    <w:rsid w:val="004B7EC7"/>
    <w:rsid w:val="004D0C18"/>
    <w:rsid w:val="004D18B7"/>
    <w:rsid w:val="004D3A4A"/>
    <w:rsid w:val="004E5170"/>
    <w:rsid w:val="00502160"/>
    <w:rsid w:val="00510498"/>
    <w:rsid w:val="0051247B"/>
    <w:rsid w:val="005151C7"/>
    <w:rsid w:val="0052695C"/>
    <w:rsid w:val="00527E3B"/>
    <w:rsid w:val="0053086F"/>
    <w:rsid w:val="00556478"/>
    <w:rsid w:val="00566909"/>
    <w:rsid w:val="005920AA"/>
    <w:rsid w:val="005947EA"/>
    <w:rsid w:val="00597CB6"/>
    <w:rsid w:val="005C22F7"/>
    <w:rsid w:val="005C62E0"/>
    <w:rsid w:val="005C7A1E"/>
    <w:rsid w:val="005D30C5"/>
    <w:rsid w:val="005D76E8"/>
    <w:rsid w:val="005E010B"/>
    <w:rsid w:val="005E2C8E"/>
    <w:rsid w:val="005E4687"/>
    <w:rsid w:val="005E6166"/>
    <w:rsid w:val="005F4062"/>
    <w:rsid w:val="005F4567"/>
    <w:rsid w:val="00601F56"/>
    <w:rsid w:val="0061282E"/>
    <w:rsid w:val="00612EEF"/>
    <w:rsid w:val="00625140"/>
    <w:rsid w:val="006330D9"/>
    <w:rsid w:val="0063535F"/>
    <w:rsid w:val="00645452"/>
    <w:rsid w:val="00647C7E"/>
    <w:rsid w:val="00653E7D"/>
    <w:rsid w:val="00657196"/>
    <w:rsid w:val="00657C33"/>
    <w:rsid w:val="00661042"/>
    <w:rsid w:val="00661771"/>
    <w:rsid w:val="00673DD6"/>
    <w:rsid w:val="00682C80"/>
    <w:rsid w:val="00685451"/>
    <w:rsid w:val="00692C36"/>
    <w:rsid w:val="00694BA1"/>
    <w:rsid w:val="006C182F"/>
    <w:rsid w:val="006D1667"/>
    <w:rsid w:val="006D3446"/>
    <w:rsid w:val="006D6570"/>
    <w:rsid w:val="006E4321"/>
    <w:rsid w:val="006F4D01"/>
    <w:rsid w:val="006F5D44"/>
    <w:rsid w:val="00702531"/>
    <w:rsid w:val="00702ED4"/>
    <w:rsid w:val="00703BA6"/>
    <w:rsid w:val="00712952"/>
    <w:rsid w:val="00713F39"/>
    <w:rsid w:val="00715D90"/>
    <w:rsid w:val="00717DD1"/>
    <w:rsid w:val="00722CAF"/>
    <w:rsid w:val="0072308F"/>
    <w:rsid w:val="00732688"/>
    <w:rsid w:val="00735900"/>
    <w:rsid w:val="00751CC8"/>
    <w:rsid w:val="00751DDB"/>
    <w:rsid w:val="0075561E"/>
    <w:rsid w:val="007561D9"/>
    <w:rsid w:val="007722D1"/>
    <w:rsid w:val="007744B7"/>
    <w:rsid w:val="0077784C"/>
    <w:rsid w:val="007845E6"/>
    <w:rsid w:val="00784CF4"/>
    <w:rsid w:val="007907BA"/>
    <w:rsid w:val="007B2287"/>
    <w:rsid w:val="007B579E"/>
    <w:rsid w:val="007C0179"/>
    <w:rsid w:val="007C314F"/>
    <w:rsid w:val="007D0890"/>
    <w:rsid w:val="007D25C0"/>
    <w:rsid w:val="007D4AFC"/>
    <w:rsid w:val="007D64E2"/>
    <w:rsid w:val="007F0BDD"/>
    <w:rsid w:val="007F0FE0"/>
    <w:rsid w:val="007F29B8"/>
    <w:rsid w:val="00802C60"/>
    <w:rsid w:val="00803284"/>
    <w:rsid w:val="0080570F"/>
    <w:rsid w:val="00817E37"/>
    <w:rsid w:val="00825EA1"/>
    <w:rsid w:val="008269EB"/>
    <w:rsid w:val="008306FA"/>
    <w:rsid w:val="00832711"/>
    <w:rsid w:val="00832EDC"/>
    <w:rsid w:val="0083509A"/>
    <w:rsid w:val="00863643"/>
    <w:rsid w:val="00863C3F"/>
    <w:rsid w:val="00874163"/>
    <w:rsid w:val="00875C5A"/>
    <w:rsid w:val="00876657"/>
    <w:rsid w:val="008809A3"/>
    <w:rsid w:val="008827B5"/>
    <w:rsid w:val="00883112"/>
    <w:rsid w:val="00885786"/>
    <w:rsid w:val="008B0AF5"/>
    <w:rsid w:val="008C2F9A"/>
    <w:rsid w:val="008C5797"/>
    <w:rsid w:val="008C634C"/>
    <w:rsid w:val="008E10EA"/>
    <w:rsid w:val="008E705B"/>
    <w:rsid w:val="008F187E"/>
    <w:rsid w:val="008F2B96"/>
    <w:rsid w:val="008F48AE"/>
    <w:rsid w:val="00901B23"/>
    <w:rsid w:val="00905197"/>
    <w:rsid w:val="00907054"/>
    <w:rsid w:val="00915BD7"/>
    <w:rsid w:val="00917D95"/>
    <w:rsid w:val="009303B8"/>
    <w:rsid w:val="0093044C"/>
    <w:rsid w:val="00931168"/>
    <w:rsid w:val="00933D1B"/>
    <w:rsid w:val="0093415F"/>
    <w:rsid w:val="009357F9"/>
    <w:rsid w:val="00945BA9"/>
    <w:rsid w:val="009573B4"/>
    <w:rsid w:val="00960611"/>
    <w:rsid w:val="00963D7A"/>
    <w:rsid w:val="0096428B"/>
    <w:rsid w:val="0096478A"/>
    <w:rsid w:val="00966AE4"/>
    <w:rsid w:val="00971B9E"/>
    <w:rsid w:val="0097535F"/>
    <w:rsid w:val="0098122D"/>
    <w:rsid w:val="00992185"/>
    <w:rsid w:val="009937CC"/>
    <w:rsid w:val="009960C5"/>
    <w:rsid w:val="009A1AEB"/>
    <w:rsid w:val="009A336E"/>
    <w:rsid w:val="009A55FF"/>
    <w:rsid w:val="009A7211"/>
    <w:rsid w:val="009A7A66"/>
    <w:rsid w:val="009B6C71"/>
    <w:rsid w:val="009D05B4"/>
    <w:rsid w:val="009D610C"/>
    <w:rsid w:val="009D64C5"/>
    <w:rsid w:val="009E5323"/>
    <w:rsid w:val="009E772A"/>
    <w:rsid w:val="009F57E1"/>
    <w:rsid w:val="009F5CAB"/>
    <w:rsid w:val="00A04945"/>
    <w:rsid w:val="00A15510"/>
    <w:rsid w:val="00A203C1"/>
    <w:rsid w:val="00A310BB"/>
    <w:rsid w:val="00A50A80"/>
    <w:rsid w:val="00A7165E"/>
    <w:rsid w:val="00A747EC"/>
    <w:rsid w:val="00A771D3"/>
    <w:rsid w:val="00A82A14"/>
    <w:rsid w:val="00A85742"/>
    <w:rsid w:val="00A9151C"/>
    <w:rsid w:val="00A91BE0"/>
    <w:rsid w:val="00AA0549"/>
    <w:rsid w:val="00AC10D8"/>
    <w:rsid w:val="00AC2234"/>
    <w:rsid w:val="00AC7FDF"/>
    <w:rsid w:val="00AE1A72"/>
    <w:rsid w:val="00AE1FFD"/>
    <w:rsid w:val="00AE7837"/>
    <w:rsid w:val="00AF455F"/>
    <w:rsid w:val="00B0006F"/>
    <w:rsid w:val="00B042D4"/>
    <w:rsid w:val="00B060CB"/>
    <w:rsid w:val="00B21364"/>
    <w:rsid w:val="00B3298C"/>
    <w:rsid w:val="00B43225"/>
    <w:rsid w:val="00B50DA8"/>
    <w:rsid w:val="00B55ACA"/>
    <w:rsid w:val="00B6267F"/>
    <w:rsid w:val="00B66550"/>
    <w:rsid w:val="00B96CE3"/>
    <w:rsid w:val="00BA3ABD"/>
    <w:rsid w:val="00BA49C2"/>
    <w:rsid w:val="00BB28C5"/>
    <w:rsid w:val="00BC54FF"/>
    <w:rsid w:val="00BD1420"/>
    <w:rsid w:val="00BD721C"/>
    <w:rsid w:val="00BF36DE"/>
    <w:rsid w:val="00BF4BEC"/>
    <w:rsid w:val="00C122AE"/>
    <w:rsid w:val="00C1431B"/>
    <w:rsid w:val="00C1567F"/>
    <w:rsid w:val="00C20DBB"/>
    <w:rsid w:val="00C25DF8"/>
    <w:rsid w:val="00C2663D"/>
    <w:rsid w:val="00C34D1F"/>
    <w:rsid w:val="00C431B9"/>
    <w:rsid w:val="00C4774E"/>
    <w:rsid w:val="00C559A0"/>
    <w:rsid w:val="00C628CF"/>
    <w:rsid w:val="00C62A7A"/>
    <w:rsid w:val="00C7713F"/>
    <w:rsid w:val="00C944EF"/>
    <w:rsid w:val="00C955F2"/>
    <w:rsid w:val="00C9586A"/>
    <w:rsid w:val="00C9607E"/>
    <w:rsid w:val="00C97A03"/>
    <w:rsid w:val="00CC5757"/>
    <w:rsid w:val="00CC706C"/>
    <w:rsid w:val="00CC7F62"/>
    <w:rsid w:val="00CF1E36"/>
    <w:rsid w:val="00CF4914"/>
    <w:rsid w:val="00CF5518"/>
    <w:rsid w:val="00CF6018"/>
    <w:rsid w:val="00D122CF"/>
    <w:rsid w:val="00D16526"/>
    <w:rsid w:val="00D306A6"/>
    <w:rsid w:val="00D3519C"/>
    <w:rsid w:val="00D406AE"/>
    <w:rsid w:val="00D40BAF"/>
    <w:rsid w:val="00D42DDE"/>
    <w:rsid w:val="00D46B54"/>
    <w:rsid w:val="00D6088C"/>
    <w:rsid w:val="00D6606D"/>
    <w:rsid w:val="00D71CB1"/>
    <w:rsid w:val="00D74B12"/>
    <w:rsid w:val="00D8209D"/>
    <w:rsid w:val="00D85151"/>
    <w:rsid w:val="00DA511E"/>
    <w:rsid w:val="00DA6EBD"/>
    <w:rsid w:val="00DC5839"/>
    <w:rsid w:val="00DC7584"/>
    <w:rsid w:val="00DD096A"/>
    <w:rsid w:val="00DD1BA5"/>
    <w:rsid w:val="00DE102C"/>
    <w:rsid w:val="00DE128E"/>
    <w:rsid w:val="00DE56FF"/>
    <w:rsid w:val="00DF276E"/>
    <w:rsid w:val="00DF75FE"/>
    <w:rsid w:val="00E111F6"/>
    <w:rsid w:val="00E118F3"/>
    <w:rsid w:val="00E16D0A"/>
    <w:rsid w:val="00E23E05"/>
    <w:rsid w:val="00E2507A"/>
    <w:rsid w:val="00E47BDC"/>
    <w:rsid w:val="00E64BE9"/>
    <w:rsid w:val="00E66341"/>
    <w:rsid w:val="00E75938"/>
    <w:rsid w:val="00E820A7"/>
    <w:rsid w:val="00E87039"/>
    <w:rsid w:val="00EA3D47"/>
    <w:rsid w:val="00EA4DDD"/>
    <w:rsid w:val="00EC31AB"/>
    <w:rsid w:val="00EC4BC6"/>
    <w:rsid w:val="00ED7183"/>
    <w:rsid w:val="00ED7943"/>
    <w:rsid w:val="00EE0043"/>
    <w:rsid w:val="00EE4D02"/>
    <w:rsid w:val="00EE5DDA"/>
    <w:rsid w:val="00EF7DE3"/>
    <w:rsid w:val="00F01292"/>
    <w:rsid w:val="00F062B0"/>
    <w:rsid w:val="00F102C7"/>
    <w:rsid w:val="00F36F5D"/>
    <w:rsid w:val="00F42AB1"/>
    <w:rsid w:val="00F4382D"/>
    <w:rsid w:val="00F64A17"/>
    <w:rsid w:val="00F66DC3"/>
    <w:rsid w:val="00F823AF"/>
    <w:rsid w:val="00F87865"/>
    <w:rsid w:val="00F9704E"/>
    <w:rsid w:val="00FB7A3D"/>
    <w:rsid w:val="00FC3E9B"/>
    <w:rsid w:val="00FC4E63"/>
    <w:rsid w:val="00FC5645"/>
    <w:rsid w:val="00FF6EB1"/>
    <w:rsid w:val="0FFD20BD"/>
    <w:rsid w:val="204F50E7"/>
    <w:rsid w:val="413904AA"/>
    <w:rsid w:val="4A367DAE"/>
    <w:rsid w:val="521045FE"/>
    <w:rsid w:val="61CD4E31"/>
    <w:rsid w:val="75D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5E510"/>
  <w15:docId w15:val="{A9471D3E-5804-4DAA-919B-8E76818A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footnote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page number" w:qFormat="1"/>
    <w:lsdException w:name="endnote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4"/>
    <w:semiHidden/>
    <w:qFormat/>
  </w:style>
  <w:style w:type="paragraph" w:styleId="TOC4">
    <w:name w:val="toc 4"/>
    <w:basedOn w:val="TOC3"/>
    <w:semiHidden/>
    <w:qFormat/>
  </w:style>
  <w:style w:type="paragraph" w:styleId="TOC3">
    <w:name w:val="toc 3"/>
    <w:basedOn w:val="TOC2"/>
    <w:semiHidden/>
    <w:qFormat/>
  </w:style>
  <w:style w:type="paragraph" w:styleId="TOC2">
    <w:name w:val="toc 2"/>
    <w:basedOn w:val="TOC1"/>
    <w:semiHidden/>
    <w:qFormat/>
    <w:pPr>
      <w:spacing w:before="80"/>
      <w:ind w:left="1531" w:hanging="851"/>
    </w:pPr>
  </w:style>
  <w:style w:type="paragraph" w:styleId="TOC1">
    <w:name w:val="toc 1"/>
    <w:basedOn w:val="Normal"/>
    <w:semiHidden/>
    <w:qFormat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DocumentMap">
    <w:name w:val="Document Map"/>
    <w:basedOn w:val="Normal"/>
    <w:link w:val="DocumentMapChar"/>
    <w:qFormat/>
    <w:rPr>
      <w:rFonts w:ascii="SimSun"/>
      <w:sz w:val="18"/>
      <w:szCs w:val="18"/>
    </w:rPr>
  </w:style>
  <w:style w:type="paragraph" w:styleId="TOC5">
    <w:name w:val="toc 5"/>
    <w:basedOn w:val="TOC4"/>
    <w:semiHidden/>
    <w:qFormat/>
  </w:style>
  <w:style w:type="paragraph" w:styleId="TOC8">
    <w:name w:val="toc 8"/>
    <w:basedOn w:val="TOC4"/>
    <w:semiHidden/>
    <w:qFormat/>
  </w:style>
  <w:style w:type="paragraph" w:styleId="Index3">
    <w:name w:val="index 3"/>
    <w:basedOn w:val="Normal"/>
    <w:next w:val="Normal"/>
    <w:semiHidden/>
    <w:qFormat/>
    <w:pPr>
      <w:ind w:left="566"/>
    </w:pPr>
  </w:style>
  <w:style w:type="paragraph" w:styleId="BalloonText">
    <w:name w:val="Balloon Text"/>
    <w:basedOn w:val="Normal"/>
    <w:link w:val="BalloonTextChar"/>
    <w:qFormat/>
    <w:pPr>
      <w:spacing w:before="0"/>
    </w:pPr>
    <w:rPr>
      <w:rFonts w:ascii="Segoe UI" w:hAnsi="Segoe UI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6"/>
    </w:rPr>
  </w:style>
  <w:style w:type="paragraph" w:styleId="Header">
    <w:name w:val="header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noteText">
    <w:name w:val="footnote text"/>
    <w:basedOn w:val="Note"/>
    <w:semiHidden/>
    <w:qFormat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qFormat/>
    <w:pPr>
      <w:spacing w:before="80"/>
    </w:pPr>
  </w:style>
  <w:style w:type="paragraph" w:styleId="TOC6">
    <w:name w:val="toc 6"/>
    <w:basedOn w:val="TOC4"/>
    <w:semiHidden/>
    <w:qFormat/>
  </w:style>
  <w:style w:type="paragraph" w:styleId="Index1">
    <w:name w:val="index 1"/>
    <w:basedOn w:val="Normal"/>
    <w:next w:val="Normal"/>
    <w:semiHidden/>
    <w:qFormat/>
  </w:style>
  <w:style w:type="paragraph" w:styleId="Index2">
    <w:name w:val="index 2"/>
    <w:basedOn w:val="Normal"/>
    <w:next w:val="Normal"/>
    <w:semiHidden/>
    <w:qFormat/>
    <w:pPr>
      <w:ind w:left="283"/>
    </w:pPr>
  </w:style>
  <w:style w:type="character" w:styleId="Strong">
    <w:name w:val="Strong"/>
    <w:basedOn w:val="DefaultParagraphFont"/>
    <w:qFormat/>
    <w:rPr>
      <w:b/>
    </w:rPr>
  </w:style>
  <w:style w:type="character" w:styleId="EndnoteReference">
    <w:name w:val="endnote reference"/>
    <w:semiHidden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FootnoteReference">
    <w:name w:val="footnote reference"/>
    <w:semiHidden/>
    <w:qFormat/>
    <w:rPr>
      <w:position w:val="6"/>
      <w:sz w:val="18"/>
    </w:rPr>
  </w:style>
  <w:style w:type="paragraph" w:customStyle="1" w:styleId="AnnexNotitle">
    <w:name w:val="Annex_No &amp; title"/>
    <w:basedOn w:val="Normal"/>
    <w:next w:val="Normal"/>
    <w:qFormat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qFormat/>
    <w:rPr>
      <w:rFonts w:ascii="Times New Roman" w:hAnsi="Times New Roman"/>
      <w:b/>
    </w:rPr>
  </w:style>
  <w:style w:type="character" w:customStyle="1" w:styleId="Appref">
    <w:name w:val="App_ref"/>
    <w:basedOn w:val="DefaultParagraphFont"/>
    <w:qFormat/>
  </w:style>
  <w:style w:type="paragraph" w:customStyle="1" w:styleId="AppendixNotitle">
    <w:name w:val="Appendix_No &amp; title"/>
    <w:basedOn w:val="AnnexNotitle"/>
    <w:next w:val="Normal"/>
    <w:qFormat/>
  </w:style>
  <w:style w:type="character" w:customStyle="1" w:styleId="Artdef">
    <w:name w:val="Art_def"/>
    <w:qFormat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qFormat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qFormat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qFormat/>
  </w:style>
  <w:style w:type="paragraph" w:customStyle="1" w:styleId="Arttitle">
    <w:name w:val="Art_title"/>
    <w:basedOn w:val="Normal"/>
    <w:next w:val="Normal"/>
    <w:qFormat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sz w:val="20"/>
    </w:rPr>
  </w:style>
  <w:style w:type="paragraph" w:customStyle="1" w:styleId="Call">
    <w:name w:val="Call"/>
    <w:basedOn w:val="Normal"/>
    <w:next w:val="Normal"/>
    <w:qFormat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qFormat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qFormat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qFormat/>
    <w:pPr>
      <w:spacing w:before="80"/>
      <w:ind w:left="794" w:hanging="794"/>
    </w:p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Equation">
    <w:name w:val="Equation"/>
    <w:basedOn w:val="Normal"/>
    <w:qFormat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qFormat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qFormat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qFormat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qFormat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qFormat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qFormat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qFormat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</w:rPr>
  </w:style>
  <w:style w:type="paragraph" w:customStyle="1" w:styleId="FooterQP">
    <w:name w:val="Footer_QP"/>
    <w:basedOn w:val="Normal"/>
    <w:qFormat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qFormat/>
    <w:rPr>
      <w:b w:val="0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qFormat/>
    <w:pPr>
      <w:spacing w:before="360"/>
    </w:pPr>
  </w:style>
  <w:style w:type="paragraph" w:customStyle="1" w:styleId="PartNo">
    <w:name w:val="Part_No"/>
    <w:basedOn w:val="Normal"/>
    <w:next w:val="Normal"/>
    <w:qFormat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qFormat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qFormat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qFormat/>
  </w:style>
  <w:style w:type="paragraph" w:customStyle="1" w:styleId="RecNo">
    <w:name w:val="Rec_No"/>
    <w:basedOn w:val="Normal"/>
    <w:next w:val="Normal"/>
    <w:qFormat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qFormat/>
  </w:style>
  <w:style w:type="paragraph" w:customStyle="1" w:styleId="RecNoBR">
    <w:name w:val="Rec_No_BR"/>
    <w:basedOn w:val="Normal"/>
    <w:next w:val="Normal"/>
    <w:qFormat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qFormat/>
  </w:style>
  <w:style w:type="paragraph" w:customStyle="1" w:styleId="Recref">
    <w:name w:val="Rec_ref"/>
    <w:basedOn w:val="Normal"/>
    <w:next w:val="Recdate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qFormat/>
  </w:style>
  <w:style w:type="paragraph" w:customStyle="1" w:styleId="Rectitle">
    <w:name w:val="Rec_title"/>
    <w:basedOn w:val="Normal"/>
    <w:next w:val="Normalaftertitle"/>
    <w:qFormat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qFormat/>
  </w:style>
  <w:style w:type="character" w:customStyle="1" w:styleId="Recdef">
    <w:name w:val="Rec_def"/>
    <w:qFormat/>
    <w:rPr>
      <w:b/>
    </w:rPr>
  </w:style>
  <w:style w:type="paragraph" w:customStyle="1" w:styleId="Reftext">
    <w:name w:val="Ref_text"/>
    <w:basedOn w:val="Normal"/>
    <w:qFormat/>
    <w:pPr>
      <w:ind w:left="794" w:hanging="794"/>
    </w:pPr>
  </w:style>
  <w:style w:type="paragraph" w:customStyle="1" w:styleId="Reftitle">
    <w:name w:val="Ref_title"/>
    <w:basedOn w:val="Normal"/>
    <w:next w:val="Reftext"/>
    <w:qFormat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qFormat/>
  </w:style>
  <w:style w:type="paragraph" w:customStyle="1" w:styleId="RepNo">
    <w:name w:val="Rep_No"/>
    <w:basedOn w:val="RecNo"/>
    <w:next w:val="Normal"/>
    <w:qFormat/>
  </w:style>
  <w:style w:type="paragraph" w:customStyle="1" w:styleId="RepNoBR">
    <w:name w:val="Rep_No_BR"/>
    <w:basedOn w:val="RecNoBR"/>
    <w:next w:val="Normal"/>
    <w:qFormat/>
  </w:style>
  <w:style w:type="paragraph" w:customStyle="1" w:styleId="Repref">
    <w:name w:val="Rep_ref"/>
    <w:basedOn w:val="Recref"/>
    <w:next w:val="Repdate"/>
    <w:qFormat/>
  </w:style>
  <w:style w:type="paragraph" w:customStyle="1" w:styleId="Reptitle">
    <w:name w:val="Rep_title"/>
    <w:basedOn w:val="Rectitle"/>
    <w:next w:val="Repref"/>
    <w:qFormat/>
  </w:style>
  <w:style w:type="paragraph" w:customStyle="1" w:styleId="Resdate">
    <w:name w:val="Res_date"/>
    <w:basedOn w:val="Recdate"/>
    <w:next w:val="Normalaftertitle"/>
    <w:qFormat/>
  </w:style>
  <w:style w:type="character" w:customStyle="1" w:styleId="Resdef">
    <w:name w:val="Res_def"/>
    <w:qFormat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qFormat/>
  </w:style>
  <w:style w:type="paragraph" w:customStyle="1" w:styleId="ResNoBR">
    <w:name w:val="Res_No_BR"/>
    <w:basedOn w:val="RecNoBR"/>
    <w:next w:val="Normal"/>
    <w:qFormat/>
  </w:style>
  <w:style w:type="paragraph" w:customStyle="1" w:styleId="Resref">
    <w:name w:val="Res_ref"/>
    <w:basedOn w:val="Recref"/>
    <w:next w:val="Resdate"/>
    <w:qFormat/>
  </w:style>
  <w:style w:type="paragraph" w:customStyle="1" w:styleId="Restitle">
    <w:name w:val="Res_title"/>
    <w:basedOn w:val="Rectitle"/>
    <w:next w:val="Resref"/>
    <w:qFormat/>
  </w:style>
  <w:style w:type="paragraph" w:customStyle="1" w:styleId="Section1">
    <w:name w:val="Section_1"/>
    <w:basedOn w:val="Normal"/>
    <w:next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qFormat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qFormat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qFormat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character" w:customStyle="1" w:styleId="Tablefreq">
    <w:name w:val="Table_freq"/>
    <w:qFormat/>
    <w:rPr>
      <w:b/>
      <w:color w:val="auto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qFormat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qFormat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qFormat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qFormat/>
    <w:pPr>
      <w:keepNext/>
      <w:spacing w:before="0" w:after="120"/>
      <w:jc w:val="center"/>
    </w:pPr>
  </w:style>
  <w:style w:type="paragraph" w:customStyle="1" w:styleId="Tabletext">
    <w:name w:val="Table_text"/>
    <w:basedOn w:val="Normal"/>
    <w:qFormat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qFormat/>
  </w:style>
  <w:style w:type="paragraph" w:customStyle="1" w:styleId="Title3">
    <w:name w:val="Title 3"/>
    <w:basedOn w:val="Title2"/>
    <w:next w:val="Normal"/>
    <w:qFormat/>
    <w:rPr>
      <w:caps w:val="0"/>
    </w:rPr>
  </w:style>
  <w:style w:type="paragraph" w:customStyle="1" w:styleId="Title4">
    <w:name w:val="Title 4"/>
    <w:basedOn w:val="Title3"/>
    <w:next w:val="Heading1"/>
    <w:qFormat/>
    <w:rPr>
      <w:b/>
    </w:rPr>
  </w:style>
  <w:style w:type="paragraph" w:customStyle="1" w:styleId="toc0">
    <w:name w:val="toc 0"/>
    <w:basedOn w:val="Normal"/>
    <w:next w:val="TOC1"/>
    <w:qFormat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LSDeadline">
    <w:name w:val="LSDeadline"/>
    <w:basedOn w:val="Normal"/>
    <w:qFormat/>
    <w:rPr>
      <w:b/>
      <w:bCs/>
    </w:rPr>
  </w:style>
  <w:style w:type="paragraph" w:customStyle="1" w:styleId="LSForAction">
    <w:name w:val="LSForAction"/>
    <w:basedOn w:val="Normal"/>
    <w:qFormat/>
    <w:rPr>
      <w:b/>
      <w:bCs/>
    </w:rPr>
  </w:style>
  <w:style w:type="paragraph" w:customStyle="1" w:styleId="LSSource">
    <w:name w:val="LSSource"/>
    <w:basedOn w:val="Normal"/>
    <w:qFormat/>
    <w:rPr>
      <w:b/>
      <w:bCs/>
    </w:rPr>
  </w:style>
  <w:style w:type="paragraph" w:customStyle="1" w:styleId="LSTitle">
    <w:name w:val="LSTitle"/>
    <w:basedOn w:val="Normal"/>
    <w:qFormat/>
    <w:rPr>
      <w:b/>
      <w:bCs/>
    </w:rPr>
  </w:style>
  <w:style w:type="paragraph" w:customStyle="1" w:styleId="LSTo">
    <w:name w:val="LSTo"/>
    <w:basedOn w:val="Normal"/>
    <w:qFormat/>
    <w:rPr>
      <w:b/>
      <w:bCs/>
    </w:rPr>
  </w:style>
  <w:style w:type="paragraph" w:customStyle="1" w:styleId="LSForInfo">
    <w:name w:val="LSForInfo"/>
    <w:basedOn w:val="LSForAction"/>
    <w:qFormat/>
  </w:style>
  <w:style w:type="paragraph" w:customStyle="1" w:styleId="LSForComment">
    <w:name w:val="LSForComment"/>
    <w:basedOn w:val="LSForAction"/>
    <w:qFormat/>
  </w:style>
  <w:style w:type="paragraph" w:customStyle="1" w:styleId="Docnumber">
    <w:name w:val="Docnumber"/>
    <w:basedOn w:val="Normal"/>
    <w:link w:val="DocnumberChar"/>
    <w:qFormat/>
    <w:pPr>
      <w:jc w:val="right"/>
    </w:pPr>
    <w:rPr>
      <w:b/>
      <w:bCs/>
      <w:sz w:val="40"/>
      <w:lang w:val="zh-CN"/>
    </w:rPr>
  </w:style>
  <w:style w:type="character" w:customStyle="1" w:styleId="DocnumberChar">
    <w:name w:val="Docnumber Char"/>
    <w:link w:val="Docnumber"/>
    <w:qFormat/>
    <w:rPr>
      <w:b/>
      <w:bCs/>
      <w:sz w:val="40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SimSun"/>
      <w:sz w:val="18"/>
      <w:szCs w:val="18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caps/>
      <w:sz w:val="16"/>
      <w:lang w:eastAsia="en-US"/>
    </w:rPr>
  </w:style>
  <w:style w:type="paragraph" w:customStyle="1" w:styleId="Revision1">
    <w:name w:val="Revision1"/>
    <w:hidden/>
    <w:uiPriority w:val="99"/>
    <w:semiHidden/>
    <w:qFormat/>
    <w:rPr>
      <w:sz w:val="24"/>
      <w:lang w:eastAsia="en-US"/>
    </w:rPr>
  </w:style>
  <w:style w:type="paragraph" w:customStyle="1" w:styleId="Revision2">
    <w:name w:val="Revision2"/>
    <w:hidden/>
    <w:uiPriority w:val="99"/>
    <w:unhideWhenUsed/>
    <w:qFormat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tu.int/en/ITU-T/jca/imt2020/Pages/default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hinanxiang@chinamobile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engying10@chinaunicom.cn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TSB-Reference\Templates\TSBAuthorsTemplate\ItutLiaison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783B2-D404-4A9A-AEA0-D6BBF55D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ItutLiaison-Template.dot</Template>
  <TotalTime>5</TotalTime>
  <Pages>3</Pages>
  <Words>532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on recent SDN-related developments in SG11: two consented Recommendations plus one new work item</vt:lpstr>
    </vt:vector>
  </TitlesOfParts>
  <Manager>ITU-T</Manager>
  <Company>International Telecommunication Union (ITU)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recent SDN-related developments in SG11: two consented Recommendations plus one new work item</dc:title>
  <dc:creator>JCA IMT2020</dc:creator>
  <cp:keywords>4, 5, 6/11</cp:keywords>
  <dc:description>TD 95  For: Geneva, 9 February 2017_x000d_Document date: _x000d_Saved by ITU51011605 at 17:32:58 on 06/02/2017</dc:description>
  <cp:lastModifiedBy>ShK</cp:lastModifiedBy>
  <cp:revision>5</cp:revision>
  <cp:lastPrinted>2017-07-10T07:48:00Z</cp:lastPrinted>
  <dcterms:created xsi:type="dcterms:W3CDTF">2025-10-29T09:15:00Z</dcterms:created>
  <dcterms:modified xsi:type="dcterms:W3CDTF">2025-10-29T10:52:00Z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1449577996</vt:lpwstr>
  </property>
  <property fmtid="{D5CDD505-2E9C-101B-9397-08002B2CF9AE}" pid="3" name="_new_ms_pID_72543">
    <vt:lpwstr>(3)3qNnkC7+PRM1t6abcgo+tqVYKcPZZCHMtfLqhuPMTlS4Th6JjatblExPKyR4gHrFerKNcsjS_x000d_
DsxOVW6v4/1KMiHd1BYCKNVOAUsPFIBLwdpqyH03FAcxOpbo2xWMOudF43bg8DatqjhDEAbR_x000d_
GCgmmJHVVT5pT7vc69i/CFjE8Pckqp9ltJUJuxqoxixyqM2oVzxlIn/RhvepkqxnFBJQXalu_x000d_
7ldU1PowC8PXiA8IqK</vt:lpwstr>
  </property>
  <property fmtid="{D5CDD505-2E9C-101B-9397-08002B2CF9AE}" pid="4" name="_new_ms_pID_72543_00">
    <vt:lpwstr>_new_ms_pID_72543</vt:lpwstr>
  </property>
  <property fmtid="{D5CDD505-2E9C-101B-9397-08002B2CF9AE}" pid="5" name="_new_ms_pID_725431">
    <vt:lpwstr>KeOhPZidxP76LfWAo+6sMam8t3MjDigOqDpruABiFL4+tWZZcwkwXS_x000d_
PpIcBq0WamnnXPjlNsXRZr/q+z8wZsVdcL45Spj9+vIobebJPwMqhrOSpfDnOjgmPP25zhHY_x000d_
dASJPY+Bf0uOiJc0+xAlWLMANOi1Ujl6mub5zkfqEjxaTrWlBxE2/wqswg2Fadnd72OPf+Km_x000d_
TPzoQ1rfvMqhx1682IZHTIlUkZ5MdgWLywDL</vt:lpwstr>
  </property>
  <property fmtid="{D5CDD505-2E9C-101B-9397-08002B2CF9AE}" pid="6" name="_new_ms_pID_725431_00">
    <vt:lpwstr>_new_ms_pID_725431</vt:lpwstr>
  </property>
  <property fmtid="{D5CDD505-2E9C-101B-9397-08002B2CF9AE}" pid="7" name="_new_ms_pID_725432">
    <vt:lpwstr>kTYuhxg+Ui/ifBSnxxB3kxcuizmaWlaze8xp_x000d_
aN5h6t4M</vt:lpwstr>
  </property>
  <property fmtid="{D5CDD505-2E9C-101B-9397-08002B2CF9AE}" pid="8" name="_new_ms_pID_725432_00">
    <vt:lpwstr>_new_ms_pID_725432</vt:lpwstr>
  </property>
  <property fmtid="{D5CDD505-2E9C-101B-9397-08002B2CF9AE}" pid="9" name="Docnum">
    <vt:lpwstr>TD 95</vt:lpwstr>
  </property>
  <property fmtid="{D5CDD505-2E9C-101B-9397-08002B2CF9AE}" pid="10" name="Docdate">
    <vt:lpwstr/>
  </property>
  <property fmtid="{D5CDD505-2E9C-101B-9397-08002B2CF9AE}" pid="11" name="Docorlang">
    <vt:lpwstr/>
  </property>
  <property fmtid="{D5CDD505-2E9C-101B-9397-08002B2CF9AE}" pid="12" name="Docbluepink">
    <vt:lpwstr>4, 5, 6/11</vt:lpwstr>
  </property>
  <property fmtid="{D5CDD505-2E9C-101B-9397-08002B2CF9AE}" pid="13" name="Docdest">
    <vt:lpwstr>Geneva, 9 February 2017</vt:lpwstr>
  </property>
  <property fmtid="{D5CDD505-2E9C-101B-9397-08002B2CF9AE}" pid="14" name="Docauthor">
    <vt:lpwstr>ITU-T Study Group 11</vt:lpwstr>
  </property>
  <property fmtid="{D5CDD505-2E9C-101B-9397-08002B2CF9AE}" pid="15" name="KSOTemplateDocerSaveRecord">
    <vt:lpwstr>eyJoZGlkIjoiODIwNmQwOWI0ZDUyNDgyNmExMzE1MmJjMzhiNWY2NGMiLCJ1c2VySWQiOiI0MjQ3OTA2NjUifQ==</vt:lpwstr>
  </property>
  <property fmtid="{D5CDD505-2E9C-101B-9397-08002B2CF9AE}" pid="16" name="KSOProductBuildVer">
    <vt:lpwstr>2052-12.1.0.20305</vt:lpwstr>
  </property>
  <property fmtid="{D5CDD505-2E9C-101B-9397-08002B2CF9AE}" pid="17" name="ICV">
    <vt:lpwstr>AF4A5EE4289243548020CA98AAC92B09_12</vt:lpwstr>
  </property>
</Properties>
</file>