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B2A99" w14:textId="6B873A69" w:rsidR="002B5D9D" w:rsidRDefault="002B5D9D" w:rsidP="002B5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>
        <w:rPr>
          <w:b/>
          <w:noProof/>
          <w:sz w:val="24"/>
        </w:rPr>
        <w:t>111</w:t>
      </w:r>
    </w:p>
    <w:p w14:paraId="6C4DF5A3" w14:textId="77777777" w:rsidR="002B5D9D" w:rsidRDefault="002B5D9D" w:rsidP="002B5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bookmarkEnd w:id="0"/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41FF165A" w:rsidR="006C2E80" w:rsidRPr="002B5D9D" w:rsidRDefault="00E13CB2" w:rsidP="008671B1">
      <w:pPr>
        <w:pStyle w:val="Heading8"/>
        <w:rPr>
          <w:lang w:val="fr-FR"/>
        </w:rPr>
      </w:pPr>
      <w:r w:rsidRPr="002B5D9D">
        <w:rPr>
          <w:lang w:val="fr-FR"/>
        </w:rPr>
        <w:t>A</w:t>
      </w:r>
      <w:r w:rsidR="00B078D6" w:rsidRPr="002B5D9D">
        <w:rPr>
          <w:lang w:val="fr-FR"/>
        </w:rPr>
        <w:t>cronym:</w:t>
      </w:r>
      <w:r w:rsidR="006C2E80" w:rsidRPr="002B5D9D">
        <w:rPr>
          <w:lang w:val="fr-FR"/>
        </w:rPr>
        <w:tab/>
      </w:r>
      <w:r w:rsidR="008671B1" w:rsidRPr="002B5D9D">
        <w:rPr>
          <w:lang w:val="fr-FR"/>
        </w:rPr>
        <w:t>TEI18_SDNAEPC</w:t>
      </w:r>
    </w:p>
    <w:p w14:paraId="0D12AE1F" w14:textId="6FA7D0CC" w:rsidR="00B078D6" w:rsidRPr="002B5D9D" w:rsidRDefault="00B078D6" w:rsidP="006C2E80">
      <w:pPr>
        <w:pStyle w:val="Guidance"/>
        <w:rPr>
          <w:lang w:val="fr-FR"/>
        </w:rPr>
      </w:pPr>
    </w:p>
    <w:p w14:paraId="679E2B2D" w14:textId="0B9AD693" w:rsidR="006C2E80" w:rsidRPr="002B5D9D" w:rsidRDefault="00B078D6" w:rsidP="009F1588">
      <w:pPr>
        <w:pStyle w:val="Heading8"/>
        <w:rPr>
          <w:lang w:val="fr-FR"/>
        </w:rPr>
      </w:pPr>
      <w:r w:rsidRPr="002B5D9D">
        <w:rPr>
          <w:lang w:val="fr-FR"/>
        </w:rPr>
        <w:t>Unique identifier</w:t>
      </w:r>
      <w:r w:rsidR="00F41A27" w:rsidRPr="002B5D9D">
        <w:rPr>
          <w:lang w:val="fr-FR"/>
        </w:rPr>
        <w:t>:</w:t>
      </w:r>
      <w:r w:rsidR="006C2E80" w:rsidRPr="002B5D9D">
        <w:rPr>
          <w:lang w:val="fr-FR"/>
        </w:rPr>
        <w:tab/>
      </w:r>
      <w:r w:rsidR="002B5D9D" w:rsidRPr="002B5D9D">
        <w:rPr>
          <w:lang w:val="fr-FR"/>
        </w:rPr>
        <w:t>980047</w:t>
      </w:r>
    </w:p>
    <w:p w14:paraId="20AE909D" w14:textId="7844FFF1" w:rsidR="00B078D6" w:rsidRPr="002B5D9D" w:rsidRDefault="00D31CC8" w:rsidP="006C2E80">
      <w:pPr>
        <w:pStyle w:val="Guidance"/>
        <w:rPr>
          <w:lang w:val="fr-FR"/>
        </w:rPr>
      </w:pPr>
      <w:r w:rsidRPr="002B5D9D">
        <w:rPr>
          <w:lang w:val="fr-FR"/>
        </w:rP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065367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6C2E80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065367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065367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69434511">
      <w:pPr>
        <w:pStyle w:val="Guidance"/>
        <w:rPr>
          <w:i w:val="0"/>
        </w:rPr>
      </w:pPr>
      <w:r w:rsidRPr="69434511">
        <w:rPr>
          <w:i w:val="0"/>
        </w:rPr>
        <w:t>The 5GS procedure for secondary authentication</w:t>
      </w:r>
      <w:r w:rsidR="009921C5">
        <w:rPr>
          <w:i w:val="0"/>
        </w:rPr>
        <w:t xml:space="preserve"> and </w:t>
      </w:r>
      <w:r w:rsidRPr="69434511">
        <w:rPr>
          <w:i w:val="0"/>
        </w:rPr>
        <w:t>authorization by a DN-AAA server during the establishment of a PDU</w:t>
      </w:r>
      <w:r w:rsidR="42652DE1" w:rsidRPr="69434511">
        <w:rPr>
          <w:i w:val="0"/>
        </w:rPr>
        <w:t xml:space="preserve"> s</w:t>
      </w:r>
      <w:r w:rsidRPr="69434511">
        <w:rPr>
          <w:i w:val="0"/>
        </w:rPr>
        <w:t>ession is described</w:t>
      </w:r>
      <w:r w:rsidR="42652DE1" w:rsidRPr="69434511">
        <w:rPr>
          <w:i w:val="0"/>
        </w:rPr>
        <w:t xml:space="preserve"> in stage-2 specifications</w:t>
      </w:r>
      <w:r w:rsidRPr="69434511">
        <w:rPr>
          <w:i w:val="0"/>
        </w:rPr>
        <w:t xml:space="preserve"> TS 23.501</w:t>
      </w:r>
      <w:r w:rsidR="42652DE1" w:rsidRPr="69434511">
        <w:rPr>
          <w:i w:val="0"/>
        </w:rPr>
        <w:t xml:space="preserve"> (clause 4.6.6)</w:t>
      </w:r>
      <w:r w:rsidRPr="69434511">
        <w:rPr>
          <w:i w:val="0"/>
        </w:rPr>
        <w:t xml:space="preserve"> and TS 23.502</w:t>
      </w:r>
      <w:r w:rsidR="42652DE1" w:rsidRPr="69434511">
        <w:rPr>
          <w:i w:val="0"/>
        </w:rPr>
        <w:t xml:space="preserve"> (clause 4.3.2.3)</w:t>
      </w:r>
      <w:r w:rsidRPr="69434511">
        <w:rPr>
          <w:i w:val="0"/>
        </w:rPr>
        <w:t>.</w:t>
      </w:r>
      <w:r w:rsidR="5A1DB0FE" w:rsidRPr="69434511">
        <w:rPr>
          <w:i w:val="0"/>
        </w:rPr>
        <w:t xml:space="preserve"> </w:t>
      </w:r>
      <w:r w:rsidR="00040881" w:rsidRPr="69434511">
        <w:rPr>
          <w:i w:val="0"/>
        </w:rPr>
        <w:t>However</w:t>
      </w:r>
      <w:r w:rsidR="5A1DB0FE" w:rsidRPr="69434511">
        <w:rPr>
          <w:i w:val="0"/>
        </w:rPr>
        <w:t>, the secondary authentication with a DN-AAA server is not supported when the UE is in EPS, i.e. t</w:t>
      </w:r>
      <w:r w:rsidR="4EFBE731" w:rsidRPr="69434511">
        <w:rPr>
          <w:i w:val="0"/>
        </w:rPr>
        <w:t xml:space="preserve">he EAP based secondary authentication mechanism in EPC interworking is </w:t>
      </w:r>
      <w:r w:rsidR="083947E1" w:rsidRPr="69434511">
        <w:rPr>
          <w:i w:val="0"/>
        </w:rPr>
        <w:t xml:space="preserve">not supported </w:t>
      </w:r>
      <w:r w:rsidR="543291F4" w:rsidRPr="69434511">
        <w:rPr>
          <w:i w:val="0"/>
        </w:rPr>
        <w:t>in</w:t>
      </w:r>
      <w:r w:rsidR="083947E1" w:rsidRPr="69434511">
        <w:rPr>
          <w:i w:val="0"/>
        </w:rPr>
        <w:t xml:space="preserve"> </w:t>
      </w:r>
      <w:r w:rsidR="4EFBE731" w:rsidRPr="69434511">
        <w:rPr>
          <w:i w:val="0"/>
        </w:rPr>
        <w:t xml:space="preserve">pre </w:t>
      </w:r>
      <w:r w:rsidR="083947E1" w:rsidRPr="69434511">
        <w:rPr>
          <w:i w:val="0"/>
        </w:rPr>
        <w:t>Rel</w:t>
      </w:r>
      <w:r w:rsidR="4EFBE731" w:rsidRPr="69434511">
        <w:rPr>
          <w:i w:val="0"/>
        </w:rPr>
        <w:t>-18 3GPP</w:t>
      </w:r>
      <w:r w:rsidR="52E3C164" w:rsidRPr="69434511">
        <w:rPr>
          <w:i w:val="0"/>
        </w:rPr>
        <w:t xml:space="preserve"> releases</w:t>
      </w:r>
      <w:r w:rsidR="4EFBE731" w:rsidRPr="69434511">
        <w:rPr>
          <w:i w:val="0"/>
        </w:rPr>
        <w:t>.</w:t>
      </w:r>
      <w:r w:rsidR="318141F8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In order to close this gap, </w:t>
      </w:r>
      <w:r w:rsidR="00040881" w:rsidRPr="69434511">
        <w:rPr>
          <w:i w:val="0"/>
        </w:rPr>
        <w:t>SA2 has initiated the normative work</w:t>
      </w:r>
      <w:r w:rsidR="51BE4AF3" w:rsidRPr="69434511">
        <w:rPr>
          <w:i w:val="0"/>
        </w:rPr>
        <w:t xml:space="preserve"> to specify </w:t>
      </w:r>
      <w:r w:rsidR="033D8CE8" w:rsidRPr="69434511">
        <w:rPr>
          <w:i w:val="0"/>
        </w:rPr>
        <w:t>the requirements for</w:t>
      </w:r>
      <w:r w:rsidR="51BE4AF3" w:rsidRPr="69434511">
        <w:rPr>
          <w:i w:val="0"/>
        </w:rPr>
        <w:t xml:space="preserve"> support</w:t>
      </w:r>
      <w:r w:rsidR="033D8CE8" w:rsidRPr="69434511">
        <w:rPr>
          <w:i w:val="0"/>
        </w:rPr>
        <w:t>ing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the </w:t>
      </w:r>
      <w:r w:rsidR="00040881" w:rsidRPr="69434511">
        <w:rPr>
          <w:i w:val="0"/>
        </w:rPr>
        <w:t xml:space="preserve">secondary </w:t>
      </w:r>
      <w:r w:rsidR="033D8CE8" w:rsidRPr="69434511">
        <w:rPr>
          <w:i w:val="0"/>
        </w:rPr>
        <w:t>a</w:t>
      </w:r>
      <w:r w:rsidR="00040881" w:rsidRPr="69434511">
        <w:rPr>
          <w:i w:val="0"/>
        </w:rPr>
        <w:t>uthentication and authorization</w:t>
      </w:r>
      <w:r w:rsidR="51BE4AF3" w:rsidRPr="69434511">
        <w:rPr>
          <w:i w:val="0"/>
        </w:rPr>
        <w:t xml:space="preserve"> by a DN-AAA server</w:t>
      </w:r>
      <w:r w:rsidR="00040881" w:rsidRPr="69434511">
        <w:rPr>
          <w:i w:val="0"/>
        </w:rPr>
        <w:t xml:space="preserve"> in </w:t>
      </w:r>
      <w:r w:rsidR="51BE4AF3" w:rsidRPr="69434511">
        <w:rPr>
          <w:i w:val="0"/>
        </w:rPr>
        <w:t>EPS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under the work item </w:t>
      </w:r>
      <w:r w:rsidR="00040881" w:rsidRPr="69434511">
        <w:rPr>
          <w:i w:val="0"/>
        </w:rPr>
        <w:t>TEI18_SDNAEPC</w:t>
      </w:r>
      <w:r w:rsidR="51BE4AF3" w:rsidRPr="69434511">
        <w:rPr>
          <w:i w:val="0"/>
        </w:rPr>
        <w:t>.</w:t>
      </w:r>
    </w:p>
    <w:p w14:paraId="0CA69E13" w14:textId="60796311" w:rsidR="006C2E80" w:rsidRPr="00E45D9E" w:rsidRDefault="00E45D9E" w:rsidP="00E45D9E">
      <w:pPr>
        <w:rPr>
          <w:iCs/>
        </w:rPr>
      </w:pPr>
      <w:r w:rsidRPr="00E45D9E">
        <w:rPr>
          <w:bCs/>
          <w:iCs/>
        </w:rPr>
        <w:t>This CT work item intends to address the stage-3 normative work for TEI18_SDNAEPC</w:t>
      </w:r>
      <w:r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597512">
      <w:pPr>
        <w:rPr>
          <w:iCs/>
        </w:rPr>
      </w:pPr>
      <w:r w:rsidRPr="00FA7A90">
        <w:t xml:space="preserve">The objective of this work item is to specify the CT aspects of the </w:t>
      </w:r>
      <w:r w:rsidR="00597512">
        <w:rPr>
          <w:iCs/>
        </w:rPr>
        <w:t>s</w:t>
      </w:r>
      <w:r w:rsidR="00597512" w:rsidRPr="00597512">
        <w:rPr>
          <w:iCs/>
        </w:rPr>
        <w:t xml:space="preserve">econdary DN </w:t>
      </w:r>
      <w:r w:rsidR="007C4380">
        <w:rPr>
          <w:iCs/>
        </w:rPr>
        <w:t>a</w:t>
      </w:r>
      <w:r w:rsidR="00597512" w:rsidRPr="00597512">
        <w:rPr>
          <w:iCs/>
        </w:rPr>
        <w:t>uthentication and authorization in EPC IWK cases</w:t>
      </w:r>
      <w:r w:rsidRPr="00FA7A90">
        <w:rPr>
          <w:iCs/>
        </w:rPr>
        <w:t xml:space="preserve">, </w:t>
      </w:r>
      <w:r w:rsidR="001D6179">
        <w:rPr>
          <w:iCs/>
        </w:rPr>
        <w:t>to support</w:t>
      </w:r>
      <w:r w:rsidRPr="00FA7A90">
        <w:rPr>
          <w:iCs/>
        </w:rPr>
        <w:t xml:space="preserve"> the stage 2 requirements developed by the SA WGs for </w:t>
      </w:r>
      <w:r w:rsidR="00597512" w:rsidRPr="00597512">
        <w:rPr>
          <w:iCs/>
        </w:rPr>
        <w:t>TEI18_SDNAEPC</w:t>
      </w:r>
      <w:r w:rsidR="00597512">
        <w:rPr>
          <w:iCs/>
        </w:rPr>
        <w:t xml:space="preserve"> </w:t>
      </w:r>
      <w:r w:rsidRPr="00FA7A90">
        <w:rPr>
          <w:iCs/>
          <w:lang w:val="en-US"/>
        </w:rPr>
        <w:t>work item</w:t>
      </w:r>
      <w:r w:rsidRPr="00FA7A90">
        <w:rPr>
          <w:iCs/>
        </w:rPr>
        <w:t>.</w:t>
      </w:r>
    </w:p>
    <w:p w14:paraId="0E903456" w14:textId="77777777" w:rsidR="00FA7A90" w:rsidRPr="00FA7A90" w:rsidRDefault="00FA7A90" w:rsidP="00FA7A90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FA7A90">
      <w:r w:rsidRPr="00FA7A90">
        <w:t>The expected work per the TSG CT working group includes:</w:t>
      </w:r>
    </w:p>
    <w:p w14:paraId="730C82BA" w14:textId="77777777" w:rsidR="00FA7A90" w:rsidRPr="00FA7A90" w:rsidRDefault="00FA7A90" w:rsidP="00FA7A90">
      <w:r w:rsidRPr="00FA7A90">
        <w:t>For CT1:</w:t>
      </w:r>
    </w:p>
    <w:p w14:paraId="2EB2FE1E" w14:textId="6CC5DF07" w:rsidR="00FA7A90" w:rsidRDefault="00FA7A90" w:rsidP="00FC3287">
      <w:pPr>
        <w:ind w:left="567" w:hanging="283"/>
      </w:pPr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</w:t>
      </w:r>
      <w:r w:rsidR="0040769C">
        <w:rPr>
          <w:lang w:val="en-US"/>
        </w:rPr>
        <w:t xml:space="preserve"> </w:t>
      </w:r>
      <w:r w:rsidR="00FC3287" w:rsidRPr="00FC3287">
        <w:rPr>
          <w:lang w:val="en-US"/>
        </w:rPr>
        <w:t>the NAS protocol for indicating the UE capability of supporting secondary DN authentication and authorization over EPC in EPS and 5GS</w:t>
      </w:r>
      <w:r w:rsidR="00E6157E">
        <w:t>.</w:t>
      </w:r>
    </w:p>
    <w:p w14:paraId="462BF417" w14:textId="48395D9E" w:rsidR="00F82DFD" w:rsidRDefault="00E6157E" w:rsidP="00B12E4B">
      <w:pPr>
        <w:ind w:left="567" w:hanging="283"/>
        <w:rPr>
          <w:iCs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2270A0B6" w14:textId="5BC94359" w:rsidR="00E6157E" w:rsidRDefault="00F82DFD" w:rsidP="00F82DFD">
      <w:pPr>
        <w:ind w:left="567" w:hanging="283"/>
        <w:rPr>
          <w:lang w:val="en-US"/>
        </w:rPr>
      </w:pPr>
      <w:r>
        <w:rPr>
          <w:iCs/>
        </w:rPr>
        <w:t>-</w:t>
      </w:r>
      <w:r>
        <w:rPr>
          <w:iCs/>
        </w:rPr>
        <w:tab/>
      </w:r>
      <w:r>
        <w:rPr>
          <w:iCs/>
          <w:lang w:val="en-US"/>
        </w:rPr>
        <w:t>U</w:t>
      </w:r>
      <w:r w:rsidRPr="00F82DFD">
        <w:rPr>
          <w:iCs/>
          <w:lang w:val="en-US"/>
        </w:rPr>
        <w:t>pdat</w:t>
      </w:r>
      <w:r>
        <w:rPr>
          <w:iCs/>
          <w:lang w:val="en-US"/>
        </w:rPr>
        <w:t>ing</w:t>
      </w:r>
      <w:r w:rsidRPr="00F82DFD">
        <w:rPr>
          <w:iCs/>
          <w:lang w:val="en-US"/>
        </w:rPr>
        <w:t xml:space="preserve"> the handling of the PCO </w:t>
      </w:r>
      <w:r w:rsidR="00DA45F1">
        <w:rPr>
          <w:iCs/>
        </w:rPr>
        <w:t xml:space="preserve">to deliver </w:t>
      </w:r>
      <w:r w:rsidR="00DA45F1" w:rsidRPr="00DA45F1">
        <w:rPr>
          <w:iCs/>
          <w:lang w:val="en-US"/>
        </w:rPr>
        <w:t>the authentication message</w:t>
      </w:r>
      <w:r w:rsidR="006130F4">
        <w:rPr>
          <w:iCs/>
          <w:lang w:val="en-US"/>
        </w:rPr>
        <w:t>s</w:t>
      </w:r>
      <w:r w:rsidR="00DA45F1" w:rsidRPr="00DA45F1">
        <w:rPr>
          <w:iCs/>
          <w:lang w:val="en-US"/>
        </w:rPr>
        <w:t xml:space="preserve"> from UE to network and network to UE on EPS</w:t>
      </w:r>
      <w:r w:rsidR="00D055E2">
        <w:rPr>
          <w:iCs/>
          <w:lang w:val="en-US"/>
        </w:rPr>
        <w:t xml:space="preserve">, and </w:t>
      </w:r>
      <w:r w:rsidR="00535247" w:rsidRPr="00535247">
        <w:rPr>
          <w:iCs/>
        </w:rPr>
        <w:t xml:space="preserve">potentially </w:t>
      </w:r>
      <w:r w:rsidR="00A072CF" w:rsidRPr="00A072CF">
        <w:rPr>
          <w:iCs/>
        </w:rPr>
        <w:t xml:space="preserve">defining </w:t>
      </w:r>
      <w:r w:rsidR="00D055E2" w:rsidRPr="00D055E2">
        <w:rPr>
          <w:iCs/>
        </w:rPr>
        <w:t>new parameter</w:t>
      </w:r>
      <w:r w:rsidR="00910AD7">
        <w:rPr>
          <w:iCs/>
        </w:rPr>
        <w:t>(</w:t>
      </w:r>
      <w:r w:rsidR="00D055E2">
        <w:rPr>
          <w:iCs/>
        </w:rPr>
        <w:t>s</w:t>
      </w:r>
      <w:r w:rsidR="00910AD7">
        <w:rPr>
          <w:iCs/>
        </w:rPr>
        <w:t>)</w:t>
      </w:r>
      <w:r w:rsidR="00D055E2" w:rsidRPr="00D055E2">
        <w:rPr>
          <w:iCs/>
        </w:rPr>
        <w:t xml:space="preserve"> in the PCO </w:t>
      </w:r>
      <w:r w:rsidR="008805BB">
        <w:rPr>
          <w:iCs/>
        </w:rPr>
        <w:t>to achieve</w:t>
      </w:r>
      <w:r w:rsidR="00D055E2" w:rsidRPr="00D055E2">
        <w:rPr>
          <w:iCs/>
        </w:rPr>
        <w:t xml:space="preserve"> th</w:t>
      </w:r>
      <w:r w:rsidR="00D055E2">
        <w:rPr>
          <w:iCs/>
        </w:rPr>
        <w:t>ese</w:t>
      </w:r>
      <w:r w:rsidR="00D055E2" w:rsidRPr="00D055E2">
        <w:rPr>
          <w:iCs/>
        </w:rPr>
        <w:t xml:space="preserve"> purpose</w:t>
      </w:r>
      <w:r w:rsidR="00D055E2">
        <w:rPr>
          <w:iCs/>
        </w:rPr>
        <w:t>s</w:t>
      </w:r>
      <w:r w:rsidR="00881641">
        <w:rPr>
          <w:lang w:val="en-US"/>
        </w:rPr>
        <w:t>.</w:t>
      </w:r>
    </w:p>
    <w:p w14:paraId="265ACBBA" w14:textId="318B6CF9" w:rsidR="006C36B1" w:rsidRPr="00FA7A90" w:rsidRDefault="006C36B1" w:rsidP="00B12E4B">
      <w:pPr>
        <w:ind w:left="567" w:hanging="283"/>
      </w:pPr>
      <w:r>
        <w:rPr>
          <w:lang w:val="en-US"/>
        </w:rPr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signalling on EPS for the impact of the </w:t>
      </w:r>
      <w:r w:rsidRPr="006C36B1">
        <w:rPr>
          <w:iCs/>
        </w:rPr>
        <w:t xml:space="preserve">secondary DN </w:t>
      </w:r>
      <w:r w:rsidR="00D35106">
        <w:rPr>
          <w:iCs/>
        </w:rPr>
        <w:t>a</w:t>
      </w:r>
      <w:r w:rsidRPr="006C36B1">
        <w:rPr>
          <w:iCs/>
        </w:rPr>
        <w:t>uthentication and authorization in EPC</w:t>
      </w:r>
      <w:r>
        <w:rPr>
          <w:iCs/>
        </w:rPr>
        <w:t>, e.g. to allow</w:t>
      </w:r>
      <w:r w:rsidR="00681519">
        <w:rPr>
          <w:iCs/>
        </w:rPr>
        <w:t xml:space="preserve"> the network to</w:t>
      </w:r>
      <w:r>
        <w:rPr>
          <w:iCs/>
        </w:rPr>
        <w:t xml:space="preserve"> reject the PDN connection </w:t>
      </w:r>
      <w:r w:rsidR="00E53737">
        <w:rPr>
          <w:iCs/>
        </w:rPr>
        <w:t xml:space="preserve">request if the UE doesn't support the </w:t>
      </w:r>
      <w:r w:rsidR="00E53737" w:rsidRPr="00E53737">
        <w:rPr>
          <w:iCs/>
        </w:rPr>
        <w:t xml:space="preserve">secondary DN </w:t>
      </w:r>
      <w:r w:rsidR="00D35106">
        <w:rPr>
          <w:iCs/>
        </w:rPr>
        <w:t>a</w:t>
      </w:r>
      <w:r w:rsidR="00E53737" w:rsidRPr="00E53737">
        <w:rPr>
          <w:iCs/>
        </w:rPr>
        <w:t>uthentication and authorization in EPC</w:t>
      </w:r>
      <w:r w:rsidR="007F4B48">
        <w:rPr>
          <w:iCs/>
        </w:rPr>
        <w:t xml:space="preserve"> when the procedure is mandatory</w:t>
      </w:r>
      <w:r w:rsidR="00E53737">
        <w:rPr>
          <w:iCs/>
        </w:rPr>
        <w:t>.</w:t>
      </w:r>
    </w:p>
    <w:p w14:paraId="23CB81D1" w14:textId="77777777" w:rsidR="00FA7A90" w:rsidRPr="00FA7A90" w:rsidRDefault="00FA7A90" w:rsidP="00FA7A90">
      <w:r w:rsidRPr="00FA7A90">
        <w:t>For CT3:</w:t>
      </w:r>
    </w:p>
    <w:p w14:paraId="513FFC40" w14:textId="2A90B0DE" w:rsidR="00FA7A90" w:rsidRDefault="00FA7A90" w:rsidP="00EA1CDD">
      <w:pPr>
        <w:ind w:left="567" w:hanging="283"/>
      </w:pPr>
      <w:r w:rsidRPr="73FEA1CC">
        <w:rPr>
          <w:lang w:val="en-US"/>
        </w:rPr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0E2C48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842237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842237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4F252A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8F543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8F543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7CBE1DA0" w14:textId="0F18A835" w:rsidR="0048243D" w:rsidRPr="0048243D" w:rsidRDefault="0048243D" w:rsidP="0048243D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1EBD0E7A" w14:textId="77777777" w:rsidR="00FA7A90" w:rsidRPr="00FA7A90" w:rsidRDefault="00FA7A90" w:rsidP="00FA7A90">
      <w:r w:rsidRPr="00FA7A90">
        <w:t>For CT4:</w:t>
      </w:r>
    </w:p>
    <w:p w14:paraId="55E10F06" w14:textId="4C51B1C2" w:rsidR="00FA7A90" w:rsidRPr="00FA7A90" w:rsidRDefault="57CCB96B" w:rsidP="0084179A">
      <w:pPr>
        <w:ind w:left="567" w:hanging="283"/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</w:r>
      <w:r w:rsidR="00FA7A90" w:rsidRPr="0084179A">
        <w:rPr>
          <w:rFonts w:asciiTheme="majorBidi" w:hAnsiTheme="majorBidi" w:cstheme="majorBidi"/>
        </w:rPr>
        <w:t>Adding the EAP-based secondary authentication and authorization by DN-AAA over EPC procedure to the list of stage 2 procedures using the GTP-C Update Bearer Request procedure</w:t>
      </w:r>
      <w:r w:rsidR="0084179A">
        <w:rPr>
          <w:rFonts w:asciiTheme="majorBidi" w:hAnsiTheme="majorBidi" w:cstheme="majorBidi"/>
        </w:rPr>
        <w:t>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6C2E80">
            <w:pPr>
              <w:pStyle w:val="Guidance"/>
              <w:spacing w:after="0"/>
              <w:rPr>
                <w:i w:val="0"/>
                <w:iCs/>
              </w:rPr>
            </w:pPr>
            <w:r w:rsidRPr="001B3DD9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ECC91EB" w:rsidR="00D265A8" w:rsidRPr="00D265A8" w:rsidRDefault="002833F5" w:rsidP="00E80B5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</w:t>
            </w:r>
            <w:r w:rsidR="00E80B5C" w:rsidRPr="00E80B5C">
              <w:rPr>
                <w:rFonts w:asciiTheme="minorBidi" w:hAnsiTheme="minorBidi" w:cstheme="minorBidi"/>
                <w:i w:val="0"/>
                <w:iCs/>
                <w:sz w:val="18"/>
                <w:szCs w:val="18"/>
                <w:lang w:val="en-US"/>
              </w:rPr>
              <w:t>the NAS protocol for indicating the UE capability of supporting secondary DN authentication and authorization over EPC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NAS procedures </w:t>
            </w:r>
            <w:r w:rsidR="00827EBF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to support the </w:t>
            </w:r>
            <w:r w:rsidR="00827EBF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Introducing new parameter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s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</w:t>
            </w:r>
            <w:r w:rsidR="00BA3133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Protocol configuration options (PCO) to support the 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</w:t>
            </w:r>
            <w:r w:rsidR="00BA3133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specified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525CC">
              <w:rPr>
                <w:i w:val="0"/>
                <w:iCs/>
              </w:rPr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D7427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Updat</w:t>
            </w:r>
            <w:r w:rsidR="00625FA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es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to support EAP based secondary authentication and re-authentication applicable to the PDN connection when the UE is in EPS </w:t>
            </w:r>
            <w:r w:rsidR="00D7427F" w:rsidRPr="00D7427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  <w:r w:rsidRPr="69434511">
              <w:rPr>
                <w:rFonts w:asciiTheme="minorBidi" w:hAnsiTheme="minorBidi" w:cstheme="minorBidi"/>
                <w:i w:val="0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Add</w:t>
            </w:r>
            <w:r w:rsidR="65D8E324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ing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7C7238E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81378">
      <w:pPr>
        <w:rPr>
          <w:iCs/>
        </w:rPr>
      </w:pPr>
      <w:r w:rsidRPr="00981378">
        <w:rPr>
          <w:iCs/>
        </w:rPr>
        <w:t>Nassar, Mohamed A.</w:t>
      </w:r>
      <w:r w:rsidRPr="00981378">
        <w:rPr>
          <w:iCs/>
        </w:rPr>
        <w:tab/>
        <w:t xml:space="preserve">(Nokia) </w:t>
      </w:r>
    </w:p>
    <w:p w14:paraId="784621FF" w14:textId="77777777" w:rsidR="00981378" w:rsidRPr="00981378" w:rsidRDefault="00000000" w:rsidP="00981378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6C2E80">
      <w:pPr>
        <w:pStyle w:val="Guidance"/>
        <w:rPr>
          <w:i w:val="0"/>
          <w:iCs/>
          <w:lang w:val="en-US"/>
        </w:rPr>
      </w:pPr>
      <w:r w:rsidRPr="00535E5D">
        <w:rPr>
          <w:i w:val="0"/>
          <w:iCs/>
          <w:lang w:val="en-US"/>
        </w:rPr>
        <w:t>SA3 for security aspects.</w:t>
      </w:r>
    </w:p>
    <w:p w14:paraId="547E491E" w14:textId="55565176" w:rsidR="00174617" w:rsidRPr="00535E5D" w:rsidRDefault="00535E5D" w:rsidP="006C2E80">
      <w:pPr>
        <w:pStyle w:val="Guidance"/>
        <w:rPr>
          <w:i w:val="0"/>
          <w:iCs/>
        </w:rPr>
      </w:pPr>
      <w:r w:rsidRPr="00535E5D">
        <w:rPr>
          <w:i w:val="0"/>
          <w:iCs/>
          <w:lang w:val="en-US"/>
        </w:rPr>
        <w:t>SA5 for management and charging aspects</w:t>
      </w:r>
      <w:r>
        <w:rPr>
          <w:i w:val="0"/>
          <w:iCs/>
          <w:lang w:val="en-US"/>
        </w:rPr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672047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67204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CC33C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1C5C86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1C5C86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1C5C86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1C5C86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1C5C86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1C5C86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77777777" w:rsidR="00934180" w:rsidRDefault="00934180" w:rsidP="001C5C86">
            <w:pPr>
              <w:pStyle w:val="TAL"/>
            </w:pP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090F9" w14:textId="77777777" w:rsidR="00FA27ED" w:rsidRDefault="00FA27ED">
      <w:r>
        <w:separator/>
      </w:r>
    </w:p>
  </w:endnote>
  <w:endnote w:type="continuationSeparator" w:id="0">
    <w:p w14:paraId="450D589C" w14:textId="77777777" w:rsidR="00FA27ED" w:rsidRDefault="00FA2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58F0F" w14:textId="77777777" w:rsidR="00FA27ED" w:rsidRDefault="00FA27ED">
      <w:r>
        <w:separator/>
      </w:r>
    </w:p>
  </w:footnote>
  <w:footnote w:type="continuationSeparator" w:id="0">
    <w:p w14:paraId="15899684" w14:textId="77777777" w:rsidR="00FA27ED" w:rsidRDefault="00FA2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24689908">
    <w:abstractNumId w:val="10"/>
  </w:num>
  <w:num w:numId="2" w16cid:durableId="10022722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66435704">
    <w:abstractNumId w:val="9"/>
  </w:num>
  <w:num w:numId="4" w16cid:durableId="401832260">
    <w:abstractNumId w:val="8"/>
  </w:num>
  <w:num w:numId="5" w16cid:durableId="708997210">
    <w:abstractNumId w:val="7"/>
  </w:num>
  <w:num w:numId="6" w16cid:durableId="1420835944">
    <w:abstractNumId w:val="12"/>
  </w:num>
  <w:num w:numId="7" w16cid:durableId="1414662341">
    <w:abstractNumId w:val="11"/>
  </w:num>
  <w:num w:numId="8" w16cid:durableId="909996314">
    <w:abstractNumId w:val="5"/>
  </w:num>
  <w:num w:numId="9" w16cid:durableId="1067529972">
    <w:abstractNumId w:val="2"/>
  </w:num>
  <w:num w:numId="10" w16cid:durableId="729813681">
    <w:abstractNumId w:val="1"/>
  </w:num>
  <w:num w:numId="11" w16cid:durableId="548108997">
    <w:abstractNumId w:val="0"/>
  </w:num>
  <w:num w:numId="12" w16cid:durableId="912662814">
    <w:abstractNumId w:val="6"/>
  </w:num>
  <w:num w:numId="13" w16cid:durableId="14054888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05EF"/>
    <w:rsid w:val="002B3F6D"/>
    <w:rsid w:val="002B4D15"/>
    <w:rsid w:val="002B5D9D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656B"/>
    <w:rsid w:val="00A70E1E"/>
    <w:rsid w:val="00A7325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4D82"/>
    <w:rsid w:val="00AF0C13"/>
    <w:rsid w:val="00B02B58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612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27ED"/>
    <w:rsid w:val="00FA7A90"/>
    <w:rsid w:val="00FB127E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961</Words>
  <Characters>5480</Characters>
  <Application>Microsoft Office Word</Application>
  <DocSecurity>0</DocSecurity>
  <Lines>45</Lines>
  <Paragraphs>12</Paragraphs>
  <ScaleCrop>false</ScaleCrop>
  <Company>ETSI</Company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V2</cp:lastModifiedBy>
  <cp:revision>59</cp:revision>
  <cp:lastPrinted>2000-02-29T11:31:00Z</cp:lastPrinted>
  <dcterms:created xsi:type="dcterms:W3CDTF">2022-10-26T07:25:00Z</dcterms:created>
  <dcterms:modified xsi:type="dcterms:W3CDTF">2022-12-02T10:23:00Z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