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Elbonia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eNPN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>a work plan for eNPN</w:t>
      </w:r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Heading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r w:rsidR="00F24F67">
        <w:rPr>
          <w:lang w:val="en-US"/>
        </w:rPr>
        <w:t>eNPN</w:t>
      </w:r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ListParagraph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ListParagraph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C671F5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DE462E" w:rsidRPr="00616C7D" w14:paraId="4FEF40B3" w14:textId="77777777" w:rsidTr="00C671F5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DE462E" w:rsidRPr="00616C7D" w14:paraId="5A193AC5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Feature </w:t>
            </w:r>
            <w:r w:rsidR="00823AAF">
              <w:rPr>
                <w:rFonts w:eastAsia="DengXian"/>
              </w:rPr>
              <w:t>description</w:t>
            </w:r>
            <w:ins w:id="6" w:author="QC_23" w:date="2021-01-05T20:26:00Z">
              <w:r w:rsidR="00C9744B">
                <w:rPr>
                  <w:rFonts w:eastAsia="DengXian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 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7" w:author="QC_23" w:date="2021-01-05T18:08:00Z"/>
                <w:lang w:val="en-US"/>
              </w:rPr>
            </w:pPr>
            <w:del w:id="8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9" w:author="QC_23" w:date="2021-01-05T18:27:00Z"/>
                <w:lang w:val="en-US"/>
              </w:rPr>
            </w:pPr>
            <w:del w:id="10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1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2" w:author="QC_23" w:date="2021-01-05T18:27:00Z"/>
                <w:lang w:val="en-US"/>
              </w:rPr>
            </w:pPr>
            <w:del w:id="13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0E897E01" w:rsidR="00DE462E" w:rsidRPr="00616C7D" w:rsidRDefault="00DE462E" w:rsidP="00405C58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4" w:author="QC_23" w:date="2021-01-05T18:31:00Z"/>
                <w:lang w:val="en-US"/>
              </w:rPr>
            </w:pPr>
            <w:del w:id="15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16" w:author="QC_23" w:date="2021-01-05T18:29:00Z"/>
                <w:lang w:val="en-US"/>
              </w:rPr>
            </w:pPr>
            <w:del w:id="17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18" w:author="QC_23" w:date="2021-01-05T18:29:00Z">
              <w:r>
                <w:rPr>
                  <w:lang w:val="en-US"/>
                </w:rPr>
                <w:t>Clause 5.30.2.</w:t>
              </w:r>
            </w:ins>
            <w:ins w:id="19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451610" w:rsidRPr="00616C7D" w14:paraId="46D0C077" w14:textId="77777777" w:rsidTr="00C671F5">
        <w:trPr>
          <w:trHeight w:val="1094"/>
          <w:ins w:id="20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1" w:author="QC_23" w:date="2021-01-05T18:12:00Z"/>
                <w:lang w:val="en-US"/>
              </w:rPr>
            </w:pPr>
            <w:ins w:id="22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3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4" w:author="QC_23" w:date="2021-01-05T18:12:00Z"/>
                <w:rFonts w:eastAsia="DengXian"/>
              </w:rPr>
            </w:pPr>
            <w:ins w:id="25" w:author="QC_23" w:date="2021-01-05T18:13:00Z">
              <w:r>
                <w:rPr>
                  <w:rFonts w:eastAsia="DengXian"/>
                </w:rPr>
                <w:t>Feature d</w:t>
              </w:r>
            </w:ins>
            <w:ins w:id="26" w:author="QC_23" w:date="2021-01-05T18:14:00Z">
              <w:r>
                <w:rPr>
                  <w:rFonts w:eastAsia="DengXian"/>
                </w:rPr>
                <w:t>escription: Architectures for access to SNPN using credentials</w:t>
              </w:r>
            </w:ins>
            <w:ins w:id="27" w:author="QC_23" w:date="2021-01-05T18:27:00Z">
              <w:r w:rsidR="00405C58">
                <w:rPr>
                  <w:rFonts w:eastAsia="DengXian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1C066D3A" w14:textId="77777777" w:rsidR="00451610" w:rsidRPr="00616C7D" w:rsidRDefault="00451610" w:rsidP="004B5E78">
            <w:pPr>
              <w:rPr>
                <w:ins w:id="28" w:author="QC_23" w:date="2021-01-05T18:12:00Z"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29" w:author="QC_23" w:date="2021-01-05T18:27:00Z"/>
                <w:lang w:val="en-US"/>
              </w:rPr>
            </w:pPr>
            <w:ins w:id="30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31" w:author="QC_23" w:date="2021-01-05T18:27:00Z"/>
                <w:lang w:val="en-US"/>
              </w:rPr>
            </w:pPr>
            <w:ins w:id="32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33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34" w:author="QC_23" w:date="2021-01-05T18:12:00Z"/>
                <w:lang w:val="en-US"/>
              </w:rPr>
            </w:pPr>
            <w:ins w:id="35" w:author="QC_23" w:date="2021-01-05T18:28:00Z">
              <w:r>
                <w:rPr>
                  <w:lang w:val="en-US"/>
                </w:rPr>
                <w:t>N</w:t>
              </w:r>
            </w:ins>
            <w:ins w:id="36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37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38" w:author="QC_23" w:date="2021-01-05T18:25:00Z">
              <w:r>
                <w:rPr>
                  <w:lang w:val="en-US"/>
                </w:rPr>
                <w:t>"</w:t>
              </w:r>
            </w:ins>
            <w:ins w:id="39" w:author="QC_23" w:date="2021-01-05T18:27:00Z">
              <w:r>
                <w:rPr>
                  <w:lang w:val="en-US"/>
                </w:rPr>
                <w:t>Architecture</w:t>
              </w:r>
            </w:ins>
            <w:ins w:id="40" w:author="QC_23" w:date="2021-01-05T18:28:00Z">
              <w:r>
                <w:rPr>
                  <w:lang w:val="en-US"/>
                </w:rPr>
                <w:t>s</w:t>
              </w:r>
            </w:ins>
            <w:ins w:id="41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42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451610" w:rsidRPr="00616C7D" w14:paraId="6CD520F9" w14:textId="77777777" w:rsidTr="00C671F5">
        <w:trPr>
          <w:trHeight w:val="1094"/>
          <w:ins w:id="43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44" w:author="QC_23" w:date="2021-01-05T18:05:00Z"/>
                <w:lang w:val="en-US"/>
              </w:rPr>
            </w:pPr>
            <w:ins w:id="45" w:author="QC_23" w:date="2021-01-05T18:05:00Z">
              <w:r>
                <w:rPr>
                  <w:lang w:val="en-US"/>
                </w:rPr>
                <w:t>KI#1:T1</w:t>
              </w:r>
            </w:ins>
            <w:ins w:id="46" w:author="QC_23" w:date="2021-01-05T18:11:00Z">
              <w:r>
                <w:rPr>
                  <w:lang w:val="en-US"/>
                </w:rPr>
                <w:t>-</w:t>
              </w:r>
            </w:ins>
            <w:ins w:id="47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48" w:author="QC_23" w:date="2021-01-05T18:05:00Z"/>
                <w:rFonts w:eastAsia="DengXian"/>
              </w:rPr>
            </w:pPr>
            <w:ins w:id="49" w:author="QC_23" w:date="2021-01-05T18:05:00Z">
              <w:r>
                <w:rPr>
                  <w:rFonts w:eastAsia="DengXian"/>
                </w:rPr>
                <w:t>Feature description: SNPN selection</w:t>
              </w:r>
            </w:ins>
            <w:ins w:id="50" w:author="QC_23" w:date="2021-01-05T18:06:00Z">
              <w:r>
                <w:rPr>
                  <w:rFonts w:eastAsia="DengXian"/>
                </w:rPr>
                <w:t xml:space="preserve"> and related </w:t>
              </w:r>
            </w:ins>
            <w:ins w:id="51" w:author="QC_23" w:date="2021-01-05T18:08:00Z">
              <w:r>
                <w:rPr>
                  <w:rFonts w:eastAsia="DengXian"/>
                </w:rPr>
                <w:t xml:space="preserve">aspects </w:t>
              </w:r>
            </w:ins>
            <w:ins w:id="52" w:author="QC_23" w:date="2021-01-05T18:06:00Z">
              <w:r>
                <w:rPr>
                  <w:rFonts w:eastAsia="DengXian"/>
                </w:rPr>
                <w:t>(SIB enhancements</w:t>
              </w:r>
            </w:ins>
            <w:ins w:id="53" w:author="QC_23" w:date="2021-01-05T18:08:00Z">
              <w:r>
                <w:rPr>
                  <w:rFonts w:eastAsia="DengXian"/>
                </w:rPr>
                <w:t xml:space="preserve">, </w:t>
              </w:r>
            </w:ins>
            <w:ins w:id="54" w:author="QC_23" w:date="2021-01-05T18:06:00Z">
              <w:r>
                <w:rPr>
                  <w:rFonts w:eastAsia="DengXian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4FCDE7EB" w14:textId="2D826BC9" w:rsidR="00451610" w:rsidRPr="00616C7D" w:rsidRDefault="00451610" w:rsidP="004B5E78">
            <w:pPr>
              <w:rPr>
                <w:ins w:id="55" w:author="QC_23" w:date="2021-01-05T18:05:00Z"/>
                <w:lang w:val="en-US"/>
              </w:rPr>
            </w:pPr>
            <w:ins w:id="56" w:author="QC_23" w:date="2021-01-05T18:07:00Z">
              <w:r>
                <w:rPr>
                  <w:lang w:val="en-US"/>
                </w:rPr>
                <w:t>Sebastian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57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58" w:author="QC_23" w:date="2021-01-05T18:05:00Z"/>
                <w:lang w:val="en-US"/>
              </w:rPr>
            </w:pPr>
            <w:ins w:id="59" w:author="QC_23" w:date="2021-01-05T18:06:00Z">
              <w:r>
                <w:rPr>
                  <w:lang w:val="en-US"/>
                </w:rPr>
                <w:t>5.30.</w:t>
              </w:r>
            </w:ins>
            <w:ins w:id="60" w:author="QC_23" w:date="2021-01-05T18:07:00Z">
              <w:r>
                <w:rPr>
                  <w:lang w:val="en-US"/>
                </w:rPr>
                <w:t>2.2; 5.30.2.3, 5.30.2.4</w:t>
              </w:r>
            </w:ins>
            <w:ins w:id="61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104FBB" w:rsidRPr="00616C7D" w14:paraId="091CF367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KI#1:T2</w:t>
            </w:r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E462E" w:rsidRPr="00616C7D" w14:paraId="0680C386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D4ABA04" w14:textId="77777777" w:rsidR="00DE462E" w:rsidRPr="00616C7D" w:rsidRDefault="00DE462E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62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63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E27D863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2C2187" w:rsidRPr="00616C7D" w14:paraId="3C6D21B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065B045" w14:textId="71594E70" w:rsidR="002C2187" w:rsidRPr="00616C7D" w:rsidRDefault="00E33484" w:rsidP="002C2187">
            <w:pPr>
              <w:rPr>
                <w:lang w:val="en-US"/>
              </w:rPr>
            </w:pPr>
            <w:r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2C2187" w:rsidRDefault="00D30A0C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U</w:t>
            </w:r>
            <w:r w:rsidRPr="00D30A0C">
              <w:rPr>
                <w:lang w:val="en-US" w:eastAsia="zh-CN"/>
              </w:rPr>
              <w:t>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23D9F49B" w14:textId="77777777" w:rsidR="002C2187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F9DFCBC" w14:textId="77777777" w:rsidR="002C2187" w:rsidRDefault="002C2187" w:rsidP="002C2187">
            <w:pPr>
              <w:rPr>
                <w:lang w:val="en-US" w:eastAsia="zh-CN"/>
              </w:rPr>
            </w:pPr>
          </w:p>
          <w:p w14:paraId="7B89A2F1" w14:textId="790EA3C0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LS out first and then CRs in Q2?</w:t>
            </w:r>
          </w:p>
        </w:tc>
        <w:tc>
          <w:tcPr>
            <w:tcW w:w="1712" w:type="dxa"/>
          </w:tcPr>
          <w:p w14:paraId="535395C7" w14:textId="77777777" w:rsidR="002C2187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</w:p>
          <w:p w14:paraId="6A3CE013" w14:textId="489E9B5A" w:rsidR="00372C54" w:rsidRDefault="00372C54" w:rsidP="002C218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D30A0C" w:rsidRPr="00616C7D" w14:paraId="0F2C544C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bookmarkStart w:id="64" w:name="_GoBack"/>
            <w:bookmarkEnd w:id="64"/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2C2187" w:rsidRPr="00616C7D" w14:paraId="6C9E152D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124C460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KI#2:T1</w:t>
            </w:r>
          </w:p>
        </w:tc>
        <w:tc>
          <w:tcPr>
            <w:tcW w:w="2105" w:type="dxa"/>
          </w:tcPr>
          <w:p w14:paraId="043C02C6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</w:tc>
        <w:tc>
          <w:tcPr>
            <w:tcW w:w="1665" w:type="dxa"/>
            <w:shd w:val="clear" w:color="auto" w:fill="auto"/>
          </w:tcPr>
          <w:p w14:paraId="0D432386" w14:textId="77777777" w:rsidR="002C2187" w:rsidRPr="00616C7D" w:rsidRDefault="002C2187" w:rsidP="00343456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78103BD2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</w:p>
        </w:tc>
      </w:tr>
      <w:tr w:rsidR="002C2187" w:rsidRPr="00616C7D" w14:paraId="7DBE938A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D30A0C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737092BA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D?</w:t>
            </w:r>
          </w:p>
        </w:tc>
      </w:tr>
      <w:tr w:rsidR="00F51C4F" w:rsidRPr="00616C7D" w14:paraId="74E2EFC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2C2187" w:rsidRPr="00616C7D" w14:paraId="435F8952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2C2187" w:rsidRPr="00616C7D" w14:paraId="342B7374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3B80B912" w14:textId="77777777" w:rsidR="002C2187" w:rsidRPr="00616C7D" w:rsidRDefault="002C2187" w:rsidP="00B744CE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2C2187" w:rsidRPr="00616C7D" w14:paraId="485CE803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660A02" w:rsidRPr="00616C7D" w14:paraId="7F107B05" w14:textId="77777777" w:rsidTr="00C671F5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6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660A02" w:rsidRPr="00616C7D" w14:paraId="3368B60E" w14:textId="77777777" w:rsidTr="00C671F5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1CB1A6B0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2CA3BE6" w14:textId="15B09782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23.502</w:t>
            </w:r>
          </w:p>
        </w:tc>
      </w:tr>
      <w:tr w:rsidR="00660A02" w:rsidRPr="00616C7D" w14:paraId="64A94CCB" w14:textId="77777777" w:rsidTr="00C671F5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7777777" w:rsidR="00660A02" w:rsidRDefault="00660A02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443646" w:rsidRPr="00616C7D" w14:paraId="2FF5A039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66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67" w:author="Qualcomm" w:date="2021-01-05T17:45:00Z">
              <w:r>
                <w:rPr>
                  <w:lang w:val="en-US"/>
                </w:rPr>
                <w:t>Introduction of s</w:t>
              </w:r>
            </w:ins>
            <w:ins w:id="68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69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70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71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72" w:author="Qualcomm" w:date="2021-01-05T17:48:00Z"/>
                <w:lang w:val="en-US"/>
              </w:rPr>
            </w:pPr>
            <w:ins w:id="73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C671F5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2C2187" w:rsidRPr="00616C7D" w14:paraId="7CB1DCA4" w14:textId="77777777" w:rsidTr="00C671F5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2C2187" w:rsidRPr="00616C7D" w14:paraId="5A044472" w14:textId="77777777" w:rsidTr="00C671F5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77777777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>KI#4:T1</w:t>
            </w:r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CDC905E" w14:textId="77777777" w:rsidR="00796F67" w:rsidRPr="00BF5541" w:rsidRDefault="00796F67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15E87868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5.x?</w:t>
            </w:r>
          </w:p>
        </w:tc>
      </w:tr>
      <w:tr w:rsidR="00361F82" w:rsidRPr="00616C7D" w14:paraId="709C1B24" w14:textId="77777777" w:rsidTr="00C671F5">
        <w:trPr>
          <w:trHeight w:val="445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61F8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482F16BF" w:rsidR="00361F82" w:rsidRPr="007037F3" w:rsidRDefault="00361F82" w:rsidP="009172F3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665" w:type="dxa"/>
            <w:shd w:val="clear" w:color="auto" w:fill="auto"/>
          </w:tcPr>
          <w:p w14:paraId="6C5B7802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0C17D1FA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361F82" w:rsidRPr="00BF5541" w:rsidRDefault="00361F8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61F82" w:rsidRPr="00616C7D" w14:paraId="3C8E5ACE" w14:textId="77777777" w:rsidTr="00C671F5">
        <w:trPr>
          <w:trHeight w:val="445"/>
        </w:trPr>
        <w:tc>
          <w:tcPr>
            <w:tcW w:w="1440" w:type="dxa"/>
            <w:vMerge/>
          </w:tcPr>
          <w:p w14:paraId="6E297874" w14:textId="77777777" w:rsidR="00361F82" w:rsidRDefault="00361F8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47FEEBE2" w14:textId="77777777" w:rsidR="00361F82" w:rsidRPr="5BB083EA" w:rsidRDefault="00361F8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19AC0CC1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871FECF" w14:textId="77777777" w:rsidR="00361F82" w:rsidRPr="00BF5541" w:rsidRDefault="00361F82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48493BF7" w14:textId="64536C7C" w:rsidR="00361F82" w:rsidRDefault="00361F8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3E9A478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3921C9F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6A1880" w:rsidRPr="00616C7D" w14:paraId="52234868" w14:textId="77777777" w:rsidTr="00C671F5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7007371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6A1880" w:rsidRPr="00616C7D" w14:paraId="294D884F" w14:textId="77777777" w:rsidTr="00C671F5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2711CF05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3A6F72" w:rsidRPr="00616C7D" w14:paraId="24C5FAAB" w14:textId="77777777" w:rsidTr="00C671F5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3A6F72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3A6F72" w:rsidRPr="00295A7A" w:rsidRDefault="003A6F7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5A97756A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7F804C7B" w14:textId="7451F23A" w:rsidR="003A6F72" w:rsidRPr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7802F6E0" w14:textId="06C69342" w:rsidR="003A6F72" w:rsidRPr="00BF5541" w:rsidRDefault="003A6F72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3A6F72" w:rsidRPr="00616C7D" w14:paraId="5D3B85E1" w14:textId="77777777" w:rsidTr="00C671F5">
        <w:trPr>
          <w:trHeight w:val="595"/>
        </w:trPr>
        <w:tc>
          <w:tcPr>
            <w:tcW w:w="1440" w:type="dxa"/>
            <w:vMerge/>
          </w:tcPr>
          <w:p w14:paraId="347E9748" w14:textId="77777777" w:rsidR="003A6F72" w:rsidRDefault="003A6F72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3A6F72" w:rsidRPr="5BB083EA" w:rsidRDefault="003A6F72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AE36DEC" w14:textId="77777777" w:rsidR="003A6F72" w:rsidRPr="00BF5541" w:rsidRDefault="003A6F72" w:rsidP="002C2187">
            <w:pPr>
              <w:rPr>
                <w:b/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1FCC3D7" w14:textId="77777777" w:rsidR="003A6F72" w:rsidRPr="5BB083EA" w:rsidDel="00136055" w:rsidRDefault="003A6F7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28F1BF10" w14:textId="40A61384" w:rsidR="003A6F72" w:rsidRDefault="003A6F72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1BD4" w14:textId="77777777" w:rsidR="00203AAF" w:rsidRDefault="00203AAF">
      <w:r>
        <w:separator/>
      </w:r>
    </w:p>
  </w:endnote>
  <w:endnote w:type="continuationSeparator" w:id="0">
    <w:p w14:paraId="36356BC4" w14:textId="77777777" w:rsidR="00203AAF" w:rsidRDefault="00203AAF">
      <w:r>
        <w:continuationSeparator/>
      </w:r>
    </w:p>
  </w:endnote>
  <w:endnote w:type="continuationNotice" w:id="1">
    <w:p w14:paraId="1318CC2E" w14:textId="77777777" w:rsidR="00203AAF" w:rsidRDefault="00203A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C9F2" w14:textId="77777777" w:rsidR="00203AAF" w:rsidRDefault="00203AAF">
      <w:r>
        <w:separator/>
      </w:r>
    </w:p>
  </w:footnote>
  <w:footnote w:type="continuationSeparator" w:id="0">
    <w:p w14:paraId="10E4EB21" w14:textId="77777777" w:rsidR="00203AAF" w:rsidRDefault="00203AAF">
      <w:r>
        <w:continuationSeparator/>
      </w:r>
    </w:p>
  </w:footnote>
  <w:footnote w:type="continuationNotice" w:id="1">
    <w:p w14:paraId="2CE750DF" w14:textId="77777777" w:rsidR="00203AAF" w:rsidRDefault="00203A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3">
    <w15:presenceInfo w15:providerId="None" w15:userId="QC_23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2292"/>
    <w:rsid w:val="00005E70"/>
    <w:rsid w:val="00013AC6"/>
    <w:rsid w:val="00013B05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66F"/>
    <w:rsid w:val="00114B46"/>
    <w:rsid w:val="00115594"/>
    <w:rsid w:val="001203D9"/>
    <w:rsid w:val="00120533"/>
    <w:rsid w:val="00120783"/>
    <w:rsid w:val="001210AA"/>
    <w:rsid w:val="0012129A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4A4"/>
    <w:rsid w:val="001C58D0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7B21"/>
    <w:rsid w:val="001F2BCF"/>
    <w:rsid w:val="001F7D75"/>
    <w:rsid w:val="00200703"/>
    <w:rsid w:val="002015BA"/>
    <w:rsid w:val="00201DB2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F6A"/>
    <w:rsid w:val="004A45CE"/>
    <w:rsid w:val="004A525E"/>
    <w:rsid w:val="004A6348"/>
    <w:rsid w:val="004B18B3"/>
    <w:rsid w:val="004B3460"/>
    <w:rsid w:val="004B5E78"/>
    <w:rsid w:val="004B7547"/>
    <w:rsid w:val="004C1DF4"/>
    <w:rsid w:val="004C2511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6525"/>
    <w:rsid w:val="0059119F"/>
    <w:rsid w:val="00592A2D"/>
    <w:rsid w:val="00594731"/>
    <w:rsid w:val="00594D69"/>
    <w:rsid w:val="005960EB"/>
    <w:rsid w:val="005A2013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B01A9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FC2"/>
    <w:rsid w:val="007171BB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B4B"/>
    <w:rsid w:val="00805D8A"/>
    <w:rsid w:val="008142AD"/>
    <w:rsid w:val="0081473E"/>
    <w:rsid w:val="0081522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CDD"/>
    <w:rsid w:val="008D0F1E"/>
    <w:rsid w:val="008D3014"/>
    <w:rsid w:val="008D3BEB"/>
    <w:rsid w:val="008D3DE8"/>
    <w:rsid w:val="008D579C"/>
    <w:rsid w:val="008E03E0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4FB1"/>
    <w:rsid w:val="00967371"/>
    <w:rsid w:val="0097010B"/>
    <w:rsid w:val="00970741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574"/>
    <w:rsid w:val="0098621B"/>
    <w:rsid w:val="00987D1F"/>
    <w:rsid w:val="009915B4"/>
    <w:rsid w:val="00993D24"/>
    <w:rsid w:val="009951EB"/>
    <w:rsid w:val="009963BE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320B"/>
    <w:rsid w:val="00A45CDB"/>
    <w:rsid w:val="00A47F46"/>
    <w:rsid w:val="00A5092A"/>
    <w:rsid w:val="00A51586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3F85"/>
    <w:rsid w:val="00AB4010"/>
    <w:rsid w:val="00AB41D4"/>
    <w:rsid w:val="00AB46B4"/>
    <w:rsid w:val="00AC14FF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4163A"/>
    <w:rsid w:val="00B41E0E"/>
    <w:rsid w:val="00B41F21"/>
    <w:rsid w:val="00B429EB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C00116"/>
    <w:rsid w:val="00C02130"/>
    <w:rsid w:val="00C044F9"/>
    <w:rsid w:val="00C052E4"/>
    <w:rsid w:val="00C06FB0"/>
    <w:rsid w:val="00C07762"/>
    <w:rsid w:val="00C130A4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DEE"/>
    <w:rsid w:val="00D615DF"/>
    <w:rsid w:val="00D622C3"/>
    <w:rsid w:val="00D62421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13E6"/>
    <w:rsid w:val="00FF200A"/>
    <w:rsid w:val="00FF24D7"/>
    <w:rsid w:val="00FF582F"/>
    <w:rsid w:val="00FF6BF5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2903-0231-42E0-89EB-D96A6D01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48757-B5EA-4762-B192-A1E71C2B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23.799</vt:lpstr>
    </vt:vector>
  </TitlesOfParts>
  <Company>ETSI</Company>
  <LinksUpToDate>false</LinksUpToDate>
  <CharactersWithSpaces>4892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QC_23</cp:lastModifiedBy>
  <cp:revision>2</cp:revision>
  <dcterms:created xsi:type="dcterms:W3CDTF">2021-01-05T19:26:00Z</dcterms:created>
  <dcterms:modified xsi:type="dcterms:W3CDTF">2021-01-05T19:26:00Z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0x0101003AA7AC0C743A294CADF60F661720E3E6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