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proofErr w:type="spellStart"/>
            <w:r>
              <w:rPr>
                <w:lang w:eastAsia="zh-CN"/>
              </w:rPr>
              <w:t>Ruiming</w:t>
            </w:r>
            <w:proofErr w:type="spellEnd"/>
            <w:r>
              <w:rPr>
                <w:lang w:eastAsia="zh-CN"/>
              </w:rPr>
              <w:t xml:space="preserve">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50F3E787" w:rsidR="0004639E" w:rsidRDefault="0004639E" w:rsidP="008D1098">
            <w:pPr>
              <w:spacing w:after="0"/>
              <w:rPr>
                <w:rFonts w:eastAsia="Malgun Gothic"/>
                <w:lang w:eastAsia="ko-KR"/>
              </w:rPr>
            </w:pPr>
            <w:r>
              <w:rPr>
                <w:rFonts w:eastAsia="Malgun Gothic"/>
                <w:lang w:eastAsia="ko-KR"/>
              </w:rPr>
              <w:t>tao.cai@huawei.com</w:t>
            </w:r>
          </w:p>
        </w:tc>
      </w:tr>
    </w:tbl>
    <w:p w14:paraId="6B870CA0" w14:textId="0FC087C1"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t>
            </w:r>
            <w:r>
              <w:rPr>
                <w:lang w:eastAsia="sv-SE"/>
              </w:rPr>
              <w:lastRenderedPageBreak/>
              <w:t>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Pr="005F06E0"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8E3ED9" w:rsidP="00E0727F">
                  <w:pPr>
                    <w:rPr>
                      <w:rFonts w:eastAsia="Malgun Gothic"/>
                      <w:lang w:val="en-GB" w:eastAsia="ko-KR"/>
                    </w:rPr>
                  </w:pPr>
                  <w:hyperlink r:id="rId10" w:history="1">
                    <w:r w:rsidR="00F02013">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w:t>
                  </w:r>
                  <w:proofErr w:type="spellEnd"/>
                  <w:r w:rsidRPr="006304FB">
                    <w:rPr>
                      <w:i/>
                      <w:iCs/>
                    </w:rPr>
                    <w:t>-ConfigDedicated</w:t>
                  </w:r>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lastRenderedPageBreak/>
              <w:t>Huawei, HiSilicon</w:t>
            </w:r>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see</w:t>
                  </w:r>
                  <w:proofErr w:type="spellEnd"/>
                  <w:r w:rsidRPr="00534ACF">
                    <w:rPr>
                      <w:rFonts w:ascii="Times New Roman" w:eastAsia="Times New Roman" w:hAnsi="Times New Roman" w:cs="Times New Roman"/>
                      <w:szCs w:val="20"/>
                      <w:lang w:val="fr-FR" w:eastAsia="fr-FR"/>
                    </w:rPr>
                    <w:t xml:space="preserve"> TS 38.331 [5]) </w:t>
                  </w:r>
                  <w:proofErr w:type="spellStart"/>
                  <w:r w:rsidRPr="00534ACF">
                    <w:rPr>
                      <w:rFonts w:ascii="Times New Roman" w:eastAsia="Times New Roman" w:hAnsi="Times New Roman" w:cs="Times New Roman"/>
                      <w:szCs w:val="20"/>
                      <w:lang w:val="fr-FR" w:eastAsia="fr-FR"/>
                    </w:rPr>
                    <w:t>is</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configured</w:t>
                  </w:r>
                  <w:proofErr w:type="spellEnd"/>
                  <w:r w:rsidRPr="00534ACF">
                    <w:rPr>
                      <w:rFonts w:ascii="Times New Roman" w:eastAsia="Times New Roman" w:hAnsi="Times New Roman" w:cs="Times New Roman"/>
                      <w:szCs w:val="20"/>
                      <w:lang w:val="fr-FR" w:eastAsia="fr-FR"/>
                    </w:rPr>
                    <w:t xml:space="preserve"> 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proofErr w:type="spellStart"/>
                  <w:r w:rsidRPr="00534ACF">
                    <w:rPr>
                      <w:rFonts w:ascii="Times New Roman" w:eastAsia="Malgun Gothic" w:hAnsi="Times New Roman" w:cs="Times New Roman"/>
                      <w:color w:val="FF0000"/>
                      <w:szCs w:val="20"/>
                      <w:lang w:val="fr-FR" w:eastAsia="ko-KR"/>
                    </w:rPr>
                    <w:t>else</w:t>
                  </w:r>
                  <w:proofErr w:type="spellEnd"/>
                  <w:r w:rsidRPr="00534ACF">
                    <w:rPr>
                      <w:rFonts w:ascii="Times New Roman" w:eastAsia="Malgun Gothic" w:hAnsi="Times New Roman" w:cs="Times New Roman"/>
                      <w:color w:val="FF0000"/>
                      <w:szCs w:val="20"/>
                      <w:lang w:val="fr-FR" w:eastAsia="ko-KR"/>
                    </w:rPr>
                    <w:t xml:space="preserv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see</w:t>
                  </w:r>
                  <w:proofErr w:type="spellEnd"/>
                  <w:r w:rsidRPr="00534ACF">
                    <w:rPr>
                      <w:rFonts w:ascii="Times New Roman" w:eastAsia="Times New Roman" w:hAnsi="Times New Roman" w:cs="Times New Roman"/>
                      <w:color w:val="FF0000"/>
                      <w:szCs w:val="20"/>
                      <w:lang w:val="fr-FR" w:eastAsia="fr-FR"/>
                    </w:rPr>
                    <w:t xml:space="preserve"> TS 38.331 [5]) </w:t>
                  </w:r>
                  <w:proofErr w:type="spellStart"/>
                  <w:r w:rsidRPr="00534ACF">
                    <w:rPr>
                      <w:rFonts w:ascii="Times New Roman" w:eastAsia="Times New Roman" w:hAnsi="Times New Roman" w:cs="Times New Roman"/>
                      <w:color w:val="FF0000"/>
                      <w:szCs w:val="20"/>
                      <w:lang w:val="fr-FR" w:eastAsia="fr-FR"/>
                    </w:rPr>
                    <w:t>is</w:t>
                  </w:r>
                  <w:proofErr w:type="spellEnd"/>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configured</w:t>
                  </w:r>
                  <w:proofErr w:type="spellEnd"/>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szCs w:val="20"/>
                      <w:lang w:val="fr-FR" w:eastAsia="fr-FR"/>
                    </w:rPr>
                    <w:t xml:space="preserve">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 xml:space="preserve">&gt; </w:t>
                  </w:r>
                  <w:proofErr w:type="spellStart"/>
                  <w:r w:rsidRPr="00534ACF">
                    <w:rPr>
                      <w:rFonts w:ascii="Times New Roman" w:eastAsia="Malgun Gothic" w:hAnsi="Times New Roman" w:cs="Times New Roman"/>
                      <w:szCs w:val="20"/>
                      <w:lang w:val="fr-FR" w:eastAsia="fr-FR"/>
                    </w:rPr>
                    <w:t>else</w:t>
                  </w:r>
                  <w:proofErr w:type="spellEnd"/>
                  <w:r w:rsidRPr="00534ACF">
                    <w:rPr>
                      <w:rFonts w:ascii="Times New Roman" w:eastAsia="Malgun Gothic" w:hAnsi="Times New Roman" w:cs="Times New Roman"/>
                      <w:szCs w:val="20"/>
                      <w:lang w:val="fr-FR" w:eastAsia="fr-FR"/>
                    </w:rPr>
                    <w:t>:</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lastRenderedPageBreak/>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r w:rsidRPr="00B863D5">
                    <w:rPr>
                      <w:rFonts w:ascii="Times New Roman" w:eastAsia="Malgun Gothic" w:hAnsi="Times New Roman" w:cs="Times New Roman"/>
                      <w:i/>
                      <w:iCs/>
                      <w:color w:val="EE0000"/>
                      <w:u w:val="single"/>
                      <w:lang w:eastAsia="ko-KR"/>
                    </w:rPr>
                    <w:t>sbfd</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DualConfig</w:t>
                  </w:r>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preambleReceivedTargetPower</w:t>
      </w:r>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49A706D1" w14:textId="787E3FE7" w:rsidR="00A128B2" w:rsidRPr="008D7369" w:rsidRDefault="00A128B2" w:rsidP="00E0727F">
            <w:pPr>
              <w:rPr>
                <w:rFonts w:eastAsia="SimSun"/>
                <w:lang w:eastAsia="zh-CN"/>
              </w:rPr>
            </w:pPr>
            <w:r>
              <w:rPr>
                <w:rFonts w:eastAsia="SimSun"/>
                <w:lang w:eastAsia="zh-CN"/>
              </w:rPr>
              <w:t>We are fine with LG’s TP.</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HiSilicon</w:t>
            </w:r>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r w:rsidRPr="006424B7">
              <w:rPr>
                <w:lang w:eastAsia="sv-SE"/>
              </w:rPr>
              <w:t>preambleReceivedTargetPower</w:t>
            </w:r>
            <w:r>
              <w:rPr>
                <w:lang w:eastAsia="sv-SE"/>
              </w:rPr>
              <w:t xml:space="preserve"> </w:t>
            </w:r>
            <w:r w:rsidRPr="00F476FF">
              <w:rPr>
                <w:highlight w:val="yellow"/>
                <w:lang w:eastAsia="sv-SE"/>
              </w:rPr>
              <w:t>in xxx</w:t>
            </w:r>
            <w:r>
              <w:rPr>
                <w:lang w:eastAsia="sv-SE"/>
              </w:rPr>
              <w:t>" in stead of using "</w:t>
            </w:r>
            <w:r>
              <w:t xml:space="preserve"> </w:t>
            </w:r>
            <w:r w:rsidRPr="006424B7">
              <w:rPr>
                <w:lang w:eastAsia="sv-SE"/>
              </w:rPr>
              <w:t>preambleReceivedTargetPower</w:t>
            </w:r>
            <w:r w:rsidRPr="006424B7">
              <w:rPr>
                <w:lang w:eastAsia="sv-SE"/>
              </w:rPr>
              <w:t xml:space="preserve"> </w:t>
            </w:r>
            <w:r w:rsidRPr="00F476FF">
              <w:rPr>
                <w:highlight w:val="yellow"/>
                <w:lang w:eastAsia="sv-SE"/>
              </w:rPr>
              <w:t>not in yyy</w:t>
            </w:r>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r>
              <w:rPr>
                <w:lang w:eastAsia="sv-SE"/>
              </w:rPr>
              <w:lastRenderedPageBreak/>
              <w:t xml:space="preserve">two  </w:t>
            </w:r>
            <w:r w:rsidRPr="006424B7">
              <w:rPr>
                <w:lang w:eastAsia="sv-SE"/>
              </w:rPr>
              <w:t>preambleReceivedTargetPower</w:t>
            </w:r>
            <w:r>
              <w:rPr>
                <w:lang w:eastAsia="sv-SE"/>
              </w:rPr>
              <w:t xml:space="preserve">, one in xxx and one in yyy. Instead of excluding </w:t>
            </w:r>
            <w:r w:rsidRPr="006424B7">
              <w:rPr>
                <w:lang w:eastAsia="sv-SE"/>
              </w:rPr>
              <w:t>preambleReceivedTargetPower</w:t>
            </w:r>
            <w:r>
              <w:rPr>
                <w:lang w:eastAsia="sv-SE"/>
              </w:rPr>
              <w:t xml:space="preserve"> in yyy, UE can directly select </w:t>
            </w:r>
            <w:r w:rsidRPr="006424B7">
              <w:rPr>
                <w:lang w:eastAsia="sv-SE"/>
              </w:rPr>
              <w:t>preambleReceivedTargetPower</w:t>
            </w:r>
            <w:r>
              <w:rPr>
                <w:lang w:eastAsia="sv-SE"/>
              </w:rPr>
              <w:t xml:space="preserve"> in xxx. </w:t>
            </w: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r w:rsidR="008E3ED9">
        <w:fldChar w:fldCharType="begin"/>
      </w:r>
      <w:r w:rsidR="008E3ED9">
        <w:instrText xml:space="preserve"> DOCPROPERTY  CrTitle  \* MERGEFORMAT </w:instrText>
      </w:r>
      <w:r w:rsidR="008E3ED9">
        <w:fldChar w:fldCharType="separate"/>
      </w:r>
      <w:r>
        <w:t>Introduction of Rel-19 Evolution of NR duplex operation (SBFD) for MAC spec</w:t>
      </w:r>
      <w:r w:rsidR="008E3ED9">
        <w:fldChar w:fldCharType="end"/>
      </w:r>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17F4" w14:textId="77777777" w:rsidR="008E3ED9" w:rsidRDefault="008E3ED9" w:rsidP="00051DF8">
      <w:r>
        <w:separator/>
      </w:r>
    </w:p>
  </w:endnote>
  <w:endnote w:type="continuationSeparator" w:id="0">
    <w:p w14:paraId="50E30FBB" w14:textId="77777777" w:rsidR="008E3ED9" w:rsidRDefault="008E3ED9" w:rsidP="00051DF8">
      <w:r>
        <w:continuationSeparator/>
      </w:r>
    </w:p>
  </w:endnote>
  <w:endnote w:type="continuationNotice" w:id="1">
    <w:p w14:paraId="62E9BFE6" w14:textId="77777777" w:rsidR="008E3ED9" w:rsidRDefault="008E3ED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8C54" w14:textId="77777777" w:rsidR="008E3ED9" w:rsidRDefault="008E3ED9" w:rsidP="00051DF8">
      <w:r>
        <w:separator/>
      </w:r>
    </w:p>
  </w:footnote>
  <w:footnote w:type="continuationSeparator" w:id="0">
    <w:p w14:paraId="7BF55F78" w14:textId="77777777" w:rsidR="008E3ED9" w:rsidRDefault="008E3ED9" w:rsidP="00051DF8">
      <w:r>
        <w:continuationSeparator/>
      </w:r>
    </w:p>
  </w:footnote>
  <w:footnote w:type="continuationNotice" w:id="1">
    <w:p w14:paraId="6BD21A56" w14:textId="77777777" w:rsidR="008E3ED9" w:rsidRDefault="008E3ED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2"/>
  </w:num>
  <w:num w:numId="5">
    <w:abstractNumId w:val="0"/>
  </w:num>
  <w:num w:numId="6">
    <w:abstractNumId w:val="4"/>
  </w:num>
  <w:num w:numId="7">
    <w:abstractNumId w:val="10"/>
  </w:num>
  <w:num w:numId="8">
    <w:abstractNumId w:val="15"/>
  </w:num>
  <w:num w:numId="9">
    <w:abstractNumId w:val="8"/>
  </w:num>
  <w:num w:numId="10">
    <w:abstractNumId w:val="6"/>
  </w:num>
  <w:num w:numId="11">
    <w:abstractNumId w:val="2"/>
  </w:num>
  <w:num w:numId="12">
    <w:abstractNumId w:val="3"/>
  </w:num>
  <w:num w:numId="13">
    <w:abstractNumId w:val="13"/>
  </w:num>
  <w:num w:numId="14">
    <w:abstractNumId w:val="11"/>
  </w:num>
  <w:num w:numId="15">
    <w:abstractNumId w:val="5"/>
  </w:num>
  <w:num w:numId="16">
    <w:abstractNumId w:val="0"/>
  </w:num>
  <w:num w:numId="17">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3204</Words>
  <Characters>18269</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Huawei-Tao Cai</cp:lastModifiedBy>
  <cp:revision>2</cp:revision>
  <dcterms:created xsi:type="dcterms:W3CDTF">2025-09-23T07:55:00Z</dcterms:created>
  <dcterms:modified xsi:type="dcterms:W3CDTF">2025-09-23T07:55:00Z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