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tdoc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3197FF39"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D00CB5">
        <w:rPr>
          <w:rFonts w:eastAsia="Malgun Gothic"/>
          <w:b/>
          <w:bCs/>
          <w:color w:val="FF0000"/>
          <w:lang w:eastAsia="ko-KR"/>
        </w:rPr>
        <w:t>Sep. 19, 10:00 UTC</w:t>
      </w:r>
      <w:r>
        <w:rPr>
          <w:rFonts w:eastAsia="Malgun Gothic"/>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r>
              <w:rPr>
                <w:rFonts w:eastAsia="SimSun" w:hint="eastAsia"/>
                <w:lang w:eastAsia="zh-CN"/>
              </w:rPr>
              <w:t>Dongdong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Malgun Gothic"/>
                <w:lang w:eastAsia="ko-KR"/>
              </w:rPr>
            </w:pPr>
            <w:r>
              <w:rPr>
                <w:rFonts w:eastAsia="Malgun Gothic" w:hint="eastAsia"/>
                <w:lang w:eastAsia="ko-KR"/>
              </w:rPr>
              <w:t>LGE</w:t>
            </w:r>
          </w:p>
        </w:tc>
        <w:tc>
          <w:tcPr>
            <w:tcW w:w="2693" w:type="dxa"/>
          </w:tcPr>
          <w:p w14:paraId="4D601181" w14:textId="223D221A" w:rsidR="00AA375E" w:rsidRPr="00AA375E" w:rsidRDefault="00AA375E" w:rsidP="008D1098">
            <w:pPr>
              <w:spacing w:after="0"/>
              <w:rPr>
                <w:rFonts w:eastAsia="Malgun Gothic"/>
                <w:lang w:eastAsia="ko-KR"/>
              </w:rPr>
            </w:pPr>
            <w:r>
              <w:rPr>
                <w:rFonts w:eastAsia="Malgun Gothic" w:hint="eastAsia"/>
                <w:lang w:eastAsia="ko-KR"/>
              </w:rPr>
              <w:t>Hanseul Hong</w:t>
            </w:r>
          </w:p>
        </w:tc>
        <w:tc>
          <w:tcPr>
            <w:tcW w:w="4252" w:type="dxa"/>
          </w:tcPr>
          <w:p w14:paraId="798C643E" w14:textId="0C180660" w:rsidR="00AA375E" w:rsidRPr="00AA375E" w:rsidRDefault="00AA375E" w:rsidP="008D1098">
            <w:pPr>
              <w:spacing w:after="0"/>
              <w:rPr>
                <w:rFonts w:eastAsia="Malgun Gothic"/>
                <w:lang w:eastAsia="ko-KR"/>
              </w:rPr>
            </w:pPr>
            <w:r>
              <w:rPr>
                <w:rFonts w:eastAsia="Malgun Gothic"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Malgun Gothic" w:hint="eastAsia"/>
                <w:lang w:eastAsia="ko-KR"/>
              </w:rPr>
            </w:pPr>
            <w:r>
              <w:rPr>
                <w:rFonts w:eastAsia="Malgun Gothic"/>
                <w:lang w:eastAsia="ko-KR"/>
              </w:rPr>
              <w:t>Huawei, HiSilicon</w:t>
            </w:r>
          </w:p>
        </w:tc>
        <w:tc>
          <w:tcPr>
            <w:tcW w:w="2693" w:type="dxa"/>
          </w:tcPr>
          <w:p w14:paraId="025EDA9C" w14:textId="0D5FC61B" w:rsidR="0004639E" w:rsidRDefault="0004639E" w:rsidP="008D1098">
            <w:pPr>
              <w:spacing w:after="0"/>
              <w:rPr>
                <w:rFonts w:eastAsia="Malgun Gothic" w:hint="eastAsia"/>
                <w:lang w:eastAsia="ko-KR"/>
              </w:rPr>
            </w:pPr>
            <w:r>
              <w:rPr>
                <w:rFonts w:eastAsia="Malgun Gothic"/>
                <w:lang w:eastAsia="ko-KR"/>
              </w:rPr>
              <w:t>Tao Cai</w:t>
            </w:r>
          </w:p>
        </w:tc>
        <w:tc>
          <w:tcPr>
            <w:tcW w:w="4252" w:type="dxa"/>
          </w:tcPr>
          <w:p w14:paraId="0BF54DDF" w14:textId="50F3E787" w:rsidR="0004639E" w:rsidRDefault="0004639E" w:rsidP="008D1098">
            <w:pPr>
              <w:spacing w:after="0"/>
              <w:rPr>
                <w:rFonts w:eastAsia="Malgun Gothic" w:hint="eastAsia"/>
                <w:lang w:eastAsia="ko-KR"/>
              </w:rPr>
            </w:pPr>
            <w:r>
              <w:rPr>
                <w:rFonts w:eastAsia="Malgun Gothic"/>
                <w:lang w:eastAsia="ko-KR"/>
              </w:rPr>
              <w:t>tao.cai@huawei.com</w:t>
            </w:r>
          </w:p>
        </w:tc>
      </w:tr>
    </w:tbl>
    <w:p w14:paraId="6B870CA0" w14:textId="0FC087C1" w:rsidR="001B4380" w:rsidRPr="00D90DA9" w:rsidRDefault="00120E65" w:rsidP="009A5BDE">
      <w:pPr>
        <w:pStyle w:val="Heading1"/>
      </w:pPr>
      <w:r>
        <w:lastRenderedPageBreak/>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[Post130][216][SBFD] Running CR for 38.331</w:t>
            </w:r>
            <w:r>
              <w:tab/>
              <w:t>Huawei, HiSilicon</w:t>
            </w:r>
            <w:r>
              <w:tab/>
              <w:t>discussion</w:t>
            </w:r>
            <w:r>
              <w:tab/>
              <w:t>Rel-19</w:t>
            </w:r>
            <w:r>
              <w:tab/>
              <w:t>NR_duplex_evo-Core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RRC-3] Not to pursue the further optimization of parameter signalling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RRC-1] For the network indicating RO type, use 1 bit signalling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object this proposal. Samsung think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InterDigital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agree with ZTE, think if we cannot </w:t>
            </w:r>
            <w:r>
              <w:rPr>
                <w:rFonts w:eastAsia="SimSun"/>
                <w:lang w:eastAsia="zh-CN"/>
              </w:rPr>
              <w:t>conclude</w:t>
            </w:r>
            <w:r>
              <w:rPr>
                <w:rFonts w:eastAsia="SimSun" w:hint="eastAsia"/>
                <w:lang w:eastAsia="zh-CN"/>
              </w:rPr>
              <w:t xml:space="preserve"> here it is not easy to agree in LTM session either. Ericsson,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both Rel-18 LTM Cell Switch Command MAC CE and Rel-19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lastRenderedPageBreak/>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We are fine with either way,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As ZTE mentioned, RO type indication can be included in the Rel-18 and Rel-19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RO type indication can be included in the Rel-18 and Rel-19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Pr>
                <w:rFonts w:eastAsia="SimSun" w:hint="eastAsia"/>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Malgun Gothic"/>
                <w:lang w:val="en-GB" w:eastAsia="ko-KR"/>
              </w:rPr>
            </w:pPr>
            <w:r>
              <w:rPr>
                <w:rFonts w:eastAsia="Malgun Gothic" w:hint="eastAsia"/>
                <w:lang w:val="en-GB" w:eastAsia="ko-KR"/>
              </w:rPr>
              <w:t>LGE</w:t>
            </w:r>
          </w:p>
        </w:tc>
        <w:tc>
          <w:tcPr>
            <w:tcW w:w="1551" w:type="dxa"/>
            <w:vAlign w:val="center"/>
          </w:tcPr>
          <w:p w14:paraId="3F1E8B41" w14:textId="5A58F376" w:rsidR="00AA375E" w:rsidRPr="00AA375E" w:rsidRDefault="00AA375E" w:rsidP="003B2789">
            <w:pPr>
              <w:jc w:val="center"/>
              <w:rPr>
                <w:rFonts w:eastAsia="Malgun Gothic"/>
                <w:lang w:eastAsia="ko-KR"/>
              </w:rPr>
            </w:pPr>
            <w:r>
              <w:rPr>
                <w:rFonts w:eastAsia="Malgun Gothic" w:hint="eastAsia"/>
                <w:lang w:eastAsia="ko-KR"/>
              </w:rPr>
              <w:t>Yes, slightly</w:t>
            </w:r>
          </w:p>
        </w:tc>
        <w:tc>
          <w:tcPr>
            <w:tcW w:w="6711" w:type="dxa"/>
          </w:tcPr>
          <w:p w14:paraId="55296599" w14:textId="77777777" w:rsidR="00AA375E" w:rsidRDefault="00AA375E" w:rsidP="003B2789">
            <w:pPr>
              <w:rPr>
                <w:rFonts w:eastAsia="Malgun Gothic"/>
                <w:lang w:val="en-GB" w:eastAsia="ko-KR"/>
              </w:rPr>
            </w:pPr>
            <w:r>
              <w:rPr>
                <w:rFonts w:eastAsia="Malgun Gothic" w:hint="eastAsia"/>
                <w:lang w:val="en-GB" w:eastAsia="ko-KR"/>
              </w:rPr>
              <w:t xml:space="preserve">In our </w:t>
            </w:r>
            <w:r>
              <w:rPr>
                <w:rFonts w:eastAsia="Malgun Gothic"/>
                <w:lang w:val="en-GB" w:eastAsia="ko-KR"/>
              </w:rPr>
              <w:t>understanding</w:t>
            </w:r>
            <w:r>
              <w:rPr>
                <w:rFonts w:eastAsia="Malgun Gothic" w:hint="eastAsia"/>
                <w:lang w:val="en-GB" w:eastAsia="ko-KR"/>
              </w:rPr>
              <w:t xml:space="preserve">, if the RO type can be indicated via RRC signalling (i.e., RO type indication via RACH-ConfigDedicated IE) for LTM cell switch, it could also be indicated by the LTM cell switch MAC CE with similar reason. </w:t>
            </w:r>
          </w:p>
          <w:p w14:paraId="11D122BE" w14:textId="3DBE57DF" w:rsidR="00AA375E" w:rsidRPr="00AA375E" w:rsidRDefault="00AA375E" w:rsidP="003B2789">
            <w:pPr>
              <w:rPr>
                <w:rFonts w:eastAsia="Malgun Gothic"/>
                <w:lang w:val="en-GB" w:eastAsia="ko-KR"/>
              </w:rPr>
            </w:pPr>
            <w:r>
              <w:rPr>
                <w:rFonts w:eastAsia="Malgun Gothic"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Malgun Gothic" w:hint="eastAsia"/>
                <w:lang w:eastAsia="ko-KR"/>
              </w:rPr>
            </w:pPr>
            <w:r>
              <w:rPr>
                <w:rFonts w:eastAsia="Malgun Gothic"/>
                <w:lang w:eastAsia="ko-KR"/>
              </w:rPr>
              <w:t>Huawei, HiSilicon</w:t>
            </w:r>
          </w:p>
        </w:tc>
        <w:tc>
          <w:tcPr>
            <w:tcW w:w="1551" w:type="dxa"/>
            <w:vAlign w:val="center"/>
          </w:tcPr>
          <w:p w14:paraId="4E05E1A6" w14:textId="0DE293DF" w:rsidR="00DB61FE" w:rsidRDefault="00DB61FE" w:rsidP="003B2789">
            <w:pPr>
              <w:jc w:val="center"/>
              <w:rPr>
                <w:rFonts w:eastAsia="Malgun Gothic" w:hint="eastAsia"/>
                <w:lang w:eastAsia="ko-KR"/>
              </w:rPr>
            </w:pPr>
            <w:r>
              <w:rPr>
                <w:rFonts w:eastAsia="Malgun Gothic"/>
                <w:lang w:eastAsia="ko-KR"/>
              </w:rPr>
              <w:t>Yes with comments</w:t>
            </w:r>
          </w:p>
        </w:tc>
        <w:tc>
          <w:tcPr>
            <w:tcW w:w="6711" w:type="dxa"/>
          </w:tcPr>
          <w:p w14:paraId="52AE8B99" w14:textId="1E796418" w:rsidR="00DB61FE" w:rsidRDefault="00DB61FE" w:rsidP="003B2789">
            <w:pPr>
              <w:rPr>
                <w:rFonts w:eastAsia="Malgun Gothic" w:hint="eastAsia"/>
                <w:lang w:val="en-GB" w:eastAsia="ko-KR"/>
              </w:rPr>
            </w:pPr>
            <w:r>
              <w:rPr>
                <w:rFonts w:eastAsia="Malgun Gothic"/>
                <w:lang w:val="en-GB" w:eastAsia="ko-KR"/>
              </w:rPr>
              <w:t>The understanding during online session</w:t>
            </w:r>
            <w:r w:rsidR="009D1422">
              <w:rPr>
                <w:rFonts w:eastAsia="Malgun Gothic"/>
                <w:lang w:val="en-GB" w:eastAsia="ko-KR"/>
              </w:rPr>
              <w:t xml:space="preserve"> wa</w:t>
            </w:r>
            <w:r>
              <w:rPr>
                <w:rFonts w:eastAsia="Malgun Gothic"/>
                <w:lang w:val="en-GB" w:eastAsia="ko-KR"/>
              </w:rPr>
              <w:t xml:space="preserve">s to use a </w:t>
            </w:r>
            <w:r w:rsidR="002A52CD">
              <w:rPr>
                <w:rFonts w:eastAsia="Malgun Gothic"/>
                <w:lang w:val="en-GB" w:eastAsia="ko-KR"/>
              </w:rPr>
              <w:t>separate</w:t>
            </w:r>
            <w:r>
              <w:rPr>
                <w:rFonts w:eastAsia="Malgun Gothic"/>
                <w:lang w:val="en-GB" w:eastAsia="ko-KR"/>
              </w:rPr>
              <w:t xml:space="preserve"> CR (not MAC running CR) to add RO type indicator in Rel-19 LTM cell change command MAC CE and it was assumed not to change Rel-18 MAC CE (contrary to what was proposed in the pre RAN2#131 </w:t>
            </w:r>
            <w:r w:rsidR="009D1422">
              <w:rPr>
                <w:rFonts w:eastAsia="Malgun Gothic"/>
                <w:lang w:val="en-GB" w:eastAsia="ko-KR"/>
              </w:rPr>
              <w:t xml:space="preserve">RRC </w:t>
            </w:r>
            <w:r>
              <w:rPr>
                <w:rFonts w:eastAsia="Malgun Gothic"/>
                <w:lang w:val="en-GB" w:eastAsia="ko-KR"/>
              </w:rPr>
              <w:t>open issue discussion</w:t>
            </w:r>
            <w:r w:rsidR="009D1422">
              <w:rPr>
                <w:rFonts w:eastAsia="Malgun Gothic"/>
                <w:lang w:val="en-GB" w:eastAsia="ko-KR"/>
              </w:rPr>
              <w:t xml:space="preserve"> summary</w:t>
            </w:r>
            <w:r>
              <w:rPr>
                <w:rFonts w:eastAsia="Malgun Gothic"/>
                <w:lang w:val="en-GB" w:eastAsia="ko-KR"/>
              </w:rPr>
              <w:t xml:space="preserve">). </w:t>
            </w:r>
            <w:r w:rsidR="002A52CD">
              <w:rPr>
                <w:rFonts w:eastAsia="Malgun Gothic"/>
                <w:lang w:val="en-GB" w:eastAsia="ko-KR"/>
              </w:rPr>
              <w:t>C</w:t>
            </w:r>
            <w:r w:rsidR="00FF6BEE">
              <w:rPr>
                <w:rFonts w:eastAsia="Malgun Gothic"/>
                <w:lang w:val="en-GB" w:eastAsia="ko-KR"/>
              </w:rPr>
              <w:t>all</w:t>
            </w:r>
            <w:r w:rsidR="002A52CD">
              <w:rPr>
                <w:rFonts w:eastAsia="Malgun Gothic"/>
                <w:lang w:val="en-GB" w:eastAsia="ko-KR"/>
              </w:rPr>
              <w:t>ing</w:t>
            </w:r>
            <w:r w:rsidR="00FF6BEE">
              <w:rPr>
                <w:rFonts w:eastAsia="Malgun Gothic"/>
                <w:lang w:val="en-GB" w:eastAsia="ko-KR"/>
              </w:rPr>
              <w:t xml:space="preserve"> it</w:t>
            </w:r>
            <w:r w:rsidR="002A52CD">
              <w:rPr>
                <w:rFonts w:eastAsia="Malgun Gothic"/>
                <w:lang w:val="en-GB" w:eastAsia="ko-KR"/>
              </w:rPr>
              <w:t xml:space="preserve"> Rel-18 MAC CE in a Rel-19 CR</w:t>
            </w:r>
            <w:r w:rsidR="0004639E">
              <w:rPr>
                <w:rFonts w:eastAsia="Malgun Gothic"/>
                <w:lang w:val="en-GB" w:eastAsia="ko-KR"/>
              </w:rPr>
              <w:t>/spec</w:t>
            </w:r>
            <w:r w:rsidR="002A52CD">
              <w:rPr>
                <w:rFonts w:eastAsia="Malgun Gothic"/>
                <w:lang w:val="en-GB" w:eastAsia="ko-KR"/>
              </w:rPr>
              <w:t xml:space="preserve"> seems odd</w:t>
            </w:r>
            <w:r w:rsidR="009D1422">
              <w:rPr>
                <w:rFonts w:eastAsia="Malgun Gothic"/>
                <w:lang w:val="en-GB" w:eastAsia="ko-KR"/>
              </w:rPr>
              <w:t xml:space="preserve">, </w:t>
            </w:r>
            <w:r w:rsidR="002A52CD">
              <w:rPr>
                <w:rFonts w:eastAsia="Malgun Gothic"/>
                <w:lang w:val="en-GB" w:eastAsia="ko-KR"/>
              </w:rPr>
              <w:t xml:space="preserve"> however</w:t>
            </w:r>
            <w:r w:rsidR="009D1422">
              <w:rPr>
                <w:rFonts w:eastAsia="Malgun Gothic"/>
                <w:lang w:val="en-GB" w:eastAsia="ko-KR"/>
              </w:rPr>
              <w:t xml:space="preserve"> </w:t>
            </w:r>
            <w:r w:rsidR="00FF6BEE">
              <w:rPr>
                <w:rFonts w:eastAsia="Malgun Gothic"/>
                <w:lang w:val="en-GB" w:eastAsia="ko-KR"/>
              </w:rPr>
              <w:t xml:space="preserve">we are fine </w:t>
            </w:r>
            <w:r w:rsidR="002A52CD">
              <w:rPr>
                <w:rFonts w:eastAsia="Malgun Gothic"/>
                <w:lang w:val="en-GB" w:eastAsia="ko-KR"/>
              </w:rPr>
              <w:t xml:space="preserve">if </w:t>
            </w:r>
            <w:r w:rsidR="00FF6BEE">
              <w:rPr>
                <w:rFonts w:eastAsia="Malgun Gothic"/>
                <w:lang w:val="en-GB" w:eastAsia="ko-KR"/>
              </w:rPr>
              <w:t xml:space="preserve">majority thinks </w:t>
            </w:r>
            <w:r w:rsidR="002A52CD">
              <w:rPr>
                <w:rFonts w:eastAsia="Malgun Gothic"/>
                <w:lang w:val="en-GB" w:eastAsia="ko-KR"/>
              </w:rPr>
              <w:t xml:space="preserve">Rel-18 MAC CE is to be used </w:t>
            </w:r>
            <w:r w:rsidR="00FF6BEE">
              <w:rPr>
                <w:rFonts w:eastAsia="Malgun Gothic"/>
                <w:lang w:val="en-GB" w:eastAsia="ko-KR"/>
              </w:rPr>
              <w:t>when</w:t>
            </w:r>
            <w:r w:rsidR="002A52CD" w:rsidRPr="002A52CD">
              <w:rPr>
                <w:rFonts w:eastAsia="Malgun Gothic"/>
                <w:lang w:val="en-GB" w:eastAsia="ko-KR"/>
              </w:rPr>
              <w:t xml:space="preserve"> security key does not need update</w:t>
            </w:r>
            <w:r w:rsidR="002A52CD">
              <w:rPr>
                <w:rFonts w:eastAsia="Malgun Gothic"/>
                <w:lang w:val="en-GB" w:eastAsia="ko-KR"/>
              </w:rPr>
              <w:t xml:space="preserve"> </w:t>
            </w:r>
            <w:r w:rsidR="00FF6BEE">
              <w:rPr>
                <w:rFonts w:eastAsia="Malgun Gothic"/>
                <w:lang w:val="en-GB" w:eastAsia="ko-KR"/>
              </w:rPr>
              <w:t xml:space="preserve">as </w:t>
            </w:r>
            <w:r w:rsidR="002A52CD">
              <w:rPr>
                <w:rFonts w:eastAsia="Malgun Gothic"/>
                <w:lang w:val="en-GB" w:eastAsia="ko-KR"/>
              </w:rPr>
              <w:t>in ZTE comments</w:t>
            </w:r>
            <w:r w:rsidR="00FF6BEE">
              <w:rPr>
                <w:rFonts w:eastAsia="Malgun Gothic"/>
                <w:lang w:val="en-GB" w:eastAsia="ko-KR"/>
              </w:rPr>
              <w:t xml:space="preserve">. </w:t>
            </w:r>
            <w:r w:rsidR="002A52CD">
              <w:rPr>
                <w:rFonts w:eastAsia="Malgun Gothic"/>
                <w:lang w:val="en-GB" w:eastAsia="ko-KR"/>
              </w:rPr>
              <w:t xml:space="preserve"> </w:t>
            </w:r>
          </w:p>
        </w:tc>
      </w:tr>
    </w:tbl>
    <w:p w14:paraId="525FB1D8" w14:textId="74AE569F" w:rsidR="00120E65" w:rsidRDefault="00120E65" w:rsidP="00780915">
      <w:pPr>
        <w:rPr>
          <w:lang w:val="en-GB" w:eastAsia="sv-SE"/>
        </w:rPr>
      </w:pPr>
    </w:p>
    <w:p w14:paraId="5F3E1748" w14:textId="38F2E481" w:rsidR="0025416B" w:rsidRDefault="007707EB" w:rsidP="00780915">
      <w:pPr>
        <w:rPr>
          <w:rFonts w:eastAsia="Malgun Gothic"/>
          <w:lang w:val="en-GB" w:eastAsia="ko-KR"/>
        </w:rPr>
      </w:pPr>
      <w:r w:rsidRPr="0078287F">
        <w:rPr>
          <w:rFonts w:eastAsia="Malgun Gothic" w:hint="eastAsia"/>
          <w:b/>
          <w:bCs/>
          <w:lang w:val="en-GB" w:eastAsia="ko-KR"/>
        </w:rPr>
        <w:t>S</w:t>
      </w:r>
      <w:r w:rsidRPr="0078287F">
        <w:rPr>
          <w:rFonts w:eastAsia="Malgun Gothic"/>
          <w:b/>
          <w:bCs/>
          <w:lang w:val="en-GB" w:eastAsia="ko-KR"/>
        </w:rPr>
        <w:t>ummary</w:t>
      </w:r>
      <w:r>
        <w:rPr>
          <w:rFonts w:eastAsia="Malgun Gothic"/>
          <w:lang w:val="en-GB" w:eastAsia="ko-KR"/>
        </w:rPr>
        <w:t>:</w:t>
      </w:r>
    </w:p>
    <w:p w14:paraId="5934FD88" w14:textId="77777777" w:rsidR="00C03054" w:rsidRPr="007707EB" w:rsidRDefault="00C03054" w:rsidP="00780915">
      <w:pPr>
        <w:rPr>
          <w:rFonts w:eastAsia="Malgun Gothic"/>
          <w:lang w:val="en-GB" w:eastAsia="ko-KR"/>
        </w:rPr>
      </w:pP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ook w:val="04A0" w:firstRow="1" w:lastRow="0" w:firstColumn="1" w:lastColumn="0" w:noHBand="0" w:noVBand="1"/>
      </w:tblPr>
      <w:tblGrid>
        <w:gridCol w:w="931"/>
        <w:gridCol w:w="3786"/>
        <w:gridCol w:w="4012"/>
        <w:gridCol w:w="892"/>
      </w:tblGrid>
      <w:tr w:rsidR="00A360C2" w14:paraId="61662656" w14:textId="77777777" w:rsidTr="00A360C2">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3459"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4339"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892"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A360C2">
        <w:tc>
          <w:tcPr>
            <w:tcW w:w="931" w:type="dxa"/>
            <w:vAlign w:val="center"/>
          </w:tcPr>
          <w:p w14:paraId="26D99400" w14:textId="2F1F571D" w:rsidR="002C1622" w:rsidRDefault="003D22FA" w:rsidP="008D1098">
            <w:pPr>
              <w:jc w:val="center"/>
            </w:pPr>
            <w:r>
              <w:t>Ericsson</w:t>
            </w:r>
          </w:p>
        </w:tc>
        <w:tc>
          <w:tcPr>
            <w:tcW w:w="3459" w:type="dxa"/>
            <w:vAlign w:val="center"/>
          </w:tcPr>
          <w:p w14:paraId="040F86EA" w14:textId="0703E023" w:rsidR="002C1622" w:rsidRDefault="000610AF" w:rsidP="008D1098">
            <w:pPr>
              <w:jc w:val="center"/>
              <w:rPr>
                <w:lang w:eastAsia="sv-SE"/>
              </w:rPr>
            </w:pPr>
            <w:r w:rsidRPr="0008664A">
              <w:rPr>
                <w:i/>
                <w:iCs/>
              </w:rPr>
              <w:t>sbfd-RO-Type</w:t>
            </w:r>
            <w:r>
              <w:rPr>
                <w:i/>
                <w:iCs/>
              </w:rPr>
              <w:t xml:space="preserve"> is not included in the </w:t>
            </w:r>
            <w:r w:rsidR="001B60BF">
              <w:rPr>
                <w:i/>
                <w:iCs/>
              </w:rPr>
              <w:t xml:space="preserve">parameter list in clause </w:t>
            </w:r>
            <w:r w:rsidR="006A041B">
              <w:rPr>
                <w:i/>
                <w:iCs/>
              </w:rPr>
              <w:t>5.1.1</w:t>
            </w:r>
          </w:p>
        </w:tc>
        <w:tc>
          <w:tcPr>
            <w:tcW w:w="4339" w:type="dxa"/>
          </w:tcPr>
          <w:p w14:paraId="58C86AC0" w14:textId="3781C061" w:rsidR="002C1622" w:rsidRPr="00265B4F" w:rsidRDefault="006A041B" w:rsidP="008D1098">
            <w:r>
              <w:t xml:space="preserve">Include </w:t>
            </w:r>
            <w:r w:rsidRPr="0008664A">
              <w:rPr>
                <w:i/>
                <w:iCs/>
              </w:rPr>
              <w:t>sbfd-RO-Type</w:t>
            </w:r>
            <w:r>
              <w:rPr>
                <w:i/>
                <w:iCs/>
              </w:rPr>
              <w:t xml:space="preserve"> in the parameter list</w:t>
            </w:r>
          </w:p>
        </w:tc>
        <w:tc>
          <w:tcPr>
            <w:tcW w:w="892" w:type="dxa"/>
          </w:tcPr>
          <w:p w14:paraId="1BB43D51" w14:textId="5029D839" w:rsidR="002C1622" w:rsidRDefault="002C1622" w:rsidP="008D1098">
            <w:pPr>
              <w:jc w:val="center"/>
            </w:pPr>
          </w:p>
        </w:tc>
      </w:tr>
      <w:tr w:rsidR="00A360C2" w14:paraId="58B87362" w14:textId="77777777" w:rsidTr="00A360C2">
        <w:tc>
          <w:tcPr>
            <w:tcW w:w="931" w:type="dxa"/>
            <w:vAlign w:val="center"/>
          </w:tcPr>
          <w:p w14:paraId="777D72FA" w14:textId="46ACB8B9" w:rsidR="002C1622" w:rsidRDefault="006A041B" w:rsidP="008D1098">
            <w:pPr>
              <w:jc w:val="center"/>
              <w:rPr>
                <w:lang w:eastAsia="sv-SE"/>
              </w:rPr>
            </w:pPr>
            <w:r>
              <w:t>Ericsson</w:t>
            </w:r>
          </w:p>
        </w:tc>
        <w:tc>
          <w:tcPr>
            <w:tcW w:w="3459"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 xml:space="preserve">it can be up to gNB configuration to ensure that 2-step RA </w:t>
            </w:r>
            <w:r w:rsidRPr="00990A27">
              <w:rPr>
                <w:highlight w:val="yellow"/>
                <w:lang w:eastAsia="sv-SE"/>
              </w:rPr>
              <w:lastRenderedPageBreak/>
              <w:t>and SBFD will not be present in the same cell/BWP.</w:t>
            </w:r>
          </w:p>
        </w:tc>
        <w:tc>
          <w:tcPr>
            <w:tcW w:w="4339" w:type="dxa"/>
          </w:tcPr>
          <w:p w14:paraId="6A49B31B" w14:textId="77777777" w:rsidR="002C1622" w:rsidRDefault="00AF5C9D" w:rsidP="008D1098">
            <w:pPr>
              <w:jc w:val="center"/>
              <w:rPr>
                <w:lang w:eastAsia="sv-SE"/>
              </w:rPr>
            </w:pPr>
            <w:r>
              <w:rPr>
                <w:lang w:eastAsia="sv-SE"/>
              </w:rPr>
              <w:lastRenderedPageBreak/>
              <w:t>There may be several options to address the scenario, where the SBFD aware UE is configured with both 2-step RA and SBFD</w:t>
            </w:r>
          </w:p>
          <w:p w14:paraId="650D91AA" w14:textId="773CC588" w:rsidR="00AF5C9D" w:rsidRDefault="00AF5C9D" w:rsidP="008D1098">
            <w:pPr>
              <w:jc w:val="center"/>
              <w:rPr>
                <w:lang w:eastAsia="sv-SE"/>
              </w:rPr>
            </w:pPr>
            <w:r>
              <w:rPr>
                <w:lang w:eastAsia="sv-SE"/>
              </w:rPr>
              <w:t xml:space="preserve">Option 1 – up to gNB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lastRenderedPageBreak/>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892" w:type="dxa"/>
          </w:tcPr>
          <w:p w14:paraId="0981EEF2" w14:textId="77777777" w:rsidR="002C1622" w:rsidRDefault="002C1622" w:rsidP="008D1098">
            <w:pPr>
              <w:jc w:val="center"/>
              <w:rPr>
                <w:lang w:eastAsia="sv-SE"/>
              </w:rPr>
            </w:pPr>
          </w:p>
        </w:tc>
      </w:tr>
      <w:tr w:rsidR="00A360C2" w14:paraId="4E5B9319" w14:textId="77777777" w:rsidTr="00A360C2">
        <w:tc>
          <w:tcPr>
            <w:tcW w:w="931" w:type="dxa"/>
            <w:vAlign w:val="center"/>
          </w:tcPr>
          <w:p w14:paraId="372F5CA8" w14:textId="5DDBF71F" w:rsidR="002C1622" w:rsidRPr="00AA375E" w:rsidRDefault="00AA375E" w:rsidP="008D1098">
            <w:pPr>
              <w:jc w:val="center"/>
              <w:rPr>
                <w:rFonts w:eastAsia="Malgun Gothic"/>
                <w:lang w:eastAsia="ko-KR"/>
              </w:rPr>
            </w:pPr>
            <w:r>
              <w:rPr>
                <w:rFonts w:eastAsia="Malgun Gothic" w:hint="eastAsia"/>
                <w:lang w:eastAsia="ko-KR"/>
              </w:rPr>
              <w:t>LGE</w:t>
            </w:r>
          </w:p>
        </w:tc>
        <w:tc>
          <w:tcPr>
            <w:tcW w:w="3459" w:type="dxa"/>
            <w:vAlign w:val="center"/>
          </w:tcPr>
          <w:p w14:paraId="3B99A5F5" w14:textId="21E229C8" w:rsidR="00BE619F" w:rsidRPr="00BE619F" w:rsidRDefault="00BE619F" w:rsidP="00BE619F">
            <w:pPr>
              <w:rPr>
                <w:rFonts w:eastAsia="Malgun Gothic"/>
                <w:lang w:eastAsia="ko-KR"/>
              </w:rPr>
            </w:pPr>
            <w:r>
              <w:rPr>
                <w:rFonts w:eastAsia="Malgun Gothic" w:hint="eastAsia"/>
                <w:lang w:eastAsia="ko-KR"/>
              </w:rPr>
              <w:t xml:space="preserve">As we commented during the CR review, </w:t>
            </w:r>
            <w:r w:rsidR="00A360C2">
              <w:rPr>
                <w:rFonts w:eastAsia="Malgun Gothic" w:hint="eastAsia"/>
                <w:lang w:eastAsia="ko-KR"/>
              </w:rPr>
              <w:t xml:space="preserve">it may be needed to be clarified that </w:t>
            </w:r>
            <w:r>
              <w:rPr>
                <w:rFonts w:eastAsia="Malgun Gothic"/>
                <w:lang w:eastAsia="ko-KR"/>
              </w:rPr>
              <w:t>th</w:t>
            </w:r>
            <w:r>
              <w:rPr>
                <w:rFonts w:eastAsia="Malgun Gothic" w:hint="eastAsia"/>
                <w:lang w:eastAsia="ko-KR"/>
              </w:rPr>
              <w:t xml:space="preserve">e highlighted </w:t>
            </w:r>
            <w:r w:rsidRPr="00BE619F">
              <w:rPr>
                <w:rFonts w:eastAsia="Malgun Gothic"/>
                <w:highlight w:val="yellow"/>
                <w:lang w:eastAsia="ko-KR"/>
              </w:rPr>
              <w:t>preambleReceivedTargetPower</w:t>
            </w:r>
            <w:r>
              <w:rPr>
                <w:rFonts w:eastAsia="Malgun Gothic" w:hint="eastAsia"/>
                <w:lang w:eastAsia="ko-KR"/>
              </w:rPr>
              <w:t xml:space="preserve"> should not be the value included </w:t>
            </w:r>
            <w:r w:rsidRPr="00E26462">
              <w:t>in</w:t>
            </w:r>
            <w:r>
              <w:t xml:space="preserve"> the</w:t>
            </w:r>
            <w:r w:rsidRPr="00E26462">
              <w:t xml:space="preserve"> </w:t>
            </w:r>
            <w:r w:rsidRPr="00C15835">
              <w:rPr>
                <w:i/>
                <w:iCs/>
              </w:rPr>
              <w:t>sbfd-RACH-DualConfig</w:t>
            </w:r>
            <w:r>
              <w:rPr>
                <w:rFonts w:eastAsia="Malgun Gothic" w:hint="eastAsia"/>
                <w:i/>
                <w:iCs/>
                <w:lang w:eastAsia="ko-KR"/>
              </w:rPr>
              <w:t xml:space="preserve">, </w:t>
            </w:r>
            <w:r>
              <w:rPr>
                <w:rFonts w:eastAsia="Malgun Gothic" w:hint="eastAsia"/>
                <w:lang w:eastAsia="ko-KR"/>
              </w:rPr>
              <w:t xml:space="preserve">which is not used </w:t>
            </w:r>
            <w:r w:rsidR="00A360C2">
              <w:rPr>
                <w:rFonts w:eastAsia="Malgun Gothic" w:hint="eastAsia"/>
                <w:lang w:eastAsia="ko-KR"/>
              </w:rPr>
              <w:t>for initialization when the UE selects the 2nd-RO.</w:t>
            </w:r>
            <w:r>
              <w:rPr>
                <w:rFonts w:eastAsia="Malgun Gothic" w:hint="eastAsia"/>
                <w:lang w:eastAsia="ko-KR"/>
              </w:rPr>
              <w:t xml:space="preserve">  </w:t>
            </w:r>
          </w:p>
          <w:p w14:paraId="6B51BC47" w14:textId="533BE3A9" w:rsidR="00BE619F" w:rsidRPr="00BE619F" w:rsidRDefault="00BE619F" w:rsidP="00BE619F">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BE619F">
              <w:rPr>
                <w:rFonts w:eastAsia="Malgun Gothic"/>
                <w:lang w:eastAsia="ko-KR"/>
              </w:rPr>
              <w:t xml:space="preserve"> and the amount of power ramping applied to the latest Random Access Preamble transmission to lower layers (i.e. (PREAMBLE_POWER_RAMPING_COUNTER – 1) × PREAMBLE_POWER_RAMPING_STEP + POWER_OFFSET_2STEP_RA + POWER_OFFSET_RO_TYPE);</w:t>
            </w:r>
          </w:p>
        </w:tc>
        <w:tc>
          <w:tcPr>
            <w:tcW w:w="4339" w:type="dxa"/>
          </w:tcPr>
          <w:p w14:paraId="51557F91" w14:textId="1359071A" w:rsidR="00A360C2" w:rsidRDefault="00A360C2" w:rsidP="00A360C2">
            <w:pPr>
              <w:jc w:val="both"/>
              <w:rPr>
                <w:rFonts w:eastAsia="Malgun Gothic"/>
                <w:lang w:eastAsia="ko-KR"/>
              </w:rPr>
            </w:pPr>
            <w:r>
              <w:rPr>
                <w:rFonts w:eastAsia="Malgun Gothic" w:hint="eastAsia"/>
                <w:lang w:eastAsia="ko-KR"/>
              </w:rPr>
              <w:t>If the 1</w:t>
            </w:r>
            <w:r w:rsidRPr="00A360C2">
              <w:rPr>
                <w:rFonts w:eastAsia="Malgun Gothic" w:hint="eastAsia"/>
                <w:vertAlign w:val="superscript"/>
                <w:lang w:eastAsia="ko-KR"/>
              </w:rPr>
              <w:t>st</w:t>
            </w:r>
            <w:r>
              <w:rPr>
                <w:rFonts w:eastAsia="Malgun Gothic" w:hint="eastAsia"/>
                <w:lang w:eastAsia="ko-KR"/>
              </w:rPr>
              <w:t xml:space="preserve"> RO is selected for preamble transmission but the Msg3 PUSCH is transmitted in SBFD symbol, the </w:t>
            </w:r>
            <w:r w:rsidRPr="00A360C2">
              <w:rPr>
                <w:rFonts w:eastAsia="Malgun Gothic"/>
                <w:i/>
                <w:iCs/>
                <w:highlight w:val="green"/>
                <w:lang w:eastAsia="ko-KR"/>
              </w:rPr>
              <w:t>preambleReceivedTargetPower</w:t>
            </w:r>
            <w:r w:rsidRPr="00A360C2">
              <w:rPr>
                <w:rFonts w:eastAsia="Malgun Gothic"/>
                <w:lang w:eastAsia="ko-KR"/>
              </w:rPr>
              <w:t xml:space="preserve"> </w:t>
            </w:r>
            <w:r>
              <w:rPr>
                <w:rFonts w:eastAsia="Malgun Gothic" w:hint="eastAsia"/>
                <w:lang w:eastAsia="ko-KR"/>
              </w:rPr>
              <w:t xml:space="preserve">in </w:t>
            </w:r>
            <w:r w:rsidRPr="00C15835">
              <w:rPr>
                <w:i/>
                <w:iCs/>
              </w:rPr>
              <w:t>sbfd-RACH-DualConfig</w:t>
            </w:r>
            <w:r>
              <w:rPr>
                <w:rFonts w:eastAsia="Malgun Gothic" w:hint="eastAsia"/>
                <w:lang w:eastAsia="ko-KR"/>
              </w:rPr>
              <w:t xml:space="preserve"> should be used even though it is not used for initialization. It is already captured as follows:</w:t>
            </w:r>
          </w:p>
          <w:tbl>
            <w:tblPr>
              <w:tblStyle w:val="TableGrid"/>
              <w:tblW w:w="0" w:type="auto"/>
              <w:tblLook w:val="04A0" w:firstRow="1" w:lastRow="0" w:firstColumn="1" w:lastColumn="0" w:noHBand="0" w:noVBand="1"/>
            </w:tblPr>
            <w:tblGrid>
              <w:gridCol w:w="3786"/>
            </w:tblGrid>
            <w:tr w:rsidR="00A360C2" w14:paraId="458856F6" w14:textId="77777777" w:rsidTr="00A360C2">
              <w:tc>
                <w:tcPr>
                  <w:tcW w:w="3529" w:type="dxa"/>
                </w:tcPr>
                <w:p w14:paraId="5AE69AD0" w14:textId="77777777" w:rsidR="00A360C2" w:rsidRPr="00A360C2" w:rsidRDefault="00A360C2" w:rsidP="00A360C2">
                  <w:pPr>
                    <w:jc w:val="both"/>
                    <w:rPr>
                      <w:rFonts w:eastAsia="Malgun Gothic"/>
                      <w:lang w:eastAsia="ko-KR"/>
                    </w:rPr>
                  </w:pPr>
                  <w:r w:rsidRPr="00A360C2">
                    <w:rPr>
                      <w:rFonts w:eastAsia="Malgun Gothic"/>
                      <w:lang w:eastAsia="ko-KR"/>
                    </w:rPr>
                    <w:t>6&gt; else if sbfd-RACH-DualConfig (see TS 38.331 [5]) is configured for the Random Access procedure:</w:t>
                  </w:r>
                </w:p>
                <w:p w14:paraId="3772ADF5" w14:textId="5BCE0BDB" w:rsidR="00A360C2" w:rsidRDefault="00A360C2" w:rsidP="00A360C2">
                  <w:pPr>
                    <w:jc w:val="both"/>
                    <w:rPr>
                      <w:rFonts w:eastAsia="Malgun Gothic"/>
                      <w:lang w:eastAsia="ko-KR"/>
                    </w:rPr>
                  </w:pPr>
                  <w:r w:rsidRPr="00A360C2">
                    <w:rPr>
                      <w:rFonts w:eastAsia="Malgun Gothic"/>
                      <w:lang w:eastAsia="ko-KR"/>
                    </w:rPr>
                    <w:t xml:space="preserve">7&gt; indicate the </w:t>
                  </w:r>
                  <w:r w:rsidRPr="00A360C2">
                    <w:rPr>
                      <w:rFonts w:eastAsia="Malgun Gothic"/>
                      <w:highlight w:val="green"/>
                      <w:lang w:eastAsia="ko-KR"/>
                    </w:rPr>
                    <w:t>preambleReceivedTargetPower included in the sbfd-RACH-DualConfig</w:t>
                  </w:r>
                  <w:r w:rsidRPr="00A360C2">
                    <w:rPr>
                      <w:rFonts w:eastAsia="Malgun Gothic"/>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Malgun Gothic"/>
                <w:lang w:eastAsia="ko-KR"/>
              </w:rPr>
            </w:pPr>
          </w:p>
          <w:p w14:paraId="0831E2D2" w14:textId="7D6BC2A2" w:rsidR="00A360C2" w:rsidRDefault="00A360C2" w:rsidP="00A360C2">
            <w:pPr>
              <w:jc w:val="both"/>
              <w:rPr>
                <w:rFonts w:eastAsia="Malgun Gothic"/>
                <w:lang w:eastAsia="ko-KR"/>
              </w:rPr>
            </w:pPr>
            <w:r>
              <w:rPr>
                <w:rFonts w:eastAsia="Malgun Gothic" w:hint="eastAsia"/>
                <w:lang w:eastAsia="ko-KR"/>
              </w:rPr>
              <w:t>Therefore, for the mentioned case, similar text may be used, e.g.,</w:t>
            </w:r>
          </w:p>
          <w:tbl>
            <w:tblPr>
              <w:tblStyle w:val="TableGrid"/>
              <w:tblW w:w="0" w:type="auto"/>
              <w:tblLook w:val="04A0" w:firstRow="1" w:lastRow="0" w:firstColumn="1" w:lastColumn="0" w:noHBand="0" w:noVBand="1"/>
            </w:tblPr>
            <w:tblGrid>
              <w:gridCol w:w="3786"/>
            </w:tblGrid>
            <w:tr w:rsidR="00A360C2" w14:paraId="6E840686" w14:textId="77777777" w:rsidTr="00A360C2">
              <w:tc>
                <w:tcPr>
                  <w:tcW w:w="3786" w:type="dxa"/>
                </w:tcPr>
                <w:p w14:paraId="2ABAC6E7" w14:textId="77777777" w:rsidR="00A360C2" w:rsidRPr="00BE619F" w:rsidRDefault="00A360C2" w:rsidP="00A360C2">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A360C2">
                    <w:rPr>
                      <w:rFonts w:eastAsia="Malgun Gothic"/>
                      <w:color w:val="EE0000"/>
                      <w:u w:val="single"/>
                      <w:lang w:eastAsia="ko-KR"/>
                    </w:rPr>
                    <w:t xml:space="preserve"> </w:t>
                  </w:r>
                  <w:r w:rsidRPr="00A360C2">
                    <w:rPr>
                      <w:rFonts w:eastAsia="Malgun Gothic" w:hint="eastAsia"/>
                      <w:color w:val="EE0000"/>
                      <w:u w:val="single"/>
                      <w:lang w:eastAsia="ko-KR"/>
                    </w:rPr>
                    <w:t xml:space="preserve">(not included in </w:t>
                  </w:r>
                  <w:r w:rsidRPr="00A360C2">
                    <w:rPr>
                      <w:rFonts w:eastAsia="Malgun Gothic"/>
                      <w:color w:val="EE0000"/>
                      <w:u w:val="single"/>
                      <w:lang w:eastAsia="ko-KR"/>
                    </w:rPr>
                    <w:t>sbfd-RACH-DualConfig</w:t>
                  </w:r>
                  <w:r w:rsidRPr="00A360C2">
                    <w:rPr>
                      <w:rFonts w:eastAsia="Malgun Gothic" w:hint="eastAsia"/>
                      <w:color w:val="EE0000"/>
                      <w:u w:val="single"/>
                      <w:lang w:eastAsia="ko-KR"/>
                    </w:rPr>
                    <w:t>)</w:t>
                  </w:r>
                  <w:r w:rsidRPr="00A360C2">
                    <w:rPr>
                      <w:rFonts w:eastAsia="Malgun Gothic" w:hint="eastAsia"/>
                      <w:color w:val="EE0000"/>
                      <w:lang w:eastAsia="ko-KR"/>
                    </w:rPr>
                    <w:t xml:space="preserve"> </w:t>
                  </w:r>
                  <w:r w:rsidRPr="00BE619F">
                    <w:rPr>
                      <w:rFonts w:eastAsia="Malgun Gothic"/>
                      <w:lang w:eastAsia="ko-KR"/>
                    </w:rPr>
                    <w:t>and the amount of power ramping applied to the latest Random Access Preamble transmission to lower layers (i.e. (PREAMBLE_POWER_RAMPING_COUNTER – 1) × PREAMBLE_POWER_RAMPING_STE</w:t>
                  </w:r>
                  <w:r w:rsidRPr="00BE619F">
                    <w:rPr>
                      <w:rFonts w:eastAsia="Malgun Gothic"/>
                      <w:lang w:eastAsia="ko-KR"/>
                    </w:rPr>
                    <w:lastRenderedPageBreak/>
                    <w:t>P + POWER_OFFSET_2STEP_RA + POWER_OFFSET_RO_TYPE);</w:t>
                  </w:r>
                </w:p>
              </w:tc>
            </w:tr>
          </w:tbl>
          <w:p w14:paraId="30593E74" w14:textId="77777777" w:rsidR="00A360C2" w:rsidRDefault="00A360C2" w:rsidP="00A360C2">
            <w:pPr>
              <w:jc w:val="both"/>
              <w:rPr>
                <w:rFonts w:eastAsia="Malgun Gothic"/>
                <w:lang w:eastAsia="ko-KR"/>
              </w:rPr>
            </w:pPr>
          </w:p>
          <w:p w14:paraId="08828EC7" w14:textId="2113561A" w:rsidR="00A360C2" w:rsidRPr="00A360C2" w:rsidRDefault="00A360C2" w:rsidP="008D1098">
            <w:pPr>
              <w:jc w:val="center"/>
              <w:rPr>
                <w:rFonts w:eastAsia="Malgun Gothic"/>
                <w:lang w:eastAsia="ko-KR"/>
              </w:rPr>
            </w:pPr>
          </w:p>
        </w:tc>
        <w:tc>
          <w:tcPr>
            <w:tcW w:w="892" w:type="dxa"/>
          </w:tcPr>
          <w:p w14:paraId="13AC26DC" w14:textId="77777777" w:rsidR="002C1622" w:rsidRDefault="002C1622" w:rsidP="008D1098">
            <w:pPr>
              <w:jc w:val="center"/>
              <w:rPr>
                <w:lang w:eastAsia="sv-SE"/>
              </w:rPr>
            </w:pPr>
          </w:p>
        </w:tc>
      </w:tr>
    </w:tbl>
    <w:p w14:paraId="1BA004F3" w14:textId="37278FBD" w:rsidR="001B4380" w:rsidRDefault="001B4380" w:rsidP="001B4380">
      <w:pPr>
        <w:rPr>
          <w:lang w:eastAsia="sv-SE"/>
        </w:rPr>
      </w:pPr>
    </w:p>
    <w:p w14:paraId="03C215EA" w14:textId="5AC1ADCD" w:rsidR="00D149A0" w:rsidRPr="00D149A0" w:rsidRDefault="00D149A0" w:rsidP="001B4380">
      <w:pPr>
        <w:rPr>
          <w:rFonts w:eastAsia="Malgun Gothic"/>
          <w:lang w:eastAsia="ko-KR"/>
        </w:rPr>
      </w:pPr>
      <w:r w:rsidRPr="00D149A0">
        <w:rPr>
          <w:rFonts w:eastAsia="Malgun Gothic" w:hint="eastAsia"/>
          <w:b/>
          <w:bCs/>
          <w:lang w:eastAsia="ko-KR"/>
        </w:rPr>
        <w:t>S</w:t>
      </w:r>
      <w:r w:rsidRPr="00D149A0">
        <w:rPr>
          <w:rFonts w:eastAsia="Malgun Gothic"/>
          <w:b/>
          <w:bCs/>
          <w:lang w:eastAsia="ko-KR"/>
        </w:rPr>
        <w:t>ummary</w:t>
      </w:r>
      <w:r>
        <w:rPr>
          <w:rFonts w:eastAsia="Malgun Gothic"/>
          <w:lang w:eastAsia="ko-KR"/>
        </w:rPr>
        <w:t>:</w:t>
      </w: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Issues for further discussion with tdoc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r w:rsidR="00A51928">
        <w:fldChar w:fldCharType="begin"/>
      </w:r>
      <w:r w:rsidR="00A51928">
        <w:instrText xml:space="preserve"> DOCPROPERTY  CrTitle  \* MERGEFORMAT </w:instrText>
      </w:r>
      <w:r w:rsidR="00A51928">
        <w:fldChar w:fldCharType="separate"/>
      </w:r>
      <w:r>
        <w:t>Introduction of Rel-19 Evolution of NR duplex operation (SBFD) for MAC spec</w:t>
      </w:r>
      <w:r w:rsidR="00A51928">
        <w:fldChar w:fldCharType="end"/>
      </w:r>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headerReference w:type="even" r:id="rId10"/>
      <w:headerReference w:type="default" r:id="rId11"/>
      <w:headerReference w:type="first" r:id="rId12"/>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6FC9" w14:textId="77777777" w:rsidR="00A51928" w:rsidRDefault="00A51928" w:rsidP="00051DF8">
      <w:r>
        <w:separator/>
      </w:r>
    </w:p>
  </w:endnote>
  <w:endnote w:type="continuationSeparator" w:id="0">
    <w:p w14:paraId="6644195A" w14:textId="77777777" w:rsidR="00A51928" w:rsidRDefault="00A51928" w:rsidP="00051DF8">
      <w:r>
        <w:continuationSeparator/>
      </w:r>
    </w:p>
  </w:endnote>
  <w:endnote w:type="continuationNotice" w:id="1">
    <w:p w14:paraId="18A7B2CF" w14:textId="77777777" w:rsidR="00A51928" w:rsidRDefault="00A51928"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1B1E" w14:textId="77777777" w:rsidR="00A51928" w:rsidRDefault="00A51928" w:rsidP="00051DF8">
      <w:r>
        <w:separator/>
      </w:r>
    </w:p>
  </w:footnote>
  <w:footnote w:type="continuationSeparator" w:id="0">
    <w:p w14:paraId="141D290E" w14:textId="77777777" w:rsidR="00A51928" w:rsidRDefault="00A51928" w:rsidP="00051DF8">
      <w:r>
        <w:continuationSeparator/>
      </w:r>
    </w:p>
  </w:footnote>
  <w:footnote w:type="continuationNotice" w:id="1">
    <w:p w14:paraId="0C0E74AE" w14:textId="77777777" w:rsidR="00A51928" w:rsidRDefault="00A51928" w:rsidP="00051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9CAF" w14:textId="7A2F3C73" w:rsidR="00A360C2" w:rsidRDefault="00A36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AF70" w14:textId="3D36CBA5" w:rsidR="00A360C2" w:rsidRDefault="00A36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9384" w14:textId="41FA5FB7" w:rsidR="00A360C2" w:rsidRDefault="00A3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9"/>
  </w:num>
  <w:num w:numId="4">
    <w:abstractNumId w:val="12"/>
  </w:num>
  <w:num w:numId="5">
    <w:abstractNumId w:val="0"/>
  </w:num>
  <w:num w:numId="6">
    <w:abstractNumId w:val="4"/>
  </w:num>
  <w:num w:numId="7">
    <w:abstractNumId w:val="10"/>
  </w:num>
  <w:num w:numId="8">
    <w:abstractNumId w:val="15"/>
  </w:num>
  <w:num w:numId="9">
    <w:abstractNumId w:val="8"/>
  </w:num>
  <w:num w:numId="10">
    <w:abstractNumId w:val="6"/>
  </w:num>
  <w:num w:numId="11">
    <w:abstractNumId w:val="2"/>
  </w:num>
  <w:num w:numId="12">
    <w:abstractNumId w:val="3"/>
  </w:num>
  <w:num w:numId="13">
    <w:abstractNumId w:val="13"/>
  </w:num>
  <w:num w:numId="14">
    <w:abstractNumId w:val="11"/>
  </w:num>
  <w:num w:numId="15">
    <w:abstractNumId w:val="5"/>
  </w:num>
  <w:num w:numId="16">
    <w:abstractNumId w:val="0"/>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39E"/>
    <w:rsid w:val="00046488"/>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0AF"/>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275C"/>
    <w:rsid w:val="000E3934"/>
    <w:rsid w:val="000E4069"/>
    <w:rsid w:val="000E49DC"/>
    <w:rsid w:val="000E5108"/>
    <w:rsid w:val="000E623A"/>
    <w:rsid w:val="000E6A8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1625"/>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F66"/>
    <w:rsid w:val="00153CB5"/>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0BF"/>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DE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5C1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88A"/>
    <w:rsid w:val="00347B20"/>
    <w:rsid w:val="00347FAD"/>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DA5"/>
    <w:rsid w:val="003B1142"/>
    <w:rsid w:val="003B226D"/>
    <w:rsid w:val="003B2789"/>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288A"/>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80116"/>
    <w:rsid w:val="0058077E"/>
    <w:rsid w:val="00582BC7"/>
    <w:rsid w:val="00583007"/>
    <w:rsid w:val="00583DC1"/>
    <w:rsid w:val="00584044"/>
    <w:rsid w:val="00584142"/>
    <w:rsid w:val="0058460B"/>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7437"/>
    <w:rsid w:val="008F1714"/>
    <w:rsid w:val="008F290E"/>
    <w:rsid w:val="008F2A43"/>
    <w:rsid w:val="008F32B3"/>
    <w:rsid w:val="008F391F"/>
    <w:rsid w:val="008F396F"/>
    <w:rsid w:val="008F3DCD"/>
    <w:rsid w:val="008F5092"/>
    <w:rsid w:val="008F60D4"/>
    <w:rsid w:val="008F7D11"/>
    <w:rsid w:val="00900ADE"/>
    <w:rsid w:val="0090129C"/>
    <w:rsid w:val="009015C4"/>
    <w:rsid w:val="009015F0"/>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AE9"/>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32F8"/>
    <w:rsid w:val="009C407D"/>
    <w:rsid w:val="009C4335"/>
    <w:rsid w:val="009C675C"/>
    <w:rsid w:val="009C6D75"/>
    <w:rsid w:val="009D0974"/>
    <w:rsid w:val="009D1422"/>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EE3"/>
    <w:rsid w:val="00A00170"/>
    <w:rsid w:val="00A0066E"/>
    <w:rsid w:val="00A01537"/>
    <w:rsid w:val="00A01704"/>
    <w:rsid w:val="00A024FC"/>
    <w:rsid w:val="00A027CA"/>
    <w:rsid w:val="00A030FC"/>
    <w:rsid w:val="00A032FF"/>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68F"/>
    <w:rsid w:val="00A14D6F"/>
    <w:rsid w:val="00A159E8"/>
    <w:rsid w:val="00A15E38"/>
    <w:rsid w:val="00A15ED0"/>
    <w:rsid w:val="00A15F38"/>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408C5"/>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928"/>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5C9D"/>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1101"/>
    <w:rsid w:val="00B921E4"/>
    <w:rsid w:val="00B922DE"/>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3054"/>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2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0FA"/>
    <w:rsid w:val="00CD0BA8"/>
    <w:rsid w:val="00CD12AD"/>
    <w:rsid w:val="00CD14F3"/>
    <w:rsid w:val="00CD22BD"/>
    <w:rsid w:val="00CD2762"/>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507F"/>
    <w:rsid w:val="00D05FCE"/>
    <w:rsid w:val="00D06125"/>
    <w:rsid w:val="00D06188"/>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3E4"/>
    <w:rsid w:val="00D34EB5"/>
    <w:rsid w:val="00D34EBA"/>
    <w:rsid w:val="00D35CDB"/>
    <w:rsid w:val="00D35DEB"/>
    <w:rsid w:val="00D361BF"/>
    <w:rsid w:val="00D36327"/>
    <w:rsid w:val="00D3637C"/>
    <w:rsid w:val="00D36C63"/>
    <w:rsid w:val="00D37918"/>
    <w:rsid w:val="00D3792D"/>
    <w:rsid w:val="00D41BBA"/>
    <w:rsid w:val="00D41CF9"/>
    <w:rsid w:val="00D43A08"/>
    <w:rsid w:val="00D43ADC"/>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2632"/>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D34"/>
    <w:rsid w:val="00DB0DB8"/>
    <w:rsid w:val="00DB0F05"/>
    <w:rsid w:val="00DB159F"/>
    <w:rsid w:val="00DB1818"/>
    <w:rsid w:val="00DB1F9F"/>
    <w:rsid w:val="00DB28ED"/>
    <w:rsid w:val="00DB2E86"/>
    <w:rsid w:val="00DB32C4"/>
    <w:rsid w:val="00DB3682"/>
    <w:rsid w:val="00DB3739"/>
    <w:rsid w:val="00DB3918"/>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002"/>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FB5"/>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5FA"/>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C62"/>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1384</Words>
  <Characters>7890</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Huawei-Tao Cai</cp:lastModifiedBy>
  <cp:revision>2</cp:revision>
  <dcterms:created xsi:type="dcterms:W3CDTF">2025-09-19T13:53:00Z</dcterms:created>
  <dcterms:modified xsi:type="dcterms:W3CDTF">2025-09-19T13:53:00Z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68B3F2AB746A736D03CEC50046C05C852A7739940FFD03685AA042F37AB4A91972EDA5FA4342AFABB698CADF9D08895EEBE58FA2464D2CB39436C3570756540E</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ies>
</file>