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맑은 고딕"/>
          <w:lang w:eastAsia="ko-KR"/>
        </w:rPr>
      </w:pPr>
      <w:r>
        <w:rPr>
          <w:rFonts w:eastAsia="맑은 고딕"/>
          <w:lang w:eastAsia="ko-KR"/>
        </w:rPr>
        <w:t xml:space="preserve">As </w:t>
      </w:r>
      <w:r w:rsidR="00833018">
        <w:rPr>
          <w:rFonts w:eastAsia="맑은 고딕"/>
          <w:lang w:eastAsia="ko-KR"/>
        </w:rPr>
        <w:t>the</w:t>
      </w:r>
      <w:r w:rsidR="00525551">
        <w:rPr>
          <w:rFonts w:eastAsia="맑은 고딕"/>
          <w:lang w:eastAsia="ko-KR"/>
        </w:rPr>
        <w:t xml:space="preserve"> result </w:t>
      </w:r>
      <w:r>
        <w:rPr>
          <w:rFonts w:eastAsia="맑은 고딕"/>
          <w:lang w:eastAsia="ko-KR"/>
        </w:rPr>
        <w:t>of this discussion, t</w:t>
      </w:r>
      <w:r w:rsidR="00A032FF">
        <w:rPr>
          <w:rFonts w:eastAsia="맑은 고딕"/>
          <w:lang w:eastAsia="ko-KR"/>
        </w:rPr>
        <w:t>he Rapporteur will provide a summary</w:t>
      </w:r>
      <w:r w:rsidR="00525551">
        <w:rPr>
          <w:rFonts w:eastAsia="맑은 고딕"/>
          <w:lang w:eastAsia="ko-KR"/>
        </w:rPr>
        <w:t xml:space="preserve"> outlining:</w:t>
      </w:r>
    </w:p>
    <w:p w14:paraId="1B4D48BC" w14:textId="62C2DFFB" w:rsidR="00525551" w:rsidRDefault="00525551" w:rsidP="0082010F">
      <w:pPr>
        <w:rPr>
          <w:rFonts w:eastAsia="맑은 고딕"/>
          <w:lang w:eastAsia="ko-KR"/>
        </w:rPr>
      </w:pPr>
      <w:r>
        <w:rPr>
          <w:rFonts w:eastAsia="맑은 고딕"/>
          <w:lang w:eastAsia="ko-KR"/>
        </w:rPr>
        <w:t xml:space="preserve">- </w:t>
      </w:r>
      <w:r w:rsidR="00A032FF">
        <w:rPr>
          <w:rFonts w:eastAsia="맑은 고딕"/>
          <w:lang w:eastAsia="ko-KR"/>
        </w:rPr>
        <w:t>the issues</w:t>
      </w:r>
      <w:r w:rsidR="00770A8C">
        <w:rPr>
          <w:rFonts w:eastAsia="맑은 고딕"/>
          <w:lang w:eastAsia="ko-KR"/>
        </w:rPr>
        <w:t xml:space="preserve"> (if any)</w:t>
      </w:r>
      <w:r w:rsidR="00A032FF">
        <w:rPr>
          <w:rFonts w:eastAsia="맑은 고딕"/>
          <w:lang w:eastAsia="ko-KR"/>
        </w:rPr>
        <w:t xml:space="preserve"> requiring further discussion with </w:t>
      </w:r>
      <w:proofErr w:type="spellStart"/>
      <w:r w:rsidR="00A032FF">
        <w:rPr>
          <w:rFonts w:eastAsia="맑은 고딕"/>
          <w:lang w:eastAsia="ko-KR"/>
        </w:rPr>
        <w:t>tdoc</w:t>
      </w:r>
      <w:proofErr w:type="spellEnd"/>
      <w:r w:rsidR="00A032FF">
        <w:rPr>
          <w:rFonts w:eastAsia="맑은 고딕"/>
          <w:lang w:eastAsia="ko-KR"/>
        </w:rPr>
        <w:t xml:space="preserve"> contributions in RAN2#131bis</w:t>
      </w:r>
      <w:r>
        <w:rPr>
          <w:rFonts w:eastAsia="맑은 고딕"/>
          <w:lang w:eastAsia="ko-KR"/>
        </w:rPr>
        <w:t>, and</w:t>
      </w:r>
    </w:p>
    <w:p w14:paraId="2F26FA5C" w14:textId="377E2860" w:rsidR="00637ED0" w:rsidRDefault="00525551" w:rsidP="0082010F">
      <w:pPr>
        <w:rPr>
          <w:rFonts w:eastAsia="맑은 고딕"/>
          <w:lang w:eastAsia="ko-KR"/>
        </w:rPr>
      </w:pPr>
      <w:r>
        <w:rPr>
          <w:rFonts w:eastAsia="맑은 고딕"/>
          <w:lang w:eastAsia="ko-KR"/>
        </w:rPr>
        <w:t xml:space="preserve">- </w:t>
      </w:r>
      <w:r w:rsidR="009F44D8">
        <w:rPr>
          <w:rFonts w:eastAsia="맑은 고딕"/>
          <w:lang w:eastAsia="ko-KR"/>
        </w:rPr>
        <w:t>the non-controversial/editorial issues</w:t>
      </w:r>
      <w:r w:rsidR="00770A8C">
        <w:rPr>
          <w:rFonts w:eastAsia="맑은 고딕"/>
          <w:lang w:eastAsia="ko-KR"/>
        </w:rPr>
        <w:t xml:space="preserve"> (if any)</w:t>
      </w:r>
      <w:r w:rsidR="009F44D8">
        <w:rPr>
          <w:rFonts w:eastAsia="맑은 고딕"/>
          <w:lang w:eastAsia="ko-KR"/>
        </w:rPr>
        <w:t xml:space="preserve"> that will be </w:t>
      </w:r>
      <w:r w:rsidR="00F90E68">
        <w:rPr>
          <w:rFonts w:eastAsia="맑은 고딕"/>
          <w:lang w:eastAsia="ko-KR"/>
        </w:rPr>
        <w:t>handled</w:t>
      </w:r>
      <w:r w:rsidR="009F44D8">
        <w:rPr>
          <w:rFonts w:eastAsia="맑은 고딕"/>
          <w:lang w:eastAsia="ko-KR"/>
        </w:rPr>
        <w:t xml:space="preserve"> </w:t>
      </w:r>
      <w:r w:rsidR="00F90E68">
        <w:rPr>
          <w:rFonts w:eastAsia="맑은 고딕"/>
          <w:lang w:eastAsia="ko-KR"/>
        </w:rPr>
        <w:t xml:space="preserve">by </w:t>
      </w:r>
      <w:r w:rsidR="00A032FF">
        <w:rPr>
          <w:rFonts w:eastAsia="맑은 고딕"/>
          <w:lang w:eastAsia="ko-KR"/>
        </w:rPr>
        <w:t>Rapporteur CR</w:t>
      </w:r>
      <w:r w:rsidR="00716E29">
        <w:rPr>
          <w:rFonts w:eastAsia="맑은 고딕"/>
          <w:lang w:eastAsia="ko-KR"/>
        </w:rPr>
        <w:t xml:space="preserve"> in RAN2#131bis</w:t>
      </w:r>
      <w:r>
        <w:rPr>
          <w:rFonts w:eastAsia="맑은 고딕"/>
          <w:lang w:eastAsia="ko-KR"/>
        </w:rPr>
        <w:t xml:space="preserve">, as well as </w:t>
      </w:r>
      <w:r w:rsidR="00D946F2">
        <w:rPr>
          <w:rFonts w:eastAsia="맑은 고딕"/>
          <w:lang w:eastAsia="ko-KR"/>
        </w:rPr>
        <w:t>the</w:t>
      </w:r>
      <w:r w:rsidR="002F6496">
        <w:rPr>
          <w:rFonts w:eastAsia="맑은 고딕"/>
          <w:lang w:eastAsia="ko-KR"/>
        </w:rPr>
        <w:t xml:space="preserve"> </w:t>
      </w:r>
      <w:r w:rsidR="00D946F2">
        <w:rPr>
          <w:rFonts w:eastAsia="맑은 고딕"/>
          <w:lang w:eastAsia="ko-KR"/>
        </w:rPr>
        <w:t xml:space="preserve">draft </w:t>
      </w:r>
      <w:r w:rsidR="00637ED0">
        <w:rPr>
          <w:rFonts w:eastAsia="맑은 고딕"/>
          <w:lang w:eastAsia="ko-KR"/>
        </w:rPr>
        <w:t>Rapporteur</w:t>
      </w:r>
      <w:r w:rsidR="002F6496">
        <w:rPr>
          <w:rFonts w:eastAsia="맑은 고딕"/>
          <w:lang w:eastAsia="ko-KR"/>
        </w:rPr>
        <w:t xml:space="preserve"> CR for review</w:t>
      </w:r>
      <w:r w:rsidR="00D67C36">
        <w:rPr>
          <w:rFonts w:eastAsia="맑은 고딕"/>
          <w:lang w:eastAsia="ko-KR"/>
        </w:rPr>
        <w:t xml:space="preserve"> before submission deadline</w:t>
      </w:r>
      <w:r w:rsidR="00A032FF">
        <w:rPr>
          <w:rFonts w:eastAsia="맑은 고딕"/>
          <w:lang w:eastAsia="ko-KR"/>
        </w:rPr>
        <w:t xml:space="preserve">. </w:t>
      </w:r>
    </w:p>
    <w:p w14:paraId="71660D16" w14:textId="3197FF39" w:rsidR="00A032FF" w:rsidRPr="00132692" w:rsidRDefault="00132692" w:rsidP="0082010F">
      <w:pPr>
        <w:rPr>
          <w:rFonts w:eastAsia="맑은 고딕"/>
          <w:lang w:eastAsia="ko-KR"/>
        </w:rPr>
      </w:pPr>
      <w:r>
        <w:rPr>
          <w:rFonts w:eastAsia="맑은 고딕"/>
          <w:lang w:eastAsia="ko-KR"/>
        </w:rPr>
        <w:t xml:space="preserve">Kindly provide your input for this discussion, no later than </w:t>
      </w:r>
      <w:r w:rsidRPr="00D00CB5">
        <w:rPr>
          <w:rFonts w:eastAsia="맑은 고딕"/>
          <w:b/>
          <w:bCs/>
          <w:color w:val="FF0000"/>
          <w:lang w:eastAsia="ko-KR"/>
        </w:rPr>
        <w:t>Sep. 19, 10:00 UTC</w:t>
      </w:r>
      <w:r>
        <w:rPr>
          <w:rFonts w:eastAsia="맑은 고딕"/>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 xml:space="preserve">lease provide your contact information </w:t>
      </w:r>
      <w:proofErr w:type="gramStart"/>
      <w:r w:rsidR="0082010F">
        <w:rPr>
          <w:lang w:eastAsia="zh-CN"/>
        </w:rPr>
        <w:t>in</w:t>
      </w:r>
      <w:proofErr w:type="gramEnd"/>
      <w:r w:rsidR="0082010F">
        <w:rPr>
          <w:lang w:eastAsia="zh-CN"/>
        </w:rPr>
        <w:t xml:space="preserve">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proofErr w:type="spellStart"/>
            <w:r>
              <w:rPr>
                <w:lang w:eastAsia="zh-CN"/>
              </w:rPr>
              <w:t>Ruiming</w:t>
            </w:r>
            <w:proofErr w:type="spellEnd"/>
            <w:r>
              <w:rPr>
                <w:lang w:eastAsia="zh-CN"/>
              </w:rPr>
              <w:t xml:space="preserve">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맑은 고딕" w:hint="eastAsia"/>
                <w:lang w:eastAsia="ko-KR"/>
              </w:rPr>
            </w:pPr>
            <w:r>
              <w:rPr>
                <w:rFonts w:eastAsia="맑은 고딕" w:hint="eastAsia"/>
                <w:lang w:eastAsia="ko-KR"/>
              </w:rPr>
              <w:t>LGE</w:t>
            </w:r>
          </w:p>
        </w:tc>
        <w:tc>
          <w:tcPr>
            <w:tcW w:w="2693" w:type="dxa"/>
          </w:tcPr>
          <w:p w14:paraId="4D601181" w14:textId="223D221A" w:rsidR="00AA375E" w:rsidRPr="00AA375E" w:rsidRDefault="00AA375E" w:rsidP="008D1098">
            <w:pPr>
              <w:spacing w:after="0"/>
              <w:rPr>
                <w:rFonts w:eastAsia="맑은 고딕" w:hint="eastAsia"/>
                <w:lang w:eastAsia="ko-KR"/>
              </w:rPr>
            </w:pPr>
            <w:r>
              <w:rPr>
                <w:rFonts w:eastAsia="맑은 고딕" w:hint="eastAsia"/>
                <w:lang w:eastAsia="ko-KR"/>
              </w:rPr>
              <w:t>Hanseul Hong</w:t>
            </w:r>
          </w:p>
        </w:tc>
        <w:tc>
          <w:tcPr>
            <w:tcW w:w="4252" w:type="dxa"/>
          </w:tcPr>
          <w:p w14:paraId="798C643E" w14:textId="0C180660" w:rsidR="00AA375E" w:rsidRPr="00AA375E" w:rsidRDefault="00AA375E" w:rsidP="008D1098">
            <w:pPr>
              <w:spacing w:after="0"/>
              <w:rPr>
                <w:rFonts w:eastAsia="맑은 고딕" w:hint="eastAsia"/>
                <w:lang w:eastAsia="ko-KR"/>
              </w:rPr>
            </w:pPr>
            <w:r>
              <w:rPr>
                <w:rFonts w:eastAsia="맑은 고딕" w:hint="eastAsia"/>
                <w:lang w:eastAsia="ko-KR"/>
              </w:rPr>
              <w:t>hanseul.hong@lge.com</w:t>
            </w:r>
          </w:p>
        </w:tc>
      </w:tr>
    </w:tbl>
    <w:p w14:paraId="6B870CA0" w14:textId="0FC087C1" w:rsidR="001B4380" w:rsidRPr="00D90DA9" w:rsidRDefault="00120E65" w:rsidP="009A5BDE">
      <w:pPr>
        <w:pStyle w:val="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맑은 고딕"/>
          <w:lang w:val="en-GB" w:eastAsia="ko-KR"/>
        </w:rPr>
      </w:pPr>
      <w:r>
        <w:rPr>
          <w:rFonts w:eastAsia="맑은 고딕"/>
          <w:lang w:val="en-GB" w:eastAsia="ko-KR"/>
        </w:rPr>
        <w:t>We have agreed</w:t>
      </w:r>
      <w:r w:rsidR="00822398">
        <w:rPr>
          <w:rFonts w:eastAsia="맑은 고딕"/>
          <w:lang w:val="en-GB" w:eastAsia="ko-KR"/>
        </w:rPr>
        <w:t xml:space="preserve"> to support </w:t>
      </w:r>
      <w:r>
        <w:rPr>
          <w:rFonts w:eastAsia="맑은 고딕"/>
          <w:lang w:val="en-GB" w:eastAsia="ko-KR"/>
        </w:rPr>
        <w:t xml:space="preserve">the coexistence </w:t>
      </w:r>
      <w:r w:rsidR="004869DB">
        <w:rPr>
          <w:rFonts w:eastAsia="맑은 고딕"/>
          <w:lang w:val="en-GB" w:eastAsia="ko-KR"/>
        </w:rPr>
        <w:t>of</w:t>
      </w:r>
      <w:r>
        <w:rPr>
          <w:rFonts w:eastAsia="맑은 고딕"/>
          <w:lang w:val="en-GB" w:eastAsia="ko-KR"/>
        </w:rPr>
        <w:t xml:space="preserve"> SBFD and intra-DU LTM </w:t>
      </w:r>
      <w:r w:rsidR="00D921A8">
        <w:rPr>
          <w:rFonts w:eastAsia="맑은 고딕"/>
          <w:lang w:val="en-GB" w:eastAsia="ko-KR"/>
        </w:rPr>
        <w:t xml:space="preserve">in the last meeting [2], </w:t>
      </w:r>
      <w:r>
        <w:rPr>
          <w:rFonts w:eastAsia="맑은 고딕"/>
          <w:lang w:val="en-GB" w:eastAsia="ko-KR"/>
        </w:rPr>
        <w:t xml:space="preserve">as </w:t>
      </w:r>
      <w:r w:rsidR="00C75AFB">
        <w:rPr>
          <w:rFonts w:eastAsia="맑은 고딕"/>
          <w:lang w:val="en-GB" w:eastAsia="ko-KR"/>
        </w:rPr>
        <w:t>captured</w:t>
      </w:r>
      <w:r>
        <w:rPr>
          <w:rFonts w:eastAsia="맑은 고딕"/>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w:t>
            </w:r>
            <w:proofErr w:type="gramStart"/>
            <w:r>
              <w:rPr>
                <w:rFonts w:eastAsia="SimSun" w:hint="eastAsia"/>
                <w:lang w:eastAsia="zh-CN"/>
              </w:rPr>
              <w:t>think</w:t>
            </w:r>
            <w:proofErr w:type="gramEnd"/>
            <w:r>
              <w:rPr>
                <w:rFonts w:eastAsia="SimSun" w:hint="eastAsia"/>
                <w:lang w:eastAsia="zh-CN"/>
              </w:rPr>
              <w:t xml:space="preserve">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w:t>
            </w:r>
            <w:proofErr w:type="gramStart"/>
            <w:r>
              <w:rPr>
                <w:rFonts w:eastAsia="SimSun" w:hint="eastAsia"/>
                <w:lang w:eastAsia="zh-CN"/>
              </w:rPr>
              <w:t>existence</w:t>
            </w:r>
            <w:proofErr w:type="gramEnd"/>
            <w:r>
              <w:rPr>
                <w:rFonts w:eastAsia="SimSun" w:hint="eastAsia"/>
                <w:lang w:eastAsia="zh-CN"/>
              </w:rPr>
              <w:t xml:space="preserv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w:t>
            </w:r>
            <w:proofErr w:type="gramStart"/>
            <w:r>
              <w:rPr>
                <w:rFonts w:eastAsia="SimSun" w:hint="eastAsia"/>
                <w:lang w:eastAsia="zh-CN"/>
              </w:rPr>
              <w:t>agree</w:t>
            </w:r>
            <w:proofErr w:type="gramEnd"/>
            <w:r>
              <w:rPr>
                <w:rFonts w:eastAsia="SimSun" w:hint="eastAsia"/>
                <w:lang w:eastAsia="zh-CN"/>
              </w:rPr>
              <w:t xml:space="preserve"> with ZTE</w:t>
            </w:r>
            <w:proofErr w:type="gramStart"/>
            <w:r>
              <w:rPr>
                <w:rFonts w:eastAsia="SimSun" w:hint="eastAsia"/>
                <w:lang w:eastAsia="zh-CN"/>
              </w:rPr>
              <w:t>, think</w:t>
            </w:r>
            <w:proofErr w:type="gramEnd"/>
            <w:r>
              <w:rPr>
                <w:rFonts w:eastAsia="SimSun" w:hint="eastAsia"/>
                <w:lang w:eastAsia="zh-CN"/>
              </w:rPr>
              <w:t xml:space="preserve">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w:t>
            </w:r>
            <w:proofErr w:type="gramStart"/>
            <w:r>
              <w:rPr>
                <w:rFonts w:eastAsia="SimSun" w:hint="eastAsia"/>
                <w:lang w:eastAsia="zh-CN"/>
              </w:rPr>
              <w:t>not</w:t>
            </w:r>
            <w:proofErr w:type="gramEnd"/>
            <w:r>
              <w:rPr>
                <w:rFonts w:eastAsia="SimSun" w:hint="eastAsia"/>
                <w:lang w:eastAsia="zh-CN"/>
              </w:rPr>
              <w:t xml:space="preserve">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lang w:eastAsia="zh-CN"/>
              </w:rPr>
              <w:t>wonder</w:t>
            </w:r>
            <w:proofErr w:type="gramEnd"/>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맑은 고딕"/>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맑은 고딕"/>
          <w:lang w:val="en-GB" w:eastAsia="ko-KR"/>
        </w:rPr>
      </w:pPr>
    </w:p>
    <w:p w14:paraId="7B9D64EF" w14:textId="629D776C" w:rsidR="00120E65" w:rsidRPr="007B7D71" w:rsidRDefault="0087525A" w:rsidP="00780915">
      <w:pPr>
        <w:rPr>
          <w:rFonts w:ascii="Times New Roman" w:eastAsia="맑은 고딕" w:hAnsi="Times New Roman" w:cs="Times New Roman"/>
          <w:b/>
          <w:bCs/>
          <w:i/>
          <w:iCs/>
          <w:lang w:val="en-GB" w:eastAsia="ko-KR"/>
        </w:rPr>
      </w:pPr>
      <w:r w:rsidRPr="007B7D71">
        <w:rPr>
          <w:rFonts w:ascii="Times New Roman" w:eastAsia="맑은 고딕" w:hAnsi="Times New Roman" w:cs="Times New Roman"/>
          <w:b/>
          <w:bCs/>
          <w:i/>
          <w:iCs/>
          <w:lang w:val="en-GB" w:eastAsia="ko-KR"/>
        </w:rPr>
        <w:t>Question: Do companies think additional MAC spec change</w:t>
      </w:r>
      <w:r w:rsidR="00302C3A">
        <w:rPr>
          <w:rFonts w:ascii="Times New Roman" w:eastAsia="맑은 고딕" w:hAnsi="Times New Roman" w:cs="Times New Roman"/>
          <w:b/>
          <w:bCs/>
          <w:i/>
          <w:iCs/>
          <w:lang w:val="en-GB" w:eastAsia="ko-KR"/>
        </w:rPr>
        <w:t>(s)</w:t>
      </w:r>
      <w:r w:rsidR="009015F0">
        <w:rPr>
          <w:rFonts w:ascii="Times New Roman" w:eastAsia="맑은 고딕" w:hAnsi="Times New Roman" w:cs="Times New Roman"/>
          <w:b/>
          <w:bCs/>
          <w:i/>
          <w:iCs/>
          <w:lang w:val="en-GB" w:eastAsia="ko-KR"/>
        </w:rPr>
        <w:t xml:space="preserve"> compared to the </w:t>
      </w:r>
      <w:r w:rsidR="00302C3A">
        <w:rPr>
          <w:rFonts w:ascii="Times New Roman" w:eastAsia="맑은 고딕" w:hAnsi="Times New Roman" w:cs="Times New Roman"/>
          <w:b/>
          <w:bCs/>
          <w:i/>
          <w:iCs/>
          <w:lang w:val="en-GB" w:eastAsia="ko-KR"/>
        </w:rPr>
        <w:t xml:space="preserve">agreed </w:t>
      </w:r>
      <w:r w:rsidR="009015F0">
        <w:rPr>
          <w:rFonts w:ascii="Times New Roman" w:eastAsia="맑은 고딕" w:hAnsi="Times New Roman" w:cs="Times New Roman"/>
          <w:b/>
          <w:bCs/>
          <w:i/>
          <w:iCs/>
          <w:lang w:val="en-GB" w:eastAsia="ko-KR"/>
        </w:rPr>
        <w:t>MAC CR [1]</w:t>
      </w:r>
      <w:r w:rsidRPr="007B7D71">
        <w:rPr>
          <w:rFonts w:ascii="Times New Roman" w:eastAsia="맑은 고딕" w:hAnsi="Times New Roman" w:cs="Times New Roman"/>
          <w:b/>
          <w:bCs/>
          <w:i/>
          <w:iCs/>
          <w:lang w:val="en-GB" w:eastAsia="ko-KR"/>
        </w:rPr>
        <w:t xml:space="preserve"> is </w:t>
      </w:r>
      <w:r w:rsidR="00302C3A">
        <w:rPr>
          <w:rFonts w:ascii="Times New Roman" w:eastAsia="맑은 고딕" w:hAnsi="Times New Roman" w:cs="Times New Roman"/>
          <w:b/>
          <w:bCs/>
          <w:i/>
          <w:iCs/>
          <w:lang w:val="en-GB" w:eastAsia="ko-KR"/>
        </w:rPr>
        <w:t>needed</w:t>
      </w:r>
      <w:r w:rsidRPr="007B7D71">
        <w:rPr>
          <w:rFonts w:ascii="Times New Roman" w:eastAsia="맑은 고딕" w:hAnsi="Times New Roman" w:cs="Times New Roman"/>
          <w:b/>
          <w:bCs/>
          <w:i/>
          <w:iCs/>
          <w:lang w:val="en-GB" w:eastAsia="ko-KR"/>
        </w:rPr>
        <w:t xml:space="preserve"> for</w:t>
      </w:r>
      <w:r w:rsidR="00302C3A">
        <w:rPr>
          <w:rFonts w:ascii="Times New Roman" w:eastAsia="맑은 고딕" w:hAnsi="Times New Roman" w:cs="Times New Roman"/>
          <w:b/>
          <w:bCs/>
          <w:i/>
          <w:iCs/>
          <w:lang w:val="en-GB" w:eastAsia="ko-KR"/>
        </w:rPr>
        <w:t xml:space="preserve"> supporting</w:t>
      </w:r>
      <w:r w:rsidR="00DB28ED" w:rsidRPr="007B7D71">
        <w:rPr>
          <w:rFonts w:ascii="Times New Roman" w:eastAsia="맑은 고딕" w:hAnsi="Times New Roman" w:cs="Times New Roman"/>
          <w:b/>
          <w:bCs/>
          <w:i/>
          <w:iCs/>
          <w:lang w:val="en-GB" w:eastAsia="ko-KR"/>
        </w:rPr>
        <w:t xml:space="preserve"> </w:t>
      </w:r>
      <w:r w:rsidR="00E72FB5" w:rsidRPr="007B7D71">
        <w:rPr>
          <w:rFonts w:ascii="Times New Roman" w:eastAsia="맑은 고딕" w:hAnsi="Times New Roman" w:cs="Times New Roman"/>
          <w:b/>
          <w:bCs/>
          <w:i/>
          <w:iCs/>
          <w:lang w:val="en-GB" w:eastAsia="ko-KR"/>
        </w:rPr>
        <w:t>the</w:t>
      </w:r>
      <w:r w:rsidR="008E7437" w:rsidRPr="007B7D71">
        <w:rPr>
          <w:rFonts w:ascii="Times New Roman" w:eastAsia="맑은 고딕" w:hAnsi="Times New Roman" w:cs="Times New Roman"/>
          <w:b/>
          <w:bCs/>
          <w:i/>
          <w:iCs/>
          <w:lang w:val="en-GB" w:eastAsia="ko-KR"/>
        </w:rPr>
        <w:t xml:space="preserve"> co-existence </w:t>
      </w:r>
      <w:r w:rsidR="009A4D27" w:rsidRPr="007B7D71">
        <w:rPr>
          <w:rFonts w:ascii="Times New Roman" w:eastAsia="맑은 고딕" w:hAnsi="Times New Roman" w:cs="Times New Roman"/>
          <w:b/>
          <w:bCs/>
          <w:i/>
          <w:iCs/>
          <w:lang w:val="en-GB" w:eastAsia="ko-KR"/>
        </w:rPr>
        <w:t>of</w:t>
      </w:r>
      <w:r w:rsidR="008E7437" w:rsidRPr="007B7D71">
        <w:rPr>
          <w:rFonts w:ascii="Times New Roman" w:eastAsia="맑은 고딕" w:hAnsi="Times New Roman" w:cs="Times New Roman"/>
          <w:b/>
          <w:bCs/>
          <w:i/>
          <w:iCs/>
          <w:lang w:val="en-GB" w:eastAsia="ko-KR"/>
        </w:rPr>
        <w:t xml:space="preserve"> SBFD and intra-DU LTM</w:t>
      </w:r>
      <w:r w:rsidRPr="007B7D71">
        <w:rPr>
          <w:rFonts w:ascii="Times New Roman" w:eastAsia="맑은 고딕" w:hAnsi="Times New Roman" w:cs="Times New Roman"/>
          <w:b/>
          <w:bCs/>
          <w:i/>
          <w:iCs/>
          <w:lang w:val="en-GB" w:eastAsia="ko-KR"/>
        </w:rPr>
        <w:t xml:space="preserve">? Please provide </w:t>
      </w:r>
      <w:r w:rsidR="00985DF1" w:rsidRPr="007B7D71">
        <w:rPr>
          <w:rFonts w:ascii="Times New Roman" w:eastAsia="맑은 고딕" w:hAnsi="Times New Roman" w:cs="Times New Roman"/>
          <w:b/>
          <w:bCs/>
          <w:i/>
          <w:iCs/>
          <w:lang w:val="en-GB" w:eastAsia="ko-KR"/>
        </w:rPr>
        <w:t>the suggested change(s) if any</w:t>
      </w:r>
      <w:r w:rsidR="008E7437" w:rsidRPr="007B7D71">
        <w:rPr>
          <w:rFonts w:ascii="Times New Roman" w:eastAsia="맑은 고딕"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A</w:t>
            </w:r>
            <w:r w:rsidR="007039F6" w:rsidRPr="00F86405">
              <w:rPr>
                <w:rFonts w:ascii="Times New Roman" w:eastAsia="맑은 고딕" w:hAnsi="Times New Roman" w:cs="Times New Roman"/>
                <w:b/>
                <w:bCs/>
                <w:lang w:eastAsia="ko-KR"/>
              </w:rPr>
              <w:t>ny change</w:t>
            </w:r>
            <w:r w:rsidRPr="00F86405">
              <w:rPr>
                <w:rFonts w:ascii="Times New Roman" w:eastAsia="맑은 고딕" w:hAnsi="Times New Roman" w:cs="Times New Roman"/>
                <w:b/>
                <w:bCs/>
                <w:lang w:eastAsia="ko-KR"/>
              </w:rPr>
              <w:t xml:space="preserve"> is needed?</w:t>
            </w:r>
            <w:r w:rsidR="007039F6" w:rsidRPr="00F86405">
              <w:rPr>
                <w:rFonts w:ascii="Times New Roman" w:eastAsia="맑은 고딕"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both Rel-18 LTM Cell Switch Command MAC CE and Rel-19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As ZTE mentioned, RO type indication can be included in the Rel-18 and Rel-19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RO type indication can be included in the Rel-18 and Rel-19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Pr>
                <w:rFonts w:eastAsia="SimSun" w:hint="eastAsia"/>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맑은 고딕" w:hint="eastAsia"/>
                <w:lang w:val="en-GB" w:eastAsia="ko-KR"/>
              </w:rPr>
            </w:pPr>
            <w:r>
              <w:rPr>
                <w:rFonts w:eastAsia="맑은 고딕" w:hint="eastAsia"/>
                <w:lang w:val="en-GB" w:eastAsia="ko-KR"/>
              </w:rPr>
              <w:t>LGE</w:t>
            </w:r>
          </w:p>
        </w:tc>
        <w:tc>
          <w:tcPr>
            <w:tcW w:w="1551" w:type="dxa"/>
            <w:vAlign w:val="center"/>
          </w:tcPr>
          <w:p w14:paraId="3F1E8B41" w14:textId="5A58F376" w:rsidR="00AA375E" w:rsidRPr="00AA375E" w:rsidRDefault="00AA375E" w:rsidP="003B2789">
            <w:pPr>
              <w:jc w:val="center"/>
              <w:rPr>
                <w:rFonts w:eastAsia="맑은 고딕" w:hint="eastAsia"/>
                <w:lang w:eastAsia="ko-KR"/>
              </w:rPr>
            </w:pPr>
            <w:r>
              <w:rPr>
                <w:rFonts w:eastAsia="맑은 고딕" w:hint="eastAsia"/>
                <w:lang w:eastAsia="ko-KR"/>
              </w:rPr>
              <w:t>Yes, slightly</w:t>
            </w:r>
          </w:p>
        </w:tc>
        <w:tc>
          <w:tcPr>
            <w:tcW w:w="6711" w:type="dxa"/>
          </w:tcPr>
          <w:p w14:paraId="55296599" w14:textId="77777777" w:rsidR="00AA375E" w:rsidRDefault="00AA375E" w:rsidP="003B2789">
            <w:pPr>
              <w:rPr>
                <w:rFonts w:eastAsia="맑은 고딕"/>
                <w:lang w:val="en-GB" w:eastAsia="ko-KR"/>
              </w:rPr>
            </w:pPr>
            <w:r>
              <w:rPr>
                <w:rFonts w:eastAsia="맑은 고딕" w:hint="eastAsia"/>
                <w:lang w:val="en-GB" w:eastAsia="ko-KR"/>
              </w:rPr>
              <w:t xml:space="preserve">In our </w:t>
            </w:r>
            <w:r>
              <w:rPr>
                <w:rFonts w:eastAsia="맑은 고딕"/>
                <w:lang w:val="en-GB" w:eastAsia="ko-KR"/>
              </w:rPr>
              <w:t>understanding</w:t>
            </w:r>
            <w:r>
              <w:rPr>
                <w:rFonts w:eastAsia="맑은 고딕" w:hint="eastAsia"/>
                <w:lang w:val="en-GB" w:eastAsia="ko-KR"/>
              </w:rPr>
              <w:t>, if the RO type can be indicated via RRC signalling (i.e., RO type indication via RACH-</w:t>
            </w:r>
            <w:proofErr w:type="spellStart"/>
            <w:r>
              <w:rPr>
                <w:rFonts w:eastAsia="맑은 고딕" w:hint="eastAsia"/>
                <w:lang w:val="en-GB" w:eastAsia="ko-KR"/>
              </w:rPr>
              <w:t>ConfigDedicated</w:t>
            </w:r>
            <w:proofErr w:type="spellEnd"/>
            <w:r>
              <w:rPr>
                <w:rFonts w:eastAsia="맑은 고딕" w:hint="eastAsia"/>
                <w:lang w:val="en-GB" w:eastAsia="ko-KR"/>
              </w:rPr>
              <w:t xml:space="preserve"> IE) for LTM cell switch, it could also be indicated by the LTM cell switch MAC CE with similar reason. </w:t>
            </w:r>
          </w:p>
          <w:p w14:paraId="11D122BE" w14:textId="3DBE57DF" w:rsidR="00AA375E" w:rsidRPr="00AA375E" w:rsidRDefault="00AA375E" w:rsidP="003B2789">
            <w:pPr>
              <w:rPr>
                <w:rFonts w:eastAsia="맑은 고딕" w:hint="eastAsia"/>
                <w:lang w:val="en-GB" w:eastAsia="ko-KR"/>
              </w:rPr>
            </w:pPr>
            <w:r>
              <w:rPr>
                <w:rFonts w:eastAsia="맑은 고딕" w:hint="eastAsia"/>
                <w:lang w:val="en-GB" w:eastAsia="ko-KR"/>
              </w:rPr>
              <w:t>For RAN3 impact, aligned with ZTE, i.e., there is no additional RAN3 impact for indicating RO type in LTM Cell switch MAC CE.</w:t>
            </w:r>
          </w:p>
        </w:tc>
      </w:tr>
    </w:tbl>
    <w:p w14:paraId="525FB1D8" w14:textId="74AE569F" w:rsidR="00120E65" w:rsidRDefault="00120E65" w:rsidP="00780915">
      <w:pPr>
        <w:rPr>
          <w:lang w:val="en-GB" w:eastAsia="sv-SE"/>
        </w:rPr>
      </w:pPr>
    </w:p>
    <w:p w14:paraId="5F3E1748" w14:textId="38F2E481" w:rsidR="0025416B" w:rsidRDefault="007707EB" w:rsidP="00780915">
      <w:pPr>
        <w:rPr>
          <w:rFonts w:eastAsia="맑은 고딕"/>
          <w:lang w:val="en-GB" w:eastAsia="ko-KR"/>
        </w:rPr>
      </w:pPr>
      <w:r w:rsidRPr="0078287F">
        <w:rPr>
          <w:rFonts w:eastAsia="맑은 고딕" w:hint="eastAsia"/>
          <w:b/>
          <w:bCs/>
          <w:lang w:val="en-GB" w:eastAsia="ko-KR"/>
        </w:rPr>
        <w:t>S</w:t>
      </w:r>
      <w:r w:rsidRPr="0078287F">
        <w:rPr>
          <w:rFonts w:eastAsia="맑은 고딕"/>
          <w:b/>
          <w:bCs/>
          <w:lang w:val="en-GB" w:eastAsia="ko-KR"/>
        </w:rPr>
        <w:t>ummary</w:t>
      </w:r>
      <w:r>
        <w:rPr>
          <w:rFonts w:eastAsia="맑은 고딕"/>
          <w:lang w:val="en-GB" w:eastAsia="ko-KR"/>
        </w:rPr>
        <w:t>:</w:t>
      </w:r>
    </w:p>
    <w:p w14:paraId="5934FD88" w14:textId="77777777" w:rsidR="00C03054" w:rsidRPr="007707EB" w:rsidRDefault="00C03054" w:rsidP="00780915">
      <w:pPr>
        <w:rPr>
          <w:rFonts w:eastAsia="맑은 고딕"/>
          <w:lang w:val="en-GB" w:eastAsia="ko-KR"/>
        </w:rPr>
      </w:pP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맑은 고딕"/>
          <w:lang w:val="en-GB" w:eastAsia="ko-KR"/>
        </w:rPr>
      </w:pPr>
      <w:r>
        <w:rPr>
          <w:rFonts w:eastAsia="맑은 고딕"/>
          <w:lang w:val="en-GB" w:eastAsia="ko-KR"/>
        </w:rPr>
        <w:t>Please share</w:t>
      </w:r>
      <w:r w:rsidR="00BE6A2D">
        <w:rPr>
          <w:rFonts w:eastAsia="맑은 고딕"/>
          <w:lang w:val="en-GB" w:eastAsia="ko-KR"/>
        </w:rPr>
        <w:t xml:space="preserve"> any other identified MAC open issues for maintenance, by explaining what the issu</w:t>
      </w:r>
      <w:r w:rsidR="00FB7203">
        <w:rPr>
          <w:rFonts w:eastAsia="맑은 고딕"/>
          <w:lang w:val="en-GB" w:eastAsia="ko-KR"/>
        </w:rPr>
        <w:t>e</w:t>
      </w:r>
      <w:r w:rsidR="00BE6A2D">
        <w:rPr>
          <w:rFonts w:eastAsia="맑은 고딕"/>
          <w:lang w:val="en-GB" w:eastAsia="ko-KR"/>
        </w:rPr>
        <w:t xml:space="preserve"> is, and the</w:t>
      </w:r>
      <w:r w:rsidR="004A669E">
        <w:rPr>
          <w:rFonts w:eastAsia="맑은 고딕"/>
          <w:lang w:val="en-GB" w:eastAsia="ko-KR"/>
        </w:rPr>
        <w:t xml:space="preserve"> suggested</w:t>
      </w:r>
      <w:r w:rsidR="00BE6A2D">
        <w:rPr>
          <w:rFonts w:eastAsia="맑은 고딕"/>
          <w:lang w:val="en-GB" w:eastAsia="ko-KR"/>
        </w:rPr>
        <w:t xml:space="preserve"> change(s)</w:t>
      </w:r>
      <w:r w:rsidR="00FA5603">
        <w:rPr>
          <w:rFonts w:eastAsia="맑은 고딕"/>
          <w:lang w:val="en-GB" w:eastAsia="ko-KR"/>
        </w:rPr>
        <w:t>, including editorial</w:t>
      </w:r>
      <w:r w:rsidR="004A7BE3">
        <w:rPr>
          <w:rFonts w:eastAsia="맑은 고딕"/>
          <w:lang w:val="en-GB" w:eastAsia="ko-KR"/>
        </w:rPr>
        <w:t xml:space="preserve"> improvement</w:t>
      </w:r>
      <w:r w:rsidR="00BE6A2D">
        <w:rPr>
          <w:rFonts w:eastAsia="맑은 고딕"/>
          <w:lang w:val="en-GB" w:eastAsia="ko-KR"/>
        </w:rPr>
        <w:t>.</w:t>
      </w:r>
      <w:r w:rsidR="00342178">
        <w:rPr>
          <w:rFonts w:eastAsia="맑은 고딕"/>
          <w:lang w:val="en-GB" w:eastAsia="ko-KR"/>
        </w:rPr>
        <w:t xml:space="preserve"> </w:t>
      </w:r>
      <w:r w:rsidR="0069131D">
        <w:rPr>
          <w:rFonts w:eastAsia="맑은 고딕"/>
          <w:lang w:val="en-GB" w:eastAsia="ko-KR"/>
        </w:rPr>
        <w:t>Note</w:t>
      </w:r>
      <w:r w:rsidR="00342178">
        <w:rPr>
          <w:rFonts w:eastAsia="맑은 고딕"/>
          <w:lang w:val="en-GB" w:eastAsia="ko-KR"/>
        </w:rPr>
        <w:t xml:space="preserve"> that</w:t>
      </w:r>
      <w:r w:rsidR="007C441B">
        <w:rPr>
          <w:rFonts w:eastAsia="맑은 고딕"/>
          <w:lang w:val="en-GB" w:eastAsia="ko-KR"/>
        </w:rPr>
        <w:t>, as</w:t>
      </w:r>
      <w:r w:rsidR="0069131D">
        <w:rPr>
          <w:rFonts w:eastAsia="맑은 고딕"/>
          <w:lang w:val="en-GB" w:eastAsia="ko-KR"/>
        </w:rPr>
        <w:t xml:space="preserve"> </w:t>
      </w:r>
      <w:r w:rsidR="00342178">
        <w:rPr>
          <w:rFonts w:eastAsia="맑은 고딕"/>
          <w:lang w:val="en-GB" w:eastAsia="ko-KR"/>
        </w:rPr>
        <w:t xml:space="preserve">the WI has been declared complete, </w:t>
      </w:r>
      <w:r w:rsidR="00704DA9">
        <w:rPr>
          <w:rFonts w:eastAsia="맑은 고딕"/>
          <w:lang w:val="en-GB" w:eastAsia="ko-KR"/>
        </w:rPr>
        <w:t xml:space="preserve">the </w:t>
      </w:r>
      <w:r w:rsidR="00342178">
        <w:rPr>
          <w:rFonts w:eastAsia="맑은 고딕"/>
          <w:lang w:val="en-GB" w:eastAsia="ko-KR"/>
        </w:rPr>
        <w:t xml:space="preserve">Rapporteur will </w:t>
      </w:r>
      <w:r w:rsidR="0069131D">
        <w:rPr>
          <w:rFonts w:eastAsia="맑은 고딕"/>
          <w:lang w:val="en-GB" w:eastAsia="ko-KR"/>
        </w:rPr>
        <w:t>not conside</w:t>
      </w:r>
      <w:r w:rsidR="00CD00FA">
        <w:rPr>
          <w:rFonts w:eastAsia="맑은 고딕"/>
          <w:lang w:val="en-GB" w:eastAsia="ko-KR"/>
        </w:rPr>
        <w:t>r</w:t>
      </w:r>
      <w:r w:rsidR="00342178">
        <w:rPr>
          <w:rFonts w:eastAsia="맑은 고딕"/>
          <w:lang w:val="en-GB" w:eastAsia="ko-KR"/>
        </w:rPr>
        <w:t xml:space="preserve"> </w:t>
      </w:r>
      <w:r w:rsidR="00510BB0">
        <w:rPr>
          <w:rFonts w:eastAsia="맑은 고딕"/>
          <w:lang w:val="en-GB" w:eastAsia="ko-KR"/>
        </w:rPr>
        <w:t xml:space="preserve">the </w:t>
      </w:r>
      <w:r w:rsidR="00342178">
        <w:rPr>
          <w:rFonts w:eastAsia="맑은 고딕"/>
          <w:lang w:val="en-GB" w:eastAsia="ko-KR"/>
        </w:rPr>
        <w:t>issue</w:t>
      </w:r>
      <w:r w:rsidR="004D12E9">
        <w:rPr>
          <w:rFonts w:eastAsia="맑은 고딕"/>
          <w:lang w:val="en-GB" w:eastAsia="ko-KR"/>
        </w:rPr>
        <w:t>(</w:t>
      </w:r>
      <w:r w:rsidR="00342178">
        <w:rPr>
          <w:rFonts w:eastAsia="맑은 고딕"/>
          <w:lang w:val="en-GB" w:eastAsia="ko-KR"/>
        </w:rPr>
        <w:t>s</w:t>
      </w:r>
      <w:r w:rsidR="004D12E9">
        <w:rPr>
          <w:rFonts w:eastAsia="맑은 고딕"/>
          <w:lang w:val="en-GB" w:eastAsia="ko-KR"/>
        </w:rPr>
        <w:t>)</w:t>
      </w:r>
      <w:r w:rsidR="00342178">
        <w:rPr>
          <w:rFonts w:eastAsia="맑은 고딕"/>
          <w:lang w:val="en-GB" w:eastAsia="ko-KR"/>
        </w:rPr>
        <w:t xml:space="preserve"> </w:t>
      </w:r>
      <w:r w:rsidR="00CD00FA">
        <w:rPr>
          <w:rFonts w:eastAsia="맑은 고딕"/>
          <w:lang w:val="en-GB" w:eastAsia="ko-KR"/>
        </w:rPr>
        <w:t xml:space="preserve">involving </w:t>
      </w:r>
      <w:r w:rsidR="00D34EB5">
        <w:rPr>
          <w:rFonts w:eastAsia="맑은 고딕"/>
          <w:lang w:val="en-GB" w:eastAsia="ko-KR"/>
        </w:rPr>
        <w:t xml:space="preserve">any further </w:t>
      </w:r>
      <w:r w:rsidR="00342178">
        <w:rPr>
          <w:rFonts w:eastAsia="맑은 고딕"/>
          <w:lang w:val="en-GB" w:eastAsia="ko-KR"/>
        </w:rPr>
        <w:t>functional change</w:t>
      </w:r>
      <w:r w:rsidR="00CD00FA">
        <w:rPr>
          <w:rFonts w:eastAsia="맑은 고딕"/>
          <w:lang w:val="en-GB" w:eastAsia="ko-KR"/>
        </w:rPr>
        <w:t>s</w:t>
      </w:r>
      <w:r w:rsidR="00D34EB5">
        <w:rPr>
          <w:rFonts w:eastAsia="맑은 고딕"/>
          <w:lang w:val="en-GB" w:eastAsia="ko-KR"/>
        </w:rPr>
        <w:t xml:space="preserve">, </w:t>
      </w:r>
      <w:r w:rsidR="00C76FAC">
        <w:rPr>
          <w:rFonts w:eastAsia="맑은 고딕"/>
          <w:lang w:val="en-GB" w:eastAsia="ko-KR"/>
        </w:rPr>
        <w:t>for further discussion.</w:t>
      </w:r>
      <w:r w:rsidR="00342178">
        <w:rPr>
          <w:rFonts w:eastAsia="맑은 고딕"/>
          <w:lang w:val="en-GB" w:eastAsia="ko-KR"/>
        </w:rPr>
        <w:t xml:space="preserve"> </w:t>
      </w:r>
    </w:p>
    <w:tbl>
      <w:tblPr>
        <w:tblStyle w:val="ad"/>
        <w:tblW w:w="0" w:type="auto"/>
        <w:tblLook w:val="04A0" w:firstRow="1" w:lastRow="0" w:firstColumn="1" w:lastColumn="0" w:noHBand="0" w:noVBand="1"/>
      </w:tblPr>
      <w:tblGrid>
        <w:gridCol w:w="931"/>
        <w:gridCol w:w="3786"/>
        <w:gridCol w:w="4012"/>
        <w:gridCol w:w="892"/>
      </w:tblGrid>
      <w:tr w:rsidR="00A360C2" w14:paraId="61662656" w14:textId="77777777" w:rsidTr="00A360C2">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맑은 고딕" w:hAnsi="Times New Roman" w:cs="Times New Roman"/>
                <w:b/>
                <w:bCs/>
                <w:lang w:eastAsia="ko-KR"/>
              </w:rPr>
            </w:pPr>
            <w:r w:rsidRPr="00157706">
              <w:rPr>
                <w:rFonts w:ascii="Times New Roman" w:eastAsia="맑은 고딕" w:hAnsi="Times New Roman" w:cs="Times New Roman"/>
                <w:b/>
                <w:bCs/>
                <w:lang w:eastAsia="ko-KR"/>
              </w:rPr>
              <w:t>Company</w:t>
            </w:r>
          </w:p>
        </w:tc>
        <w:tc>
          <w:tcPr>
            <w:tcW w:w="3459"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4339"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892"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A360C2">
        <w:tc>
          <w:tcPr>
            <w:tcW w:w="931" w:type="dxa"/>
            <w:vAlign w:val="center"/>
          </w:tcPr>
          <w:p w14:paraId="26D99400" w14:textId="2F1F571D" w:rsidR="002C1622" w:rsidRDefault="003D22FA" w:rsidP="008D1098">
            <w:pPr>
              <w:jc w:val="center"/>
            </w:pPr>
            <w:r>
              <w:t>Ericsson</w:t>
            </w:r>
          </w:p>
        </w:tc>
        <w:tc>
          <w:tcPr>
            <w:tcW w:w="3459"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4339"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892" w:type="dxa"/>
          </w:tcPr>
          <w:p w14:paraId="1BB43D51" w14:textId="5029D839" w:rsidR="002C1622" w:rsidRDefault="002C1622" w:rsidP="008D1098">
            <w:pPr>
              <w:jc w:val="center"/>
            </w:pPr>
          </w:p>
        </w:tc>
      </w:tr>
      <w:tr w:rsidR="00A360C2" w14:paraId="58B87362" w14:textId="77777777" w:rsidTr="00A360C2">
        <w:tc>
          <w:tcPr>
            <w:tcW w:w="931" w:type="dxa"/>
            <w:vAlign w:val="center"/>
          </w:tcPr>
          <w:p w14:paraId="777D72FA" w14:textId="46ACB8B9" w:rsidR="002C1622" w:rsidRDefault="006A041B" w:rsidP="008D1098">
            <w:pPr>
              <w:jc w:val="center"/>
              <w:rPr>
                <w:lang w:eastAsia="sv-SE"/>
              </w:rPr>
            </w:pPr>
            <w:r>
              <w:t>Ericsson</w:t>
            </w:r>
          </w:p>
        </w:tc>
        <w:tc>
          <w:tcPr>
            <w:tcW w:w="3459"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4339"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892" w:type="dxa"/>
          </w:tcPr>
          <w:p w14:paraId="0981EEF2" w14:textId="77777777" w:rsidR="002C1622" w:rsidRDefault="002C1622" w:rsidP="008D1098">
            <w:pPr>
              <w:jc w:val="center"/>
              <w:rPr>
                <w:lang w:eastAsia="sv-SE"/>
              </w:rPr>
            </w:pPr>
          </w:p>
        </w:tc>
      </w:tr>
      <w:tr w:rsidR="00A360C2" w14:paraId="4E5B9319" w14:textId="77777777" w:rsidTr="00A360C2">
        <w:tc>
          <w:tcPr>
            <w:tcW w:w="931" w:type="dxa"/>
            <w:vAlign w:val="center"/>
          </w:tcPr>
          <w:p w14:paraId="372F5CA8" w14:textId="5DDBF71F" w:rsidR="002C1622" w:rsidRPr="00AA375E" w:rsidRDefault="00AA375E" w:rsidP="008D1098">
            <w:pPr>
              <w:jc w:val="center"/>
              <w:rPr>
                <w:rFonts w:eastAsia="맑은 고딕" w:hint="eastAsia"/>
                <w:lang w:eastAsia="ko-KR"/>
              </w:rPr>
            </w:pPr>
            <w:r>
              <w:rPr>
                <w:rFonts w:eastAsia="맑은 고딕" w:hint="eastAsia"/>
                <w:lang w:eastAsia="ko-KR"/>
              </w:rPr>
              <w:t>LGE</w:t>
            </w:r>
          </w:p>
        </w:tc>
        <w:tc>
          <w:tcPr>
            <w:tcW w:w="3459" w:type="dxa"/>
            <w:vAlign w:val="center"/>
          </w:tcPr>
          <w:p w14:paraId="3B99A5F5" w14:textId="21E229C8" w:rsidR="00BE619F" w:rsidRPr="00BE619F" w:rsidRDefault="00BE619F" w:rsidP="00BE619F">
            <w:pPr>
              <w:rPr>
                <w:rFonts w:eastAsia="맑은 고딕" w:hint="eastAsia"/>
                <w:lang w:eastAsia="ko-KR"/>
              </w:rPr>
            </w:pPr>
            <w:r>
              <w:rPr>
                <w:rFonts w:eastAsia="맑은 고딕" w:hint="eastAsia"/>
                <w:lang w:eastAsia="ko-KR"/>
              </w:rPr>
              <w:t xml:space="preserve">As we commented during the CR review, </w:t>
            </w:r>
            <w:r w:rsidR="00A360C2">
              <w:rPr>
                <w:rFonts w:eastAsia="맑은 고딕" w:hint="eastAsia"/>
                <w:lang w:eastAsia="ko-KR"/>
              </w:rPr>
              <w:t xml:space="preserve">it may be needed to be clarified that </w:t>
            </w:r>
            <w:r>
              <w:rPr>
                <w:rFonts w:eastAsia="맑은 고딕"/>
                <w:lang w:eastAsia="ko-KR"/>
              </w:rPr>
              <w:t>th</w:t>
            </w:r>
            <w:r>
              <w:rPr>
                <w:rFonts w:eastAsia="맑은 고딕" w:hint="eastAsia"/>
                <w:lang w:eastAsia="ko-KR"/>
              </w:rPr>
              <w:t xml:space="preserve">e highlighted </w:t>
            </w:r>
            <w:proofErr w:type="spellStart"/>
            <w:r w:rsidRPr="00BE619F">
              <w:rPr>
                <w:rFonts w:eastAsia="맑은 고딕"/>
                <w:highlight w:val="yellow"/>
                <w:lang w:eastAsia="ko-KR"/>
              </w:rPr>
              <w:t>preambleReceivedTargetPower</w:t>
            </w:r>
            <w:proofErr w:type="spellEnd"/>
            <w:r>
              <w:rPr>
                <w:rFonts w:eastAsia="맑은 고딕"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i/>
                <w:iCs/>
                <w:lang w:eastAsia="ko-KR"/>
              </w:rPr>
              <w:t xml:space="preserve">, </w:t>
            </w:r>
            <w:r>
              <w:rPr>
                <w:rFonts w:eastAsia="맑은 고딕" w:hint="eastAsia"/>
                <w:lang w:eastAsia="ko-KR"/>
              </w:rPr>
              <w:t xml:space="preserve">which is not used </w:t>
            </w:r>
            <w:r w:rsidR="00A360C2">
              <w:rPr>
                <w:rFonts w:eastAsia="맑은 고딕" w:hint="eastAsia"/>
                <w:lang w:eastAsia="ko-KR"/>
              </w:rPr>
              <w:t>for initialization when the UE selects the 2nd-RO.</w:t>
            </w:r>
            <w:r>
              <w:rPr>
                <w:rFonts w:eastAsia="맑은 고딕" w:hint="eastAsia"/>
                <w:lang w:eastAsia="ko-KR"/>
              </w:rPr>
              <w:t xml:space="preserve">  </w:t>
            </w:r>
          </w:p>
          <w:p w14:paraId="6B51BC47" w14:textId="533BE3A9" w:rsidR="00BE619F" w:rsidRPr="00BE619F" w:rsidRDefault="00BE619F" w:rsidP="00BE619F">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맑은 고딕" w:hint="eastAsia"/>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BE619F">
              <w:rPr>
                <w:rFonts w:eastAsia="맑은 고딕"/>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4339" w:type="dxa"/>
          </w:tcPr>
          <w:p w14:paraId="51557F91" w14:textId="1359071A" w:rsidR="00A360C2" w:rsidRDefault="00A360C2" w:rsidP="00A360C2">
            <w:pPr>
              <w:jc w:val="both"/>
              <w:rPr>
                <w:rFonts w:eastAsia="맑은 고딕"/>
                <w:lang w:eastAsia="ko-KR"/>
              </w:rPr>
            </w:pPr>
            <w:r>
              <w:rPr>
                <w:rFonts w:eastAsia="맑은 고딕" w:hint="eastAsia"/>
                <w:lang w:eastAsia="ko-KR"/>
              </w:rPr>
              <w:t>If the 1</w:t>
            </w:r>
            <w:r w:rsidRPr="00A360C2">
              <w:rPr>
                <w:rFonts w:eastAsia="맑은 고딕" w:hint="eastAsia"/>
                <w:vertAlign w:val="superscript"/>
                <w:lang w:eastAsia="ko-KR"/>
              </w:rPr>
              <w:t>st</w:t>
            </w:r>
            <w:r>
              <w:rPr>
                <w:rFonts w:eastAsia="맑은 고딕" w:hint="eastAsia"/>
                <w:lang w:eastAsia="ko-KR"/>
              </w:rPr>
              <w:t xml:space="preserve"> RO is selected for preamble transmission but the Msg3 PUSCH is transmitted in SBFD symbol, the </w:t>
            </w:r>
            <w:proofErr w:type="spellStart"/>
            <w:r w:rsidRPr="00A360C2">
              <w:rPr>
                <w:rFonts w:eastAsia="맑은 고딕"/>
                <w:i/>
                <w:iCs/>
                <w:highlight w:val="green"/>
                <w:lang w:eastAsia="ko-KR"/>
              </w:rPr>
              <w:t>preambleReceivedTargetPower</w:t>
            </w:r>
            <w:proofErr w:type="spellEnd"/>
            <w:r w:rsidRPr="00A360C2">
              <w:rPr>
                <w:rFonts w:eastAsia="맑은 고딕"/>
                <w:lang w:eastAsia="ko-KR"/>
              </w:rPr>
              <w:t xml:space="preserve"> </w:t>
            </w:r>
            <w:r>
              <w:rPr>
                <w:rFonts w:eastAsia="맑은 고딕"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lang w:eastAsia="ko-KR"/>
              </w:rPr>
              <w:t xml:space="preserve"> should be used even though it is not used for initialization. It is already captured as follows:</w:t>
            </w:r>
          </w:p>
          <w:tbl>
            <w:tblPr>
              <w:tblStyle w:val="ad"/>
              <w:tblW w:w="0" w:type="auto"/>
              <w:tblLook w:val="04A0" w:firstRow="1" w:lastRow="0" w:firstColumn="1" w:lastColumn="0" w:noHBand="0" w:noVBand="1"/>
            </w:tblPr>
            <w:tblGrid>
              <w:gridCol w:w="3786"/>
            </w:tblGrid>
            <w:tr w:rsidR="00A360C2" w14:paraId="458856F6" w14:textId="77777777" w:rsidTr="00A360C2">
              <w:tc>
                <w:tcPr>
                  <w:tcW w:w="3529" w:type="dxa"/>
                </w:tcPr>
                <w:p w14:paraId="5AE69AD0" w14:textId="77777777" w:rsidR="00A360C2" w:rsidRPr="00A360C2" w:rsidRDefault="00A360C2" w:rsidP="00A360C2">
                  <w:pPr>
                    <w:jc w:val="both"/>
                    <w:rPr>
                      <w:rFonts w:eastAsia="맑은 고딕"/>
                      <w:lang w:eastAsia="ko-KR"/>
                    </w:rPr>
                  </w:pPr>
                  <w:r w:rsidRPr="00A360C2">
                    <w:rPr>
                      <w:rFonts w:eastAsia="맑은 고딕"/>
                      <w:lang w:eastAsia="ko-KR"/>
                    </w:rPr>
                    <w:t xml:space="preserve">6&gt; else if </w:t>
                  </w:r>
                  <w:proofErr w:type="spellStart"/>
                  <w:r w:rsidRPr="00A360C2">
                    <w:rPr>
                      <w:rFonts w:eastAsia="맑은 고딕"/>
                      <w:lang w:eastAsia="ko-KR"/>
                    </w:rPr>
                    <w:t>sbfd</w:t>
                  </w:r>
                  <w:proofErr w:type="spellEnd"/>
                  <w:r w:rsidRPr="00A360C2">
                    <w:rPr>
                      <w:rFonts w:eastAsia="맑은 고딕"/>
                      <w:lang w:eastAsia="ko-KR"/>
                    </w:rPr>
                    <w:t>-RACH-</w:t>
                  </w:r>
                  <w:proofErr w:type="spellStart"/>
                  <w:r w:rsidRPr="00A360C2">
                    <w:rPr>
                      <w:rFonts w:eastAsia="맑은 고딕"/>
                      <w:lang w:eastAsia="ko-KR"/>
                    </w:rPr>
                    <w:t>DualConfig</w:t>
                  </w:r>
                  <w:proofErr w:type="spellEnd"/>
                  <w:r w:rsidRPr="00A360C2">
                    <w:rPr>
                      <w:rFonts w:eastAsia="맑은 고딕"/>
                      <w:lang w:eastAsia="ko-KR"/>
                    </w:rPr>
                    <w:t xml:space="preserve"> (see TS 38.331 [5]) is configured for the </w:t>
                  </w:r>
                  <w:proofErr w:type="gramStart"/>
                  <w:r w:rsidRPr="00A360C2">
                    <w:rPr>
                      <w:rFonts w:eastAsia="맑은 고딕"/>
                      <w:lang w:eastAsia="ko-KR"/>
                    </w:rPr>
                    <w:t>Random Access</w:t>
                  </w:r>
                  <w:proofErr w:type="gramEnd"/>
                  <w:r w:rsidRPr="00A360C2">
                    <w:rPr>
                      <w:rFonts w:eastAsia="맑은 고딕"/>
                      <w:lang w:eastAsia="ko-KR"/>
                    </w:rPr>
                    <w:t xml:space="preserve"> procedure:</w:t>
                  </w:r>
                </w:p>
                <w:p w14:paraId="3772ADF5" w14:textId="5BCE0BDB" w:rsidR="00A360C2" w:rsidRDefault="00A360C2" w:rsidP="00A360C2">
                  <w:pPr>
                    <w:jc w:val="both"/>
                    <w:rPr>
                      <w:rFonts w:eastAsia="맑은 고딕" w:hint="eastAsia"/>
                      <w:lang w:eastAsia="ko-KR"/>
                    </w:rPr>
                  </w:pPr>
                  <w:r w:rsidRPr="00A360C2">
                    <w:rPr>
                      <w:rFonts w:eastAsia="맑은 고딕"/>
                      <w:lang w:eastAsia="ko-KR"/>
                    </w:rPr>
                    <w:t xml:space="preserve">7&gt; indicate the </w:t>
                  </w:r>
                  <w:proofErr w:type="spellStart"/>
                  <w:r w:rsidRPr="00A360C2">
                    <w:rPr>
                      <w:rFonts w:eastAsia="맑은 고딕"/>
                      <w:highlight w:val="green"/>
                      <w:lang w:eastAsia="ko-KR"/>
                    </w:rPr>
                    <w:t>preambleReceivedTargetPower</w:t>
                  </w:r>
                  <w:proofErr w:type="spellEnd"/>
                  <w:r w:rsidRPr="00A360C2">
                    <w:rPr>
                      <w:rFonts w:eastAsia="맑은 고딕"/>
                      <w:highlight w:val="green"/>
                      <w:lang w:eastAsia="ko-KR"/>
                    </w:rPr>
                    <w:t xml:space="preserve"> included in the </w:t>
                  </w:r>
                  <w:proofErr w:type="spellStart"/>
                  <w:r w:rsidRPr="00A360C2">
                    <w:rPr>
                      <w:rFonts w:eastAsia="맑은 고딕"/>
                      <w:highlight w:val="green"/>
                      <w:lang w:eastAsia="ko-KR"/>
                    </w:rPr>
                    <w:t>sbfd</w:t>
                  </w:r>
                  <w:proofErr w:type="spellEnd"/>
                  <w:r w:rsidRPr="00A360C2">
                    <w:rPr>
                      <w:rFonts w:eastAsia="맑은 고딕"/>
                      <w:highlight w:val="green"/>
                      <w:lang w:eastAsia="ko-KR"/>
                    </w:rPr>
                    <w:t>-RACH-</w:t>
                  </w:r>
                  <w:proofErr w:type="spellStart"/>
                  <w:r w:rsidRPr="00A360C2">
                    <w:rPr>
                      <w:rFonts w:eastAsia="맑은 고딕"/>
                      <w:highlight w:val="green"/>
                      <w:lang w:eastAsia="ko-KR"/>
                    </w:rPr>
                    <w:t>DualConfig</w:t>
                  </w:r>
                  <w:proofErr w:type="spellEnd"/>
                  <w:r w:rsidRPr="00A360C2">
                    <w:rPr>
                      <w:rFonts w:eastAsia="맑은 고딕"/>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맑은 고딕"/>
                <w:lang w:eastAsia="ko-KR"/>
              </w:rPr>
            </w:pPr>
          </w:p>
          <w:p w14:paraId="0831E2D2" w14:textId="7D6BC2A2" w:rsidR="00A360C2" w:rsidRDefault="00A360C2" w:rsidP="00A360C2">
            <w:pPr>
              <w:jc w:val="both"/>
              <w:rPr>
                <w:rFonts w:eastAsia="맑은 고딕"/>
                <w:lang w:eastAsia="ko-KR"/>
              </w:rPr>
            </w:pPr>
            <w:r>
              <w:rPr>
                <w:rFonts w:eastAsia="맑은 고딕" w:hint="eastAsia"/>
                <w:lang w:eastAsia="ko-KR"/>
              </w:rPr>
              <w:t>Therefore, for the mentioned case, similar text may be used, e.g.,</w:t>
            </w:r>
          </w:p>
          <w:tbl>
            <w:tblPr>
              <w:tblStyle w:val="ad"/>
              <w:tblW w:w="0" w:type="auto"/>
              <w:tblLook w:val="04A0" w:firstRow="1" w:lastRow="0" w:firstColumn="1" w:lastColumn="0" w:noHBand="0" w:noVBand="1"/>
            </w:tblPr>
            <w:tblGrid>
              <w:gridCol w:w="3786"/>
            </w:tblGrid>
            <w:tr w:rsidR="00A360C2" w14:paraId="6E840686" w14:textId="77777777" w:rsidTr="00A360C2">
              <w:tc>
                <w:tcPr>
                  <w:tcW w:w="3786" w:type="dxa"/>
                </w:tcPr>
                <w:p w14:paraId="2ABAC6E7" w14:textId="77777777" w:rsidR="00A360C2" w:rsidRPr="00BE619F" w:rsidRDefault="00A360C2" w:rsidP="00A360C2">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맑은 고딕" w:hint="eastAsia"/>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A360C2">
                    <w:rPr>
                      <w:rFonts w:eastAsia="맑은 고딕"/>
                      <w:color w:val="EE0000"/>
                      <w:u w:val="single"/>
                      <w:lang w:eastAsia="ko-KR"/>
                    </w:rPr>
                    <w:t xml:space="preserve"> </w:t>
                  </w:r>
                  <w:r w:rsidRPr="00A360C2">
                    <w:rPr>
                      <w:rFonts w:eastAsia="맑은 고딕" w:hint="eastAsia"/>
                      <w:color w:val="EE0000"/>
                      <w:u w:val="single"/>
                      <w:lang w:eastAsia="ko-KR"/>
                    </w:rPr>
                    <w:t xml:space="preserve">(not included in </w:t>
                  </w:r>
                  <w:proofErr w:type="spellStart"/>
                  <w:r w:rsidRPr="00A360C2">
                    <w:rPr>
                      <w:rFonts w:eastAsia="맑은 고딕"/>
                      <w:color w:val="EE0000"/>
                      <w:u w:val="single"/>
                      <w:lang w:eastAsia="ko-KR"/>
                    </w:rPr>
                    <w:t>sbfd</w:t>
                  </w:r>
                  <w:proofErr w:type="spellEnd"/>
                  <w:r w:rsidRPr="00A360C2">
                    <w:rPr>
                      <w:rFonts w:eastAsia="맑은 고딕"/>
                      <w:color w:val="EE0000"/>
                      <w:u w:val="single"/>
                      <w:lang w:eastAsia="ko-KR"/>
                    </w:rPr>
                    <w:t>-RACH-</w:t>
                  </w:r>
                  <w:proofErr w:type="spellStart"/>
                  <w:r w:rsidRPr="00A360C2">
                    <w:rPr>
                      <w:rFonts w:eastAsia="맑은 고딕"/>
                      <w:color w:val="EE0000"/>
                      <w:u w:val="single"/>
                      <w:lang w:eastAsia="ko-KR"/>
                    </w:rPr>
                    <w:t>DualConfig</w:t>
                  </w:r>
                  <w:proofErr w:type="spellEnd"/>
                  <w:r w:rsidRPr="00A360C2">
                    <w:rPr>
                      <w:rFonts w:eastAsia="맑은 고딕" w:hint="eastAsia"/>
                      <w:color w:val="EE0000"/>
                      <w:u w:val="single"/>
                      <w:lang w:eastAsia="ko-KR"/>
                    </w:rPr>
                    <w:t>)</w:t>
                  </w:r>
                  <w:r w:rsidRPr="00A360C2">
                    <w:rPr>
                      <w:rFonts w:eastAsia="맑은 고딕" w:hint="eastAsia"/>
                      <w:color w:val="EE0000"/>
                      <w:lang w:eastAsia="ko-KR"/>
                    </w:rPr>
                    <w:t xml:space="preserve"> </w:t>
                  </w:r>
                  <w:r w:rsidRPr="00BE619F">
                    <w:rPr>
                      <w:rFonts w:eastAsia="맑은 고딕"/>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맑은 고딕" w:hint="eastAsia"/>
                <w:lang w:eastAsia="ko-KR"/>
              </w:rPr>
            </w:pPr>
          </w:p>
          <w:p w14:paraId="08828EC7" w14:textId="2113561A" w:rsidR="00A360C2" w:rsidRPr="00A360C2" w:rsidRDefault="00A360C2" w:rsidP="008D1098">
            <w:pPr>
              <w:jc w:val="center"/>
              <w:rPr>
                <w:rFonts w:eastAsia="맑은 고딕" w:hint="eastAsia"/>
                <w:lang w:eastAsia="ko-KR"/>
              </w:rPr>
            </w:pPr>
          </w:p>
        </w:tc>
        <w:tc>
          <w:tcPr>
            <w:tcW w:w="892"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맑은 고딕"/>
          <w:lang w:eastAsia="ko-KR"/>
        </w:rPr>
      </w:pPr>
      <w:r w:rsidRPr="00D149A0">
        <w:rPr>
          <w:rFonts w:eastAsia="맑은 고딕" w:hint="eastAsia"/>
          <w:b/>
          <w:bCs/>
          <w:lang w:eastAsia="ko-KR"/>
        </w:rPr>
        <w:t>S</w:t>
      </w:r>
      <w:r w:rsidRPr="00D149A0">
        <w:rPr>
          <w:rFonts w:eastAsia="맑은 고딕"/>
          <w:b/>
          <w:bCs/>
          <w:lang w:eastAsia="ko-KR"/>
        </w:rPr>
        <w:t>ummary</w:t>
      </w:r>
      <w:r>
        <w:rPr>
          <w:rFonts w:eastAsia="맑은 고딕"/>
          <w:lang w:eastAsia="ko-KR"/>
        </w:rPr>
        <w:t>:</w:t>
      </w:r>
    </w:p>
    <w:p w14:paraId="64EA8C95" w14:textId="77777777" w:rsidR="001B4380" w:rsidRPr="00042141" w:rsidRDefault="001B4380" w:rsidP="00D90DA9">
      <w:pPr>
        <w:pStyle w:val="1"/>
        <w:overflowPunct w:val="0"/>
        <w:autoSpaceDE w:val="0"/>
        <w:autoSpaceDN w:val="0"/>
        <w:adjustRightInd w:val="0"/>
        <w:textAlignment w:val="baseline"/>
      </w:pPr>
      <w:r>
        <w:lastRenderedPageBreak/>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맑은 고딕"/>
          <w:b/>
          <w:bCs/>
          <w:lang w:eastAsia="ko-KR"/>
        </w:rPr>
      </w:pPr>
      <w:r>
        <w:rPr>
          <w:rFonts w:eastAsia="맑은 고딕"/>
          <w:b/>
          <w:bCs/>
          <w:lang w:eastAsia="ko-KR"/>
        </w:rPr>
        <w:t>…</w:t>
      </w:r>
    </w:p>
    <w:p w14:paraId="2517B30E" w14:textId="2FA7A52C" w:rsidR="00EF762A" w:rsidRDefault="00EF762A" w:rsidP="006407EB">
      <w:pPr>
        <w:rPr>
          <w:rFonts w:eastAsia="맑은 고딕"/>
          <w:b/>
          <w:bCs/>
          <w:lang w:eastAsia="ko-KR"/>
        </w:rPr>
      </w:pPr>
      <w:r>
        <w:rPr>
          <w:rFonts w:eastAsia="맑은 고딕" w:hint="eastAsia"/>
          <w:b/>
          <w:bCs/>
          <w:lang w:eastAsia="ko-KR"/>
        </w:rPr>
        <w:t>I</w:t>
      </w:r>
      <w:r>
        <w:rPr>
          <w:rFonts w:eastAsia="맑은 고딕"/>
          <w:b/>
          <w:bCs/>
          <w:lang w:eastAsia="ko-KR"/>
        </w:rPr>
        <w:t>ssues that will be handled by Rapporteur CR</w:t>
      </w:r>
      <w:r w:rsidR="00A238AE">
        <w:rPr>
          <w:rFonts w:eastAsia="맑은 고딕"/>
          <w:b/>
          <w:bCs/>
          <w:lang w:eastAsia="ko-KR"/>
        </w:rPr>
        <w:t xml:space="preserve"> for RAN2#131bis</w:t>
      </w:r>
      <w:r>
        <w:rPr>
          <w:rFonts w:eastAsia="맑은 고딕"/>
          <w:b/>
          <w:bCs/>
          <w:lang w:eastAsia="ko-KR"/>
        </w:rPr>
        <w:t>:</w:t>
      </w:r>
    </w:p>
    <w:p w14:paraId="0AE9704C" w14:textId="626D3DE1" w:rsidR="00EF762A" w:rsidRPr="0094604E" w:rsidRDefault="005904AB" w:rsidP="006407EB">
      <w:pPr>
        <w:rPr>
          <w:rFonts w:eastAsia="맑은 고딕"/>
          <w:b/>
          <w:bCs/>
          <w:lang w:eastAsia="ko-KR"/>
        </w:rPr>
      </w:pPr>
      <w:r>
        <w:rPr>
          <w:rFonts w:eastAsia="맑은 고딕"/>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headerReference w:type="even" r:id="rId10"/>
      <w:headerReference w:type="default" r:id="rId11"/>
      <w:headerReference w:type="first" r:id="rId12"/>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2340" w14:textId="77777777" w:rsidR="00085C0E" w:rsidRDefault="00085C0E" w:rsidP="00051DF8">
      <w:r>
        <w:separator/>
      </w:r>
    </w:p>
  </w:endnote>
  <w:endnote w:type="continuationSeparator" w:id="0">
    <w:p w14:paraId="1F86E3D3" w14:textId="77777777" w:rsidR="00085C0E" w:rsidRDefault="00085C0E" w:rsidP="00051DF8">
      <w:r>
        <w:continuationSeparator/>
      </w:r>
    </w:p>
  </w:endnote>
  <w:endnote w:type="continuationNotice" w:id="1">
    <w:p w14:paraId="462C56BE" w14:textId="77777777" w:rsidR="00085C0E" w:rsidRDefault="00085C0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2E39" w14:textId="77777777" w:rsidR="00085C0E" w:rsidRDefault="00085C0E" w:rsidP="00051DF8">
      <w:r>
        <w:separator/>
      </w:r>
    </w:p>
  </w:footnote>
  <w:footnote w:type="continuationSeparator" w:id="0">
    <w:p w14:paraId="3B33CDA6" w14:textId="77777777" w:rsidR="00085C0E" w:rsidRDefault="00085C0E" w:rsidP="00051DF8">
      <w:r>
        <w:continuationSeparator/>
      </w:r>
    </w:p>
  </w:footnote>
  <w:footnote w:type="continuationNotice" w:id="1">
    <w:p w14:paraId="3ADB8CFB" w14:textId="77777777" w:rsidR="00085C0E" w:rsidRDefault="00085C0E" w:rsidP="00051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9CAF" w14:textId="7A2F3C73" w:rsidR="00A360C2" w:rsidRDefault="00A360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AF70" w14:textId="3D36CBA5" w:rsidR="00A360C2" w:rsidRDefault="00A360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9384" w14:textId="41FA5FB7" w:rsidR="00A360C2" w:rsidRDefault="00A360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746">
    <w:abstractNumId w:val="14"/>
  </w:num>
  <w:num w:numId="2" w16cid:durableId="776409566">
    <w:abstractNumId w:val="1"/>
  </w:num>
  <w:num w:numId="3" w16cid:durableId="838276911">
    <w:abstractNumId w:val="9"/>
  </w:num>
  <w:num w:numId="4" w16cid:durableId="1229347078">
    <w:abstractNumId w:val="12"/>
  </w:num>
  <w:num w:numId="5" w16cid:durableId="1932351736">
    <w:abstractNumId w:val="0"/>
  </w:num>
  <w:num w:numId="6" w16cid:durableId="1560092426">
    <w:abstractNumId w:val="4"/>
  </w:num>
  <w:num w:numId="7" w16cid:durableId="1624386787">
    <w:abstractNumId w:val="10"/>
  </w:num>
  <w:num w:numId="8" w16cid:durableId="1402101959">
    <w:abstractNumId w:val="15"/>
  </w:num>
  <w:num w:numId="9" w16cid:durableId="261229705">
    <w:abstractNumId w:val="8"/>
  </w:num>
  <w:num w:numId="10" w16cid:durableId="1858888320">
    <w:abstractNumId w:val="6"/>
  </w:num>
  <w:num w:numId="11" w16cid:durableId="228882560">
    <w:abstractNumId w:val="2"/>
  </w:num>
  <w:num w:numId="12" w16cid:durableId="390813788">
    <w:abstractNumId w:val="3"/>
  </w:num>
  <w:num w:numId="13" w16cid:durableId="59520720">
    <w:abstractNumId w:val="13"/>
  </w:num>
  <w:num w:numId="14" w16cid:durableId="1287279505">
    <w:abstractNumId w:val="11"/>
  </w:num>
  <w:num w:numId="15" w16cid:durableId="1751149096">
    <w:abstractNumId w:val="5"/>
  </w:num>
  <w:num w:numId="16" w16cid:durableId="1593124843">
    <w:abstractNumId w:val="0"/>
  </w:num>
  <w:num w:numId="17" w16cid:durableId="12576389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789"/>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5FA"/>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메모 텍스트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7419</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LGE - Hanseul Hong</cp:lastModifiedBy>
  <cp:revision>3</cp:revision>
  <dcterms:created xsi:type="dcterms:W3CDTF">2025-09-19T10:11:00Z</dcterms:created>
  <dcterms:modified xsi:type="dcterms:W3CDTF">2025-09-19T10:11:00Z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