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w:t>
      </w:r>
      <w:proofErr w:type="gramStart"/>
      <w:r w:rsidR="00281BBC" w:rsidRPr="00281BBC">
        <w:rPr>
          <w:rFonts w:ascii="Arial" w:hAnsi="Arial"/>
          <w:b/>
          <w:sz w:val="24"/>
        </w:rPr>
        <w:t>130][</w:t>
      </w:r>
      <w:proofErr w:type="gramEnd"/>
      <w:r w:rsidR="00281BBC" w:rsidRPr="00281BBC">
        <w:rPr>
          <w:rFonts w:ascii="Arial" w:hAnsi="Arial"/>
          <w:b/>
          <w:sz w:val="24"/>
        </w:rPr>
        <w:t>109][NES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proofErr w:type="gramStart"/>
      <w:r w:rsidRPr="00CA1603">
        <w:rPr>
          <w:rFonts w:ascii="Arial" w:eastAsia="MS Mincho" w:hAnsi="Arial" w:cs="Arial"/>
          <w:b/>
          <w:szCs w:val="24"/>
          <w:lang w:eastAsia="en-GB"/>
        </w:rPr>
        <w:t>130][</w:t>
      </w:r>
      <w:proofErr w:type="gramEnd"/>
      <w:r w:rsidRPr="00CA1603">
        <w:rPr>
          <w:rFonts w:ascii="Arial" w:eastAsia="MS Mincho" w:hAnsi="Arial" w:cs="Arial"/>
          <w:b/>
          <w:szCs w:val="24"/>
          <w:lang w:eastAsia="en-GB"/>
        </w:rPr>
        <w:t>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D97BB7" w14:paraId="456E6E73" w14:textId="77777777" w:rsidTr="00CA1603">
        <w:tc>
          <w:tcPr>
            <w:tcW w:w="2335" w:type="dxa"/>
            <w:shd w:val="clear" w:color="auto" w:fill="auto"/>
          </w:tcPr>
          <w:p w14:paraId="087475BA" w14:textId="046BD3A9" w:rsidR="00D97BB7" w:rsidRDefault="00D97BB7">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76D51132" w14:textId="4083FF3D" w:rsidR="00D97BB7" w:rsidRDefault="00D97BB7">
            <w:pPr>
              <w:spacing w:before="100" w:beforeAutospacing="1" w:after="100" w:afterAutospacing="1"/>
              <w:jc w:val="both"/>
              <w:rPr>
                <w:rFonts w:ascii="Arial" w:hAnsi="Arial" w:cs="Arial"/>
                <w:color w:val="000000"/>
                <w:sz w:val="21"/>
                <w:lang w:eastAsia="zh-CN"/>
              </w:rPr>
            </w:pPr>
          </w:p>
        </w:tc>
        <w:tc>
          <w:tcPr>
            <w:tcW w:w="4105" w:type="dxa"/>
            <w:shd w:val="clear" w:color="auto" w:fill="auto"/>
          </w:tcPr>
          <w:p w14:paraId="6701A6F2" w14:textId="6FE85EA6" w:rsidR="00D97BB7" w:rsidRDefault="00D97BB7">
            <w:pPr>
              <w:spacing w:before="100" w:beforeAutospacing="1" w:after="100" w:afterAutospacing="1"/>
              <w:jc w:val="both"/>
              <w:rPr>
                <w:rFonts w:ascii="Arial" w:hAnsi="Arial" w:cs="Arial"/>
                <w:color w:val="000000"/>
                <w:sz w:val="21"/>
                <w:lang w:eastAsia="zh-CN"/>
              </w:rPr>
            </w:pPr>
          </w:p>
        </w:tc>
      </w:tr>
      <w:tr w:rsidR="00B36F1E" w14:paraId="2C9D7473" w14:textId="77777777" w:rsidTr="00CA1603">
        <w:tc>
          <w:tcPr>
            <w:tcW w:w="2335" w:type="dxa"/>
            <w:shd w:val="clear" w:color="auto" w:fill="auto"/>
          </w:tcPr>
          <w:p w14:paraId="63AD6EAD" w14:textId="47FA03A2" w:rsidR="00B36F1E" w:rsidRPr="00B36F1E" w:rsidRDefault="00B36F1E">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0F7BD1AB" w14:textId="42AED3A4" w:rsidR="00B36F1E" w:rsidRDefault="00B36F1E">
            <w:pPr>
              <w:spacing w:before="100" w:beforeAutospacing="1" w:after="100" w:afterAutospacing="1"/>
              <w:jc w:val="both"/>
              <w:rPr>
                <w:rFonts w:ascii="Arial" w:hAnsi="Arial" w:cs="Arial"/>
                <w:color w:val="000000"/>
                <w:sz w:val="21"/>
                <w:lang w:val="en-US" w:eastAsia="zh-CN"/>
              </w:rPr>
            </w:pPr>
          </w:p>
        </w:tc>
        <w:tc>
          <w:tcPr>
            <w:tcW w:w="4105" w:type="dxa"/>
            <w:shd w:val="clear" w:color="auto" w:fill="auto"/>
          </w:tcPr>
          <w:p w14:paraId="1C275967" w14:textId="7AFFCED6" w:rsidR="00B36F1E" w:rsidRDefault="00B36F1E">
            <w:pPr>
              <w:spacing w:before="100" w:beforeAutospacing="1" w:after="100" w:afterAutospacing="1"/>
              <w:jc w:val="both"/>
              <w:rPr>
                <w:rFonts w:ascii="Arial" w:hAnsi="Arial" w:cs="Arial"/>
                <w:color w:val="000000"/>
                <w:sz w:val="21"/>
                <w:lang w:val="en-US"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5592"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 xml:space="preserve">if CB-PreamblesPerSSB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w:t>
            </w:r>
            <w:proofErr w:type="gramStart"/>
            <w:r w:rsidRPr="008F7C45">
              <w:rPr>
                <w:rFonts w:ascii="Arial" w:hAnsi="Arial" w:cs="Arial"/>
                <w:color w:val="000000"/>
                <w:highlight w:val="yellow"/>
                <w:lang w:eastAsia="zh-CN"/>
              </w:rPr>
              <w:t>Adaptation</w:t>
            </w:r>
            <w:r w:rsidRPr="008F7C45">
              <w:rPr>
                <w:rFonts w:ascii="Arial" w:hAnsi="Arial" w:cs="Arial"/>
                <w:color w:val="000000"/>
                <w:lang w:eastAsia="zh-CN"/>
              </w:rPr>
              <w:t xml:space="preserve"> ,</w:t>
            </w:r>
            <w:proofErr w:type="gramEnd"/>
            <w:r w:rsidRPr="008F7C45">
              <w:rPr>
                <w:rFonts w:ascii="Arial" w:hAnsi="Arial" w:cs="Arial"/>
                <w:color w:val="000000"/>
                <w:lang w:eastAsia="zh-CN"/>
              </w:rPr>
              <w:t xml:space="preserve">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3F3F0E79" w:rsidR="00D97BB7" w:rsidRDefault="008F7C4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 xml:space="preserve">OPPO] The yellow part may lead to question on whether there is a case where CB-PreamblesPerSSB is </w:t>
            </w:r>
            <w:r w:rsidR="00573FFF">
              <w:rPr>
                <w:rFonts w:ascii="Arial" w:eastAsia="DengXian" w:hAnsi="Arial" w:cs="Arial"/>
                <w:color w:val="00B0F0"/>
                <w:lang w:eastAsia="zh-CN"/>
              </w:rPr>
              <w:t xml:space="preserve">NOT configured. Suggested change is to simplify the text to like ‘if </w:t>
            </w:r>
            <w:proofErr w:type="spellStart"/>
            <w:r w:rsidR="00573FFF">
              <w:rPr>
                <w:rFonts w:ascii="Arial" w:eastAsia="DengXian" w:hAnsi="Arial" w:cs="Arial"/>
                <w:color w:val="00B0F0"/>
                <w:lang w:eastAsia="zh-CN"/>
              </w:rPr>
              <w:t>addl</w:t>
            </w:r>
            <w:proofErr w:type="spellEnd"/>
            <w:r w:rsidR="00573FFF">
              <w:rPr>
                <w:rFonts w:ascii="Arial" w:eastAsia="DengXian" w:hAnsi="Arial" w:cs="Arial"/>
                <w:color w:val="00B0F0"/>
                <w:lang w:eastAsia="zh-CN"/>
              </w:rPr>
              <w:t>-RACH-Config-Adaptation is configured’.</w:t>
            </w:r>
          </w:p>
        </w:tc>
      </w:tr>
      <w:tr w:rsidR="00D97BB7" w14:paraId="03B0AF82" w14:textId="77777777" w:rsidTr="00C86385">
        <w:tc>
          <w:tcPr>
            <w:tcW w:w="1354"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5592"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gramStart"/>
            <w:r w:rsidRPr="00AB5D73">
              <w:rPr>
                <w:rFonts w:ascii="Arial" w:hAnsi="Arial" w:cs="Arial"/>
                <w:color w:val="000000"/>
                <w:highlight w:val="yellow"/>
                <w:lang w:eastAsia="zh-CN"/>
              </w:rPr>
              <w:t>ServCellIndex</w:t>
            </w:r>
            <w:r w:rsidRPr="00AB5D73">
              <w:rPr>
                <w:rFonts w:ascii="Arial" w:hAnsi="Arial" w:cs="Arial"/>
                <w:color w:val="000000"/>
                <w:lang w:eastAsia="zh-CN"/>
              </w:rPr>
              <w:t xml:space="preserve"> ,</w:t>
            </w:r>
            <w:proofErr w:type="gramEnd"/>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F606E2">
              <w:rPr>
                <w:i/>
                <w:kern w:val="2"/>
                <w:highlight w:val="yellow"/>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2683" w:type="dxa"/>
            <w:shd w:val="clear" w:color="auto" w:fill="auto"/>
          </w:tcPr>
          <w:p w14:paraId="296786F2" w14:textId="5AD59D85" w:rsidR="00D97BB7" w:rsidRDefault="00F606E2">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OPPO] To unify the ordering reference to SCellIndex.</w:t>
            </w:r>
          </w:p>
        </w:tc>
      </w:tr>
      <w:tr w:rsidR="00D97BB7" w14:paraId="1738D85D" w14:textId="77777777" w:rsidTr="00C86385">
        <w:tc>
          <w:tcPr>
            <w:tcW w:w="1354"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5592"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 xml:space="preserve">if CB-PreamblesPerSSB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w:t>
            </w:r>
            <w:proofErr w:type="gramStart"/>
            <w:r w:rsidRPr="008F7C45">
              <w:rPr>
                <w:rFonts w:ascii="Arial" w:hAnsi="Arial" w:cs="Arial"/>
                <w:color w:val="000000"/>
                <w:highlight w:val="yellow"/>
                <w:lang w:eastAsia="zh-CN"/>
              </w:rPr>
              <w:t>Adaptation</w:t>
            </w:r>
            <w:r w:rsidRPr="008F7C45">
              <w:rPr>
                <w:rFonts w:ascii="Arial" w:hAnsi="Arial" w:cs="Arial"/>
                <w:color w:val="000000"/>
                <w:lang w:eastAsia="zh-CN"/>
              </w:rPr>
              <w:t xml:space="preserve"> ,</w:t>
            </w:r>
            <w:proofErr w:type="gramEnd"/>
            <w:r w:rsidRPr="008F7C45">
              <w:rPr>
                <w:rFonts w:ascii="Arial" w:hAnsi="Arial" w:cs="Arial"/>
                <w:color w:val="000000"/>
                <w:lang w:eastAsia="zh-CN"/>
              </w:rPr>
              <w:t xml:space="preserve">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00190819" w:rsidRPr="009520E0">
              <w:rPr>
                <w:rFonts w:ascii="Arial" w:hAnsi="Arial" w:cs="Arial"/>
              </w:rPr>
              <w:t>ssb-perRACH-OccasionAndCB-PreamblesPerSSB</w:t>
            </w:r>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r w:rsidR="00190819" w:rsidRPr="009520E0">
              <w:rPr>
                <w:rFonts w:ascii="Arial" w:hAnsi="Arial" w:cs="Arial"/>
              </w:rPr>
              <w:t xml:space="preserve">ssb-perRACH-OccasionAndCB-PreamblesPerSSB </w:t>
            </w:r>
            <w:r w:rsidR="00190819" w:rsidRPr="009520E0">
              <w:rPr>
                <w:rFonts w:ascii="Arial" w:hAnsi="Arial" w:cs="Arial"/>
                <w:color w:val="000000"/>
                <w:lang w:eastAsia="zh-CN"/>
              </w:rPr>
              <w:t xml:space="preserve">in </w:t>
            </w:r>
            <w:proofErr w:type="spellStart"/>
            <w:r w:rsidR="00190819" w:rsidRPr="009520E0">
              <w:rPr>
                <w:rFonts w:ascii="Arial" w:hAnsi="Arial" w:cs="Arial"/>
                <w:color w:val="000000"/>
                <w:lang w:eastAsia="zh-CN"/>
              </w:rPr>
              <w:t>addl</w:t>
            </w:r>
            <w:proofErr w:type="spellEnd"/>
            <w:r w:rsidR="00190819" w:rsidRPr="009520E0">
              <w:rPr>
                <w:rFonts w:ascii="Arial" w:hAnsi="Arial" w:cs="Arial"/>
                <w:color w:val="000000"/>
                <w:lang w:eastAsia="zh-CN"/>
              </w:rPr>
              <w:t>-RACH-Config-Adaptation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Pr="009520E0">
              <w:rPr>
                <w:rFonts w:ascii="Arial" w:hAnsi="Arial" w:cs="Arial"/>
              </w:rPr>
              <w:t>ssb-perRACH-OccasionAndCB-PreamblesPerSSB</w:t>
            </w:r>
            <w:r w:rsidRPr="009520E0">
              <w:rPr>
                <w:rFonts w:ascii="Arial" w:hAnsi="Arial" w:cs="Arial"/>
                <w:color w:val="000000"/>
                <w:lang w:eastAsia="zh-CN"/>
              </w:rPr>
              <w:t xml:space="preserve"> is not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 xml:space="preserve">RACH-ConfigCommon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RACH-ConfigCommon</w:t>
            </w:r>
            <w:r w:rsidRPr="00D839FF">
              <w:t xml:space="preserve">   </w:t>
            </w:r>
          </w:p>
        </w:tc>
        <w:tc>
          <w:tcPr>
            <w:tcW w:w="2683"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DengXian" w:hAnsi="Arial" w:cs="Arial"/>
                <w:lang w:eastAsia="zh-CN"/>
              </w:rPr>
            </w:pPr>
            <w:r w:rsidRPr="006C6830">
              <w:rPr>
                <w:rFonts w:ascii="Arial" w:eastAsia="DengXian" w:hAnsi="Arial" w:cs="Arial"/>
                <w:lang w:eastAsia="zh-CN"/>
              </w:rPr>
              <w:t>I think note should be something like</w:t>
            </w:r>
            <w:r>
              <w:rPr>
                <w:rFonts w:ascii="Arial" w:eastAsia="DengXian" w:hAnsi="Arial" w:cs="Arial"/>
                <w:lang w:eastAsia="zh-CN"/>
              </w:rPr>
              <w:t>:</w:t>
            </w:r>
          </w:p>
          <w:p w14:paraId="65CA26A1" w14:textId="11DB65A8" w:rsidR="00B64F6D" w:rsidRDefault="009520E0">
            <w:pPr>
              <w:overflowPunct w:val="0"/>
              <w:autoSpaceDE w:val="0"/>
              <w:autoSpaceDN w:val="0"/>
              <w:adjustRightInd w:val="0"/>
              <w:textAlignment w:val="baseline"/>
              <w:rPr>
                <w:rFonts w:ascii="Arial" w:eastAsia="DengXian" w:hAnsi="Arial" w:cs="Arial"/>
                <w:color w:val="00B0F0"/>
                <w:lang w:eastAsia="zh-CN"/>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and </w:t>
            </w:r>
            <w:r w:rsidR="006C6830" w:rsidRPr="006C6830">
              <w:rPr>
                <w:rFonts w:ascii="Arial" w:hAnsi="Arial" w:cs="Arial"/>
              </w:rPr>
              <w:t xml:space="preserve">ssb-perRACH-OccasionAndCB-PreamblesPerSSB is configured </w:t>
            </w:r>
            <w:r w:rsidR="006C6830" w:rsidRPr="006C6830">
              <w:rPr>
                <w:rFonts w:ascii="Arial" w:hAnsi="Arial" w:cs="Arial"/>
                <w:lang w:eastAsia="zh-CN"/>
              </w:rPr>
              <w:t xml:space="preserve">in </w:t>
            </w:r>
            <w:proofErr w:type="spellStart"/>
            <w:r w:rsidR="006C6830" w:rsidRPr="006C6830">
              <w:rPr>
                <w:rFonts w:ascii="Arial" w:hAnsi="Arial" w:cs="Arial"/>
                <w:lang w:eastAsia="zh-CN"/>
              </w:rPr>
              <w:t>addl</w:t>
            </w:r>
            <w:proofErr w:type="spellEnd"/>
            <w:r w:rsidR="006C6830" w:rsidRPr="006C6830">
              <w:rPr>
                <w:rFonts w:ascii="Arial" w:hAnsi="Arial" w:cs="Arial"/>
                <w:lang w:eastAsia="zh-CN"/>
              </w:rPr>
              <w:t>-RACH-Config-Adaptation</w:t>
            </w:r>
            <w:r w:rsidRPr="006C6830">
              <w:rPr>
                <w:rFonts w:ascii="Arial" w:hAnsi="Arial" w:cs="Arial"/>
                <w:lang w:eastAsia="zh-CN"/>
              </w:rPr>
              <w:t xml:space="preserve">, UE selects preamble corresponding to selected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006C6830" w:rsidRPr="006C6830">
              <w:rPr>
                <w:rFonts w:ascii="Arial" w:hAnsi="Arial" w:cs="Arial"/>
                <w:lang w:eastAsia="zh-CN"/>
              </w:rPr>
              <w:t xml:space="preserve">. Otherwise, UE selects preamble corresponding to selected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 xml:space="preserve">in </w:t>
            </w:r>
            <w:r w:rsidRPr="006C6830">
              <w:rPr>
                <w:rFonts w:ascii="Arial" w:hAnsi="Arial" w:cs="Arial"/>
              </w:rPr>
              <w:t xml:space="preserve">RACH-ConfigCommon. </w:t>
            </w:r>
          </w:p>
        </w:tc>
      </w:tr>
      <w:tr w:rsidR="006A22C5" w14:paraId="04002C06" w14:textId="77777777" w:rsidTr="00C86385">
        <w:tc>
          <w:tcPr>
            <w:tcW w:w="1354" w:type="dxa"/>
            <w:shd w:val="clear" w:color="auto" w:fill="auto"/>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002</w:t>
            </w:r>
          </w:p>
        </w:tc>
        <w:tc>
          <w:tcPr>
            <w:tcW w:w="5592" w:type="dxa"/>
            <w:shd w:val="clear" w:color="auto" w:fill="auto"/>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t>1&gt;</w:t>
            </w:r>
            <w:r w:rsidRPr="00C5780D">
              <w:rPr>
                <w:lang w:eastAsia="ko-KR"/>
              </w:rPr>
              <w:t xml:space="preserve">if the random access procedure </w:t>
            </w:r>
            <w:r w:rsidRPr="00C5780D">
              <w:rPr>
                <w:lang w:eastAsia="ko-KR"/>
              </w:rPr>
              <w:t>was</w:t>
            </w:r>
            <w:r w:rsidRPr="00C5780D">
              <w:rPr>
                <w:lang w:eastAsia="ko-KR"/>
              </w:rPr>
              <w:t xml:space="preserve"> initiated </w:t>
            </w:r>
            <w:r w:rsidRPr="00C5780D">
              <w:rPr>
                <w:lang w:eastAsia="ko-KR"/>
              </w:rPr>
              <w:t>by</w:t>
            </w:r>
            <w:r w:rsidRPr="00C5780D">
              <w:rPr>
                <w:lang w:eastAsia="ko-KR"/>
              </w:rPr>
              <w:t xml:space="preserve"> SI request or SIB1 request or reconfiguration with </w:t>
            </w:r>
            <w:r w:rsidRPr="00C5780D">
              <w:rPr>
                <w:lang w:eastAsia="ko-KR"/>
              </w:rPr>
              <w:t>sync or LTM cell switch or PDCCH order for LTM candidate cell; or</w:t>
            </w:r>
          </w:p>
          <w:p w14:paraId="59F6D8D7" w14:textId="39098A1E" w:rsidR="003245F3" w:rsidRPr="00C5780D" w:rsidRDefault="003245F3" w:rsidP="003245F3">
            <w:pPr>
              <w:spacing w:before="100" w:beforeAutospacing="1" w:after="100" w:afterAutospacing="1"/>
              <w:rPr>
                <w:lang w:eastAsia="ko-KR"/>
              </w:rPr>
            </w:pPr>
            <w:r w:rsidRPr="00C5780D">
              <w:rPr>
                <w:lang w:eastAsia="ko-KR"/>
              </w:rPr>
              <w:t>1&gt;</w:t>
            </w:r>
            <w:r w:rsidRPr="00C5780D">
              <w:rPr>
                <w:lang w:eastAsia="ko-KR"/>
              </w:rPr>
              <w:t>if contention free random access preamble is selected for PRACH transmission</w:t>
            </w:r>
            <w:r w:rsidRPr="00C5780D">
              <w:rPr>
                <w:lang w:eastAsia="ko-KR"/>
              </w:rPr>
              <w:t>:</w:t>
            </w:r>
          </w:p>
          <w:p w14:paraId="51989203" w14:textId="16DA57D5" w:rsidR="003245F3" w:rsidRPr="00C5780D" w:rsidRDefault="003245F3" w:rsidP="003245F3">
            <w:pPr>
              <w:pStyle w:val="ListParagraph"/>
              <w:numPr>
                <w:ilvl w:val="0"/>
                <w:numId w:val="25"/>
              </w:numPr>
              <w:spacing w:before="100" w:beforeAutospacing="1" w:after="100" w:afterAutospacing="1"/>
              <w:rPr>
                <w:rFonts w:ascii="Times New Roman" w:hAnsi="Times New Roman" w:cs="Times New Roman"/>
                <w:color w:val="000000"/>
              </w:rPr>
            </w:pPr>
            <w:r w:rsidRPr="00C5780D">
              <w:rPr>
                <w:rFonts w:ascii="Times New Roman" w:eastAsia="DengXian" w:hAnsi="Times New Roman" w:cs="Times New Roman"/>
                <w:sz w:val="24"/>
                <w:szCs w:val="24"/>
              </w:rPr>
              <w:t xml:space="preserve">The </w:t>
            </w:r>
            <w:r w:rsidRPr="00C5780D">
              <w:rPr>
                <w:rFonts w:ascii="Times New Roman" w:hAnsi="Times New Roman" w:cs="Times New Roman"/>
                <w:sz w:val="24"/>
                <w:szCs w:val="24"/>
                <w:lang w:eastAsia="ko-KR"/>
              </w:rPr>
              <w:t xml:space="preserve">PRACH occasions </w:t>
            </w:r>
            <w:r w:rsidRPr="00C5780D">
              <w:rPr>
                <w:rFonts w:ascii="Times New Roman" w:eastAsia="DengXian" w:hAnsi="Times New Roman" w:cs="Times New Roman"/>
                <w:sz w:val="24"/>
                <w:szCs w:val="24"/>
              </w:rPr>
              <w:t xml:space="preserve">configured by </w:t>
            </w:r>
            <w:proofErr w:type="spellStart"/>
            <w:r w:rsidRPr="00C5780D">
              <w:rPr>
                <w:rFonts w:ascii="Times New Roman" w:hAnsi="Times New Roman" w:cs="Times New Roman"/>
                <w:i/>
                <w:iCs/>
                <w:sz w:val="24"/>
                <w:szCs w:val="24"/>
              </w:rPr>
              <w:t>addl</w:t>
            </w:r>
            <w:proofErr w:type="spellEnd"/>
            <w:r w:rsidRPr="00C5780D">
              <w:rPr>
                <w:rFonts w:ascii="Times New Roman" w:hAnsi="Times New Roman" w:cs="Times New Roman"/>
                <w:i/>
                <w:iCs/>
                <w:sz w:val="24"/>
                <w:szCs w:val="24"/>
              </w:rPr>
              <w:t>-RACH-Config-Adaptation</w:t>
            </w:r>
            <w:r w:rsidRPr="00C5780D">
              <w:rPr>
                <w:rFonts w:ascii="Times New Roman" w:eastAsia="DengXian" w:hAnsi="Times New Roman" w:cs="Times New Roman"/>
                <w:sz w:val="24"/>
                <w:szCs w:val="24"/>
              </w:rPr>
              <w:t xml:space="preserve"> in the </w:t>
            </w:r>
            <w:r w:rsidRPr="00C5780D">
              <w:rPr>
                <w:rFonts w:ascii="Times New Roman" w:hAnsi="Times New Roman" w:cs="Times New Roman"/>
                <w:sz w:val="24"/>
                <w:szCs w:val="24"/>
              </w:rPr>
              <w:t>RACH-ConfigCommon</w:t>
            </w:r>
            <w:r w:rsidRPr="00C5780D">
              <w:rPr>
                <w:rFonts w:ascii="Times New Roman" w:eastAsia="DengXian" w:hAnsi="Times New Roman" w:cs="Times New Roman"/>
                <w:sz w:val="24"/>
                <w:szCs w:val="24"/>
              </w:rPr>
              <w:t xml:space="preserve"> of selected random access </w:t>
            </w:r>
            <w:r w:rsidRPr="00C5780D">
              <w:rPr>
                <w:rFonts w:ascii="Times New Roman" w:eastAsia="DengXian" w:hAnsi="Times New Roman" w:cs="Times New Roman"/>
                <w:sz w:val="24"/>
                <w:szCs w:val="24"/>
              </w:rPr>
              <w:lastRenderedPageBreak/>
              <w:t xml:space="preserve">resource set is </w:t>
            </w:r>
            <w:r w:rsidRPr="00C5780D">
              <w:rPr>
                <w:rFonts w:ascii="Times New Roman" w:eastAsia="DengXian" w:hAnsi="Times New Roman" w:cs="Times New Roman"/>
                <w:sz w:val="24"/>
                <w:szCs w:val="24"/>
              </w:rPr>
              <w:t>not applied for PRACH transmission</w:t>
            </w:r>
            <w:r w:rsidR="00C5780D">
              <w:rPr>
                <w:rFonts w:ascii="Times New Roman" w:eastAsia="DengXian" w:hAnsi="Times New Roman" w:cs="Times New Roman"/>
                <w:sz w:val="24"/>
                <w:szCs w:val="24"/>
              </w:rPr>
              <w:t>.</w:t>
            </w:r>
          </w:p>
          <w:p w14:paraId="48321738" w14:textId="510D1AA9" w:rsidR="003245F3" w:rsidRPr="00C5780D" w:rsidRDefault="003245F3" w:rsidP="003245F3">
            <w:pPr>
              <w:spacing w:before="100" w:beforeAutospacing="1" w:after="100" w:afterAutospacing="1"/>
              <w:rPr>
                <w:color w:val="000000"/>
              </w:rPr>
            </w:pPr>
            <w:r w:rsidRPr="00C5780D">
              <w:rPr>
                <w:color w:val="000000"/>
              </w:rPr>
              <w:t>1&gt;Else:</w:t>
            </w:r>
          </w:p>
          <w:p w14:paraId="79EB7AE1" w14:textId="7F77CC95" w:rsidR="003245F3" w:rsidRPr="00C5780D" w:rsidRDefault="003245F3" w:rsidP="003245F3">
            <w:pPr>
              <w:pStyle w:val="ListParagraph"/>
              <w:numPr>
                <w:ilvl w:val="0"/>
                <w:numId w:val="26"/>
              </w:numPr>
              <w:spacing w:before="100" w:beforeAutospacing="1" w:after="100" w:afterAutospacing="1"/>
              <w:rPr>
                <w:rFonts w:ascii="Times New Roman" w:hAnsi="Times New Roman" w:cs="Times New Roman"/>
                <w:color w:val="000000"/>
              </w:rPr>
            </w:pPr>
            <w:r w:rsidRPr="00C5780D">
              <w:rPr>
                <w:rFonts w:ascii="Times New Roman" w:eastAsia="DengXian" w:hAnsi="Times New Roman" w:cs="Times New Roman"/>
                <w:sz w:val="24"/>
                <w:szCs w:val="24"/>
              </w:rPr>
              <w:t xml:space="preserve">The </w:t>
            </w:r>
            <w:r w:rsidRPr="00C5780D">
              <w:rPr>
                <w:rFonts w:ascii="Times New Roman" w:hAnsi="Times New Roman" w:cs="Times New Roman"/>
                <w:sz w:val="24"/>
                <w:szCs w:val="24"/>
                <w:lang w:eastAsia="ko-KR"/>
              </w:rPr>
              <w:t xml:space="preserve">PRACH occasions </w:t>
            </w:r>
            <w:r w:rsidRPr="00C5780D">
              <w:rPr>
                <w:rFonts w:ascii="Times New Roman" w:eastAsia="DengXian" w:hAnsi="Times New Roman" w:cs="Times New Roman"/>
                <w:sz w:val="24"/>
                <w:szCs w:val="24"/>
              </w:rPr>
              <w:t xml:space="preserve">configured by </w:t>
            </w:r>
            <w:proofErr w:type="spellStart"/>
            <w:r w:rsidRPr="00C5780D">
              <w:rPr>
                <w:rFonts w:ascii="Times New Roman" w:hAnsi="Times New Roman" w:cs="Times New Roman"/>
                <w:i/>
                <w:iCs/>
                <w:sz w:val="24"/>
                <w:szCs w:val="24"/>
              </w:rPr>
              <w:t>addl</w:t>
            </w:r>
            <w:proofErr w:type="spellEnd"/>
            <w:r w:rsidRPr="00C5780D">
              <w:rPr>
                <w:rFonts w:ascii="Times New Roman" w:hAnsi="Times New Roman" w:cs="Times New Roman"/>
                <w:i/>
                <w:iCs/>
                <w:sz w:val="24"/>
                <w:szCs w:val="24"/>
              </w:rPr>
              <w:t>-RACH-Config-Adaptation</w:t>
            </w:r>
            <w:r w:rsidRPr="00C5780D">
              <w:rPr>
                <w:rFonts w:ascii="Times New Roman" w:eastAsia="DengXian" w:hAnsi="Times New Roman" w:cs="Times New Roman"/>
                <w:sz w:val="24"/>
                <w:szCs w:val="24"/>
              </w:rPr>
              <w:t xml:space="preserve"> in the </w:t>
            </w:r>
            <w:r w:rsidRPr="00C5780D">
              <w:rPr>
                <w:rFonts w:ascii="Times New Roman" w:hAnsi="Times New Roman" w:cs="Times New Roman"/>
                <w:sz w:val="24"/>
                <w:szCs w:val="24"/>
              </w:rPr>
              <w:t>RACH-ConfigCommon</w:t>
            </w:r>
            <w:r w:rsidRPr="00C5780D">
              <w:rPr>
                <w:rFonts w:ascii="Times New Roman" w:eastAsia="DengXian" w:hAnsi="Times New Roman" w:cs="Times New Roman"/>
                <w:sz w:val="24"/>
                <w:szCs w:val="24"/>
              </w:rPr>
              <w:t xml:space="preserve"> of selected random access resource set is appli</w:t>
            </w:r>
            <w:r w:rsidRPr="00C5780D">
              <w:rPr>
                <w:rFonts w:ascii="Times New Roman" w:eastAsia="DengXian" w:hAnsi="Times New Roman" w:cs="Times New Roman"/>
                <w:sz w:val="24"/>
                <w:szCs w:val="24"/>
              </w:rPr>
              <w:t>cable</w:t>
            </w:r>
            <w:r w:rsidRPr="00C5780D">
              <w:rPr>
                <w:rFonts w:ascii="Times New Roman" w:eastAsia="DengXian" w:hAnsi="Times New Roman" w:cs="Times New Roman"/>
                <w:sz w:val="24"/>
                <w:szCs w:val="24"/>
              </w:rPr>
              <w:t xml:space="preserve"> for PRACH transmission</w:t>
            </w:r>
            <w:r w:rsidRPr="00C5780D">
              <w:rPr>
                <w:rFonts w:ascii="Times New Roman" w:eastAsia="DengXian" w:hAnsi="Times New Roman" w:cs="Times New Roman"/>
                <w:sz w:val="24"/>
                <w:szCs w:val="24"/>
              </w:rPr>
              <w:t>, if available (as specified in TS 38.213/38.212)</w:t>
            </w:r>
            <w:r w:rsidR="00C5780D">
              <w:rPr>
                <w:rFonts w:ascii="Times New Roman" w:eastAsia="DengXian" w:hAnsi="Times New Roman" w:cs="Times New Roman"/>
                <w:sz w:val="24"/>
                <w:szCs w:val="24"/>
              </w:rPr>
              <w:t>.</w:t>
            </w:r>
          </w:p>
        </w:tc>
        <w:tc>
          <w:tcPr>
            <w:tcW w:w="2683" w:type="dxa"/>
            <w:shd w:val="clear" w:color="auto" w:fill="auto"/>
          </w:tcPr>
          <w:p w14:paraId="59D60EBC" w14:textId="5B7089DC" w:rsidR="006A22C5" w:rsidRDefault="006A22C5" w:rsidP="00C86385">
            <w:pPr>
              <w:overflowPunct w:val="0"/>
              <w:autoSpaceDE w:val="0"/>
              <w:autoSpaceDN w:val="0"/>
              <w:adjustRightInd w:val="0"/>
              <w:textAlignment w:val="baseline"/>
              <w:rPr>
                <w:rFonts w:ascii="Arial" w:eastAsia="DengXian" w:hAnsi="Arial" w:cs="Arial"/>
                <w:color w:val="00B0F0"/>
                <w:lang w:eastAsia="zh-CN"/>
              </w:rPr>
            </w:pPr>
          </w:p>
        </w:tc>
      </w:tr>
      <w:tr w:rsidR="00C5780D" w14:paraId="58B7233A" w14:textId="77777777" w:rsidTr="00C86385">
        <w:tc>
          <w:tcPr>
            <w:tcW w:w="1354" w:type="dxa"/>
            <w:shd w:val="clear" w:color="auto" w:fill="auto"/>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003</w:t>
            </w:r>
          </w:p>
        </w:tc>
        <w:tc>
          <w:tcPr>
            <w:tcW w:w="5592" w:type="dxa"/>
            <w:shd w:val="clear" w:color="auto" w:fill="auto"/>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w:t>
            </w:r>
            <w:bookmarkStart w:id="3" w:name="_GoBack"/>
            <w:bookmarkEnd w:id="3"/>
            <w:r w:rsidRPr="002032B8">
              <w:rPr>
                <w:kern w:val="2"/>
                <w:lang w:val="en-US" w:eastAsia="ko-KR"/>
                <w14:ligatures w14:val="standardContextual"/>
              </w:rPr>
              <w:t>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CommentText"/>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2683" w:type="dxa"/>
            <w:shd w:val="clear" w:color="auto" w:fill="auto"/>
          </w:tcPr>
          <w:p w14:paraId="031F095F" w14:textId="77777777" w:rsidR="00C5780D" w:rsidRDefault="00C5780D" w:rsidP="00C86385">
            <w:pPr>
              <w:overflowPunct w:val="0"/>
              <w:autoSpaceDE w:val="0"/>
              <w:autoSpaceDN w:val="0"/>
              <w:adjustRightInd w:val="0"/>
              <w:textAlignment w:val="baseline"/>
              <w:rPr>
                <w:rFonts w:ascii="Arial" w:eastAsia="DengXian" w:hAnsi="Arial" w:cs="Arial"/>
                <w:color w:val="00B0F0"/>
                <w:lang w:eastAsia="zh-CN"/>
              </w:rPr>
            </w:pPr>
          </w:p>
        </w:tc>
      </w:tr>
      <w:tr w:rsidR="00C5780D" w14:paraId="1A663DD6" w14:textId="77777777" w:rsidTr="00C86385">
        <w:tc>
          <w:tcPr>
            <w:tcW w:w="1354" w:type="dxa"/>
            <w:shd w:val="clear" w:color="auto" w:fill="auto"/>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w:t>
            </w:r>
            <w:r>
              <w:rPr>
                <w:rFonts w:ascii="Arial" w:hAnsi="Arial" w:cs="Arial"/>
                <w:color w:val="000000"/>
                <w:lang w:val="en-US" w:eastAsia="zh-CN"/>
              </w:rPr>
              <w:t>4</w:t>
            </w:r>
          </w:p>
        </w:tc>
        <w:tc>
          <w:tcPr>
            <w:tcW w:w="5592" w:type="dxa"/>
            <w:shd w:val="clear" w:color="auto" w:fill="auto"/>
          </w:tcPr>
          <w:p w14:paraId="61EE4EFF" w14:textId="401A87E1" w:rsidR="00C5780D" w:rsidRPr="002032B8" w:rsidRDefault="00C5780D" w:rsidP="00C5780D">
            <w:pPr>
              <w:ind w:left="568" w:hanging="284"/>
              <w:rPr>
                <w:kern w:val="2"/>
                <w:lang w:val="en-US" w:eastAsia="ko-KR"/>
                <w14:ligatures w14:val="standardContextual"/>
              </w:rPr>
            </w:pPr>
            <w:r>
              <w:t>Oct 2 should also be marked as optional in figure</w:t>
            </w:r>
            <w:r>
              <w:t xml:space="preserve"> </w:t>
            </w:r>
            <w:r w:rsidRPr="002032B8">
              <w:rPr>
                <w:rFonts w:ascii="Arial" w:hAnsi="Arial" w:cs="Arial"/>
                <w:b/>
                <w:noProof/>
                <w:kern w:val="2"/>
                <w:lang w:val="en-US" w:eastAsia="ko-KR"/>
                <w14:ligatures w14:val="standardContextual"/>
              </w:rPr>
              <w:t>6.1.3.x-1</w:t>
            </w:r>
          </w:p>
        </w:tc>
        <w:tc>
          <w:tcPr>
            <w:tcW w:w="2683" w:type="dxa"/>
            <w:shd w:val="clear" w:color="auto" w:fill="auto"/>
          </w:tcPr>
          <w:p w14:paraId="0E597EE8" w14:textId="77777777" w:rsidR="00C5780D" w:rsidRDefault="00C5780D" w:rsidP="00C86385">
            <w:pPr>
              <w:overflowPunct w:val="0"/>
              <w:autoSpaceDE w:val="0"/>
              <w:autoSpaceDN w:val="0"/>
              <w:adjustRightInd w:val="0"/>
              <w:textAlignment w:val="baseline"/>
              <w:rPr>
                <w:rFonts w:ascii="Arial" w:eastAsia="DengXian" w:hAnsi="Arial" w:cs="Arial"/>
                <w:color w:val="00B0F0"/>
                <w:lang w:eastAsia="zh-CN"/>
              </w:rPr>
            </w:pPr>
          </w:p>
        </w:tc>
      </w:tr>
      <w:tr w:rsidR="00C5780D" w14:paraId="673CD928" w14:textId="77777777" w:rsidTr="00C86385">
        <w:tc>
          <w:tcPr>
            <w:tcW w:w="1354" w:type="dxa"/>
            <w:shd w:val="clear" w:color="auto" w:fill="auto"/>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w:t>
            </w:r>
            <w:r>
              <w:rPr>
                <w:rFonts w:ascii="Arial" w:hAnsi="Arial" w:cs="Arial"/>
                <w:color w:val="000000"/>
                <w:lang w:val="en-US" w:eastAsia="zh-CN"/>
              </w:rPr>
              <w:t>5</w:t>
            </w:r>
          </w:p>
        </w:tc>
        <w:tc>
          <w:tcPr>
            <w:tcW w:w="5592" w:type="dxa"/>
            <w:shd w:val="clear" w:color="auto" w:fill="auto"/>
          </w:tcPr>
          <w:p w14:paraId="21D090CD" w14:textId="00A12A50" w:rsidR="00C5780D" w:rsidRDefault="00C5780D" w:rsidP="00C5780D">
            <w:pPr>
              <w:ind w:left="568" w:hanging="284"/>
            </w:pPr>
            <w:r>
              <w:t>Oct 5 should also be marked as optional in figure</w:t>
            </w:r>
            <w:r>
              <w:t xml:space="preserve"> </w:t>
            </w:r>
            <w:r w:rsidRPr="002032B8">
              <w:rPr>
                <w:rFonts w:ascii="Arial" w:hAnsi="Arial" w:cs="Arial"/>
                <w:b/>
                <w:noProof/>
                <w:kern w:val="2"/>
                <w:lang w:val="en-US" w:eastAsia="ko-KR"/>
                <w14:ligatures w14:val="standardContextual"/>
              </w:rPr>
              <w:t>6.1.3.x-2</w:t>
            </w:r>
          </w:p>
        </w:tc>
        <w:tc>
          <w:tcPr>
            <w:tcW w:w="2683" w:type="dxa"/>
            <w:shd w:val="clear" w:color="auto" w:fill="auto"/>
          </w:tcPr>
          <w:p w14:paraId="594FD8CB" w14:textId="77777777" w:rsidR="00C5780D" w:rsidRDefault="00C5780D" w:rsidP="00C86385">
            <w:pPr>
              <w:overflowPunct w:val="0"/>
              <w:autoSpaceDE w:val="0"/>
              <w:autoSpaceDN w:val="0"/>
              <w:adjustRightInd w:val="0"/>
              <w:textAlignment w:val="baseline"/>
              <w:rPr>
                <w:rFonts w:ascii="Arial" w:eastAsia="DengXian" w:hAnsi="Arial" w:cs="Arial"/>
                <w:color w:val="00B0F0"/>
                <w:lang w:eastAsia="zh-CN"/>
              </w:rPr>
            </w:pPr>
          </w:p>
        </w:tc>
      </w:tr>
      <w:tr w:rsidR="00C5780D" w14:paraId="708E893D" w14:textId="77777777" w:rsidTr="00C86385">
        <w:tc>
          <w:tcPr>
            <w:tcW w:w="1354" w:type="dxa"/>
            <w:shd w:val="clear" w:color="auto" w:fill="auto"/>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5592" w:type="dxa"/>
            <w:shd w:val="clear" w:color="auto" w:fill="auto"/>
          </w:tcPr>
          <w:p w14:paraId="63E2161B" w14:textId="77777777" w:rsidR="00C5780D" w:rsidRDefault="00C5780D" w:rsidP="00C5780D">
            <w:r w:rsidRPr="00F84393">
              <w:t xml:space="preserve">Editor’s note: the size of </w:t>
            </w:r>
            <w:r>
              <w:t xml:space="preserve">OD-SSB </w:t>
            </w:r>
            <w:proofErr w:type="spellStart"/>
            <w:r w:rsidRPr="00F84393">
              <w:t>ConfigIndex</w:t>
            </w:r>
            <w:r w:rsidRPr="00C5780D">
              <w:rPr>
                <w:highlight w:val="yellow"/>
              </w:rPr>
              <w:t>i</w:t>
            </w:r>
            <w:proofErr w:type="spellEnd"/>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CommentText"/>
            </w:pPr>
            <w:r>
              <w:t>Wrong format. Use subscript.</w:t>
            </w:r>
          </w:p>
        </w:tc>
        <w:tc>
          <w:tcPr>
            <w:tcW w:w="2683" w:type="dxa"/>
            <w:shd w:val="clear" w:color="auto" w:fill="auto"/>
          </w:tcPr>
          <w:p w14:paraId="22E97086" w14:textId="77777777" w:rsidR="00C5780D" w:rsidRDefault="00C5780D" w:rsidP="00C86385">
            <w:pPr>
              <w:overflowPunct w:val="0"/>
              <w:autoSpaceDE w:val="0"/>
              <w:autoSpaceDN w:val="0"/>
              <w:adjustRightInd w:val="0"/>
              <w:textAlignment w:val="baseline"/>
              <w:rPr>
                <w:rFonts w:ascii="Arial" w:eastAsia="DengXian"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ListParagraph"/>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lastRenderedPageBreak/>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For explicit activation/deactivation, the OD-SSB MAC-CE includes fixed sized bitmap to indicate whether OD-SSB is activated in each SCell (i.e., similar to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od-ssb-Periodicity, od-ssb-PositionsInBurst and od-ssb-nrofBurst.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The OD-SSB MAC CE is a variable size MAC CE. For each activated OD-SSB SCell,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lastRenderedPageBreak/>
        <w:t>When UE receives MAC CE with Cj bit set to 0 for an SCell for which OD-SSB is currently activated: OD-SSB is deactivated for the jth SCell, irrespective of whether od-ssb-nrofBurst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SCell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The UE starts L3 measurement towards the activated OD-SSB based on configured servingCellMO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Msg 3. FFS if / when the UE monitors the OD-SIB1 upon reception of RAR. </w:t>
      </w:r>
      <w:proofErr w:type="gramStart"/>
      <w:r w:rsidRPr="00576A39">
        <w:rPr>
          <w:rFonts w:eastAsia="Times New Roman"/>
          <w:highlight w:val="cyan"/>
        </w:rPr>
        <w:t>FFS:T</w:t>
      </w:r>
      <w:proofErr w:type="gramEnd"/>
      <w:r w:rsidRPr="00576A39">
        <w:rPr>
          <w:rFonts w:eastAsia="Times New Roman"/>
          <w:highlight w:val="cyan"/>
        </w:rPr>
        <w:t xml:space="preserve">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RRC release message assisted intra-cell WUS can be discussed as option of signaling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lastRenderedPageBreak/>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Legacy UEs bar the OD-SIB1 cell based on cellBarred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2: Legacy UEs bar the OD-SIB1 cell based on no SIB1 indication via ssb-SubcarrierOffset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lastRenderedPageBreak/>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The legacy UE behaviour can be reused upon on-demand SIB1 acquisition failure, i.e., the NES UE should follow the intraFreqReselection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Legacy UEs bar the OD-SIB1 cell based on no SIB1 indication in MIB e.g. via ssb-SubcarrierOffset.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Let’s wait for more RAN1 progress on Kssb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Introduce new IntraFreqExcludedCellList-NES / InterFreqExcludedCellList-NES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signaling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lastRenderedPageBreak/>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r w:rsidRPr="00576A39">
        <w:rPr>
          <w:rFonts w:eastAsia="Times New Roman"/>
          <w:highlight w:val="cyan"/>
        </w:rPr>
        <w:t>behavior</w:t>
      </w:r>
      <w:proofErr w:type="spell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The UL WUS configuration includes the IE totalNumberOfRA-Preambles.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lastRenderedPageBreak/>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 xml:space="preserve">R2 observe that the option-a) and option-b) can be designed to configure the </w:t>
      </w:r>
      <w:proofErr w:type="gramStart"/>
      <w:r w:rsidRPr="00576A39">
        <w:rPr>
          <w:rFonts w:eastAsia="Times New Roman"/>
          <w:highlight w:val="cyan"/>
        </w:rPr>
        <w:t>PO:s</w:t>
      </w:r>
      <w:proofErr w:type="gramEnd"/>
      <w:r w:rsidRPr="00576A39">
        <w:rPr>
          <w:rFonts w:eastAsia="Times New Roman"/>
          <w:highlight w:val="cyan"/>
        </w:rPr>
        <w:t xml:space="preserve">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R2 should aim at signaling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UE-RadioPagingInfo.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576A39">
        <w:rPr>
          <w:rFonts w:eastAsia="Times New Roman"/>
          <w:highlight w:val="lightGray"/>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RACH partitioning with all the features, i.e. RedCap,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lastRenderedPageBreak/>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CB-PreamblesPerSSB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No need to extend the RA-RNTI space for additional PRACH occasions, i.e. no RAN2 impact for RA-RNTI calculation. RAN2 assumes that f_id for the additional PRACH resources is reinterpreted as the index of the PRACH occasion in the frequency domain plus the number of FDMed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576A39" w:rsidRDefault="00576A39" w:rsidP="00576A39">
      <w:pPr>
        <w:rPr>
          <w:rFonts w:eastAsia="Times New Roman"/>
        </w:rPr>
      </w:pPr>
      <w:r w:rsidRPr="00576A39">
        <w:rPr>
          <w:rFonts w:eastAsia="Times New Roman"/>
          <w:highlight w:val="cyan"/>
        </w:rPr>
        <w:t>RACH adaptation is not applied to the following cases (for non-serving cell case): 1) PDCCH order for additional RACH; 2)</w:t>
      </w:r>
      <w:r w:rsidRPr="00576A39">
        <w:rPr>
          <w:rFonts w:eastAsia="Times New Roman"/>
          <w:highlight w:val="cyan"/>
        </w:rPr>
        <w:tab/>
        <w:t>L3 HO command. 3)</w:t>
      </w:r>
      <w:r w:rsidRPr="00576A39">
        <w:rPr>
          <w:rFonts w:eastAsia="Times New Roman"/>
          <w:highlight w:val="cyan"/>
        </w:rPr>
        <w:tab/>
        <w:t>LTM CSC MAC-CE; 4) PDCCH order for LTM early UL sync;</w:t>
      </w:r>
    </w:p>
    <w:p w14:paraId="239C6BD2" w14:textId="77777777" w:rsidR="00576A39" w:rsidRPr="00576A39" w:rsidRDefault="00576A39" w:rsidP="00576A39">
      <w:pPr>
        <w:rPr>
          <w:rFonts w:eastAsia="Times New Roman"/>
          <w:highlight w:val="cyan"/>
        </w:rPr>
      </w:pPr>
      <w:r w:rsidRPr="00576A39">
        <w:rPr>
          <w:rFonts w:eastAsia="Times New Roman"/>
          <w:highlight w:val="cya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C6DE0" w14:textId="77777777" w:rsidR="00906B1F" w:rsidRDefault="00906B1F">
      <w:pPr>
        <w:spacing w:after="0"/>
      </w:pPr>
      <w:r>
        <w:separator/>
      </w:r>
    </w:p>
  </w:endnote>
  <w:endnote w:type="continuationSeparator" w:id="0">
    <w:p w14:paraId="013B469D" w14:textId="77777777" w:rsidR="00906B1F" w:rsidRDefault="00906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F64C" w14:textId="77777777" w:rsidR="00906B1F" w:rsidRDefault="00906B1F">
      <w:pPr>
        <w:spacing w:after="0"/>
      </w:pPr>
      <w:r>
        <w:separator/>
      </w:r>
    </w:p>
  </w:footnote>
  <w:footnote w:type="continuationSeparator" w:id="0">
    <w:p w14:paraId="3B88D196" w14:textId="77777777" w:rsidR="00906B1F" w:rsidRDefault="00906B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5"/>
  </w:num>
  <w:num w:numId="2">
    <w:abstractNumId w:val="9"/>
  </w:num>
  <w:num w:numId="3">
    <w:abstractNumId w:val="23"/>
  </w:num>
  <w:num w:numId="4">
    <w:abstractNumId w:val="15"/>
  </w:num>
  <w:num w:numId="5">
    <w:abstractNumId w:val="14"/>
  </w:num>
  <w:num w:numId="6">
    <w:abstractNumId w:val="13"/>
  </w:num>
  <w:num w:numId="7">
    <w:abstractNumId w:val="6"/>
  </w:num>
  <w:num w:numId="8">
    <w:abstractNumId w:val="22"/>
  </w:num>
  <w:num w:numId="9">
    <w:abstractNumId w:val="17"/>
  </w:num>
  <w:num w:numId="10">
    <w:abstractNumId w:val="12"/>
  </w:num>
  <w:num w:numId="11">
    <w:abstractNumId w:val="24"/>
  </w:num>
  <w:num w:numId="12">
    <w:abstractNumId w:val="8"/>
  </w:num>
  <w:num w:numId="13">
    <w:abstractNumId w:val="19"/>
  </w:num>
  <w:num w:numId="14">
    <w:abstractNumId w:val="11"/>
  </w:num>
  <w:num w:numId="15">
    <w:abstractNumId w:val="20"/>
  </w:num>
  <w:num w:numId="16">
    <w:abstractNumId w:val="16"/>
  </w:num>
  <w:num w:numId="17">
    <w:abstractNumId w:val="10"/>
  </w:num>
  <w:num w:numId="18">
    <w:abstractNumId w:val="3"/>
  </w:num>
  <w:num w:numId="19">
    <w:abstractNumId w:val="2"/>
  </w:num>
  <w:num w:numId="20">
    <w:abstractNumId w:val="1"/>
  </w:num>
  <w:num w:numId="21">
    <w:abstractNumId w:val="0"/>
  </w:num>
  <w:num w:numId="22">
    <w:abstractNumId w:val="4"/>
  </w:num>
  <w:num w:numId="23">
    <w:abstractNumId w:val="21"/>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030"/>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801C3"/>
    <w:rsid w:val="00380304"/>
    <w:rsid w:val="00380C0E"/>
    <w:rsid w:val="00380E43"/>
    <w:rsid w:val="0038131E"/>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3FFF"/>
    <w:rsid w:val="00574BD3"/>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0F02"/>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8.xml><?xml version="1.0" encoding="utf-8"?>
<ds:datastoreItem xmlns:ds="http://schemas.openxmlformats.org/officeDocument/2006/customXml" ds:itemID="{20608F93-7728-40AC-8B6A-AF718FE6E23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79</TotalTime>
  <Pages>10</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(Anil)</cp:lastModifiedBy>
  <cp:revision>4</cp:revision>
  <dcterms:created xsi:type="dcterms:W3CDTF">2025-07-16T18:49:00Z</dcterms:created>
  <dcterms:modified xsi:type="dcterms:W3CDTF">2025-07-17T15:18:00Z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