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[POST129][037][AI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Heading1"/>
      </w:pPr>
      <w:r>
        <w:t>Introduction</w:t>
      </w:r>
    </w:p>
    <w:p w14:paraId="21C1D881" w14:textId="77777777" w:rsidR="003E2360" w:rsidRDefault="00D87BED">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[POST130][037][AI PHY] UE candidate data collection (Xiaomi/Ericsson)</w:t>
      </w:r>
    </w:p>
    <w:p w14:paraId="01C19FCB" w14:textId="77777777"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宋体"/>
                <w:lang w:eastAsia="zh-CN"/>
              </w:rPr>
            </w:pPr>
            <w:r>
              <w:rPr>
                <w:rFonts w:eastAsia="宋体"/>
                <w:lang w:eastAsia="zh-CN"/>
              </w:rPr>
              <w:t>Nokia</w:t>
            </w:r>
          </w:p>
        </w:tc>
        <w:tc>
          <w:tcPr>
            <w:tcW w:w="2389" w:type="dxa"/>
          </w:tcPr>
          <w:p w14:paraId="54DB1294" w14:textId="77777777" w:rsidR="003E2360" w:rsidRDefault="00D87BED">
            <w:pPr>
              <w:spacing w:after="0"/>
              <w:rPr>
                <w:rFonts w:eastAsia="宋体"/>
                <w:lang w:eastAsia="zh-CN"/>
              </w:rPr>
            </w:pPr>
            <w:r>
              <w:rPr>
                <w:rFonts w:eastAsia="宋体"/>
                <w:lang w:eastAsia="zh-CN"/>
              </w:rPr>
              <w:t>Gy</w:t>
            </w:r>
            <w:r>
              <w:rPr>
                <w:rFonts w:eastAsia="宋体"/>
                <w:lang w:val="hu-HU" w:eastAsia="zh-CN"/>
              </w:rPr>
              <w:t>ö</w:t>
            </w:r>
            <w:r>
              <w:rPr>
                <w:rFonts w:eastAsia="宋体"/>
                <w:lang w:eastAsia="zh-CN"/>
              </w:rPr>
              <w:t>rgy Wolfner</w:t>
            </w:r>
          </w:p>
        </w:tc>
        <w:tc>
          <w:tcPr>
            <w:tcW w:w="4466" w:type="dxa"/>
          </w:tcPr>
          <w:p w14:paraId="7364AAC7" w14:textId="77777777" w:rsidR="003E2360" w:rsidRDefault="00D87BED">
            <w:pPr>
              <w:spacing w:after="0"/>
              <w:rPr>
                <w:rFonts w:eastAsia="宋体"/>
                <w:lang w:eastAsia="zh-CN"/>
              </w:rPr>
            </w:pPr>
            <w:r>
              <w:rPr>
                <w:rFonts w:eastAsia="宋体"/>
                <w:lang w:eastAsia="zh-CN"/>
              </w:rPr>
              <w:t>gyorgy.wolfner@nokia.com</w:t>
            </w:r>
          </w:p>
        </w:tc>
      </w:tr>
      <w:tr w:rsidR="003E2360" w14:paraId="59D5705C" w14:textId="77777777">
        <w:tc>
          <w:tcPr>
            <w:tcW w:w="2161" w:type="dxa"/>
          </w:tcPr>
          <w:p w14:paraId="155A49FD" w14:textId="77777777" w:rsidR="003E2360" w:rsidRDefault="00D87BED">
            <w:pPr>
              <w:spacing w:after="0"/>
              <w:rPr>
                <w:rFonts w:eastAsia="宋体"/>
                <w:lang w:eastAsia="zh-CN"/>
              </w:rPr>
            </w:pPr>
            <w:r>
              <w:rPr>
                <w:rFonts w:eastAsia="宋体"/>
                <w:lang w:eastAsia="zh-CN"/>
              </w:rPr>
              <w:t>Qualcomm</w:t>
            </w:r>
          </w:p>
        </w:tc>
        <w:tc>
          <w:tcPr>
            <w:tcW w:w="2389" w:type="dxa"/>
          </w:tcPr>
          <w:p w14:paraId="43D52F93" w14:textId="77777777" w:rsidR="003E2360" w:rsidRDefault="00D87BED">
            <w:pPr>
              <w:spacing w:after="0"/>
              <w:rPr>
                <w:rFonts w:eastAsia="宋体"/>
                <w:lang w:eastAsia="zh-CN"/>
              </w:rPr>
            </w:pPr>
            <w:r>
              <w:rPr>
                <w:rFonts w:eastAsia="宋体"/>
                <w:lang w:eastAsia="zh-CN"/>
              </w:rPr>
              <w:t>Rajeev Kumar</w:t>
            </w:r>
          </w:p>
        </w:tc>
        <w:tc>
          <w:tcPr>
            <w:tcW w:w="4466" w:type="dxa"/>
          </w:tcPr>
          <w:p w14:paraId="648EEAE0" w14:textId="77777777" w:rsidR="003E2360" w:rsidRDefault="00D87BED">
            <w:pPr>
              <w:spacing w:after="0"/>
              <w:rPr>
                <w:rFonts w:eastAsia="宋体"/>
                <w:lang w:eastAsia="zh-CN"/>
              </w:rPr>
            </w:pPr>
            <w:r>
              <w:rPr>
                <w:rFonts w:eastAsia="宋体"/>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Apple</w:t>
            </w:r>
          </w:p>
        </w:tc>
        <w:tc>
          <w:tcPr>
            <w:tcW w:w="2389" w:type="dxa"/>
          </w:tcPr>
          <w:p w14:paraId="169F477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宋体"/>
                <w:lang w:val="en-US" w:eastAsia="zh-CN"/>
              </w:rPr>
            </w:pPr>
            <w:r>
              <w:rPr>
                <w:rFonts w:eastAsia="宋体" w:hint="eastAsia"/>
                <w:lang w:val="en-US" w:eastAsia="zh-CN"/>
              </w:rPr>
              <w:t>ZTE</w:t>
            </w:r>
          </w:p>
        </w:tc>
        <w:tc>
          <w:tcPr>
            <w:tcW w:w="2389" w:type="dxa"/>
          </w:tcPr>
          <w:p w14:paraId="20B3F90D" w14:textId="77777777" w:rsidR="003E2360" w:rsidRDefault="00D87BED">
            <w:pPr>
              <w:spacing w:after="0"/>
              <w:rPr>
                <w:rFonts w:eastAsia="宋体"/>
                <w:lang w:val="en-US" w:eastAsia="zh-CN"/>
              </w:rPr>
            </w:pPr>
            <w:r>
              <w:rPr>
                <w:rFonts w:eastAsia="宋体" w:hint="eastAsia"/>
                <w:lang w:val="en-US" w:eastAsia="zh-CN"/>
              </w:rPr>
              <w:t>Fei dong</w:t>
            </w:r>
          </w:p>
        </w:tc>
        <w:tc>
          <w:tcPr>
            <w:tcW w:w="4466" w:type="dxa"/>
          </w:tcPr>
          <w:p w14:paraId="336625D7" w14:textId="77777777" w:rsidR="003E2360" w:rsidRDefault="00D87BED">
            <w:pPr>
              <w:spacing w:after="0"/>
              <w:rPr>
                <w:rFonts w:eastAsia="宋体"/>
                <w:lang w:val="en-US" w:eastAsia="zh-CN"/>
              </w:rPr>
            </w:pPr>
            <w:r>
              <w:rPr>
                <w:rFonts w:eastAsia="宋体"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宋体"/>
                <w:lang w:eastAsia="zh-CN"/>
              </w:rPr>
            </w:pPr>
            <w:r>
              <w:rPr>
                <w:rFonts w:eastAsia="宋体" w:hint="eastAsia"/>
                <w:lang w:eastAsia="zh-CN"/>
              </w:rPr>
              <w:t>H</w:t>
            </w:r>
            <w:r>
              <w:rPr>
                <w:rFonts w:eastAsia="宋体"/>
                <w:lang w:eastAsia="zh-CN"/>
              </w:rPr>
              <w:t>uawei, HiSilicon</w:t>
            </w:r>
          </w:p>
        </w:tc>
        <w:tc>
          <w:tcPr>
            <w:tcW w:w="2389" w:type="dxa"/>
          </w:tcPr>
          <w:p w14:paraId="3FC91877" w14:textId="77777777" w:rsidR="003E2360" w:rsidRDefault="00254581">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0BC5E9B" w14:textId="77777777" w:rsidR="003E2360" w:rsidRDefault="00254581">
            <w:pPr>
              <w:spacing w:after="0"/>
              <w:rPr>
                <w:rFonts w:eastAsia="宋体"/>
                <w:lang w:eastAsia="zh-CN"/>
              </w:rPr>
            </w:pPr>
            <w:r>
              <w:rPr>
                <w:rFonts w:eastAsia="宋体" w:hint="eastAsia"/>
                <w:lang w:eastAsia="zh-CN"/>
              </w:rPr>
              <w:t>j</w:t>
            </w:r>
            <w:r>
              <w:rPr>
                <w:rFonts w:eastAsia="宋体"/>
                <w:lang w:eastAsia="zh-CN"/>
              </w:rPr>
              <w:t>un.chen@huawei.com</w:t>
            </w:r>
          </w:p>
        </w:tc>
      </w:tr>
      <w:tr w:rsidR="003E2360" w14:paraId="3291103E" w14:textId="77777777">
        <w:tc>
          <w:tcPr>
            <w:tcW w:w="2161" w:type="dxa"/>
          </w:tcPr>
          <w:p w14:paraId="3533065D" w14:textId="27640B83" w:rsidR="003E2360" w:rsidRDefault="00A17ACF">
            <w:pPr>
              <w:spacing w:after="0"/>
              <w:rPr>
                <w:rFonts w:eastAsia="宋体" w:hint="eastAsia"/>
                <w:lang w:eastAsia="zh-CN"/>
              </w:rPr>
            </w:pPr>
            <w:r>
              <w:rPr>
                <w:rFonts w:eastAsia="宋体" w:hint="eastAsia"/>
                <w:lang w:eastAsia="zh-CN"/>
              </w:rPr>
              <w:t>X</w:t>
            </w:r>
            <w:r>
              <w:rPr>
                <w:rFonts w:eastAsia="宋体"/>
                <w:lang w:eastAsia="zh-CN"/>
              </w:rPr>
              <w:t>iaomi</w:t>
            </w:r>
          </w:p>
        </w:tc>
        <w:tc>
          <w:tcPr>
            <w:tcW w:w="2389" w:type="dxa"/>
          </w:tcPr>
          <w:p w14:paraId="0187E80B" w14:textId="272AA3F9" w:rsidR="003E2360" w:rsidRDefault="00A17ACF">
            <w:pPr>
              <w:spacing w:after="0"/>
              <w:rPr>
                <w:rFonts w:eastAsia="宋体"/>
                <w:lang w:eastAsia="zh-CN"/>
              </w:rPr>
            </w:pPr>
            <w:r>
              <w:rPr>
                <w:rFonts w:eastAsia="宋体" w:hint="eastAsia"/>
                <w:lang w:eastAsia="zh-CN"/>
              </w:rPr>
              <w:t>Z</w:t>
            </w:r>
            <w:r>
              <w:rPr>
                <w:rFonts w:eastAsia="宋体"/>
                <w:lang w:eastAsia="zh-CN"/>
              </w:rPr>
              <w:t>iyi</w:t>
            </w:r>
          </w:p>
        </w:tc>
        <w:tc>
          <w:tcPr>
            <w:tcW w:w="4466" w:type="dxa"/>
          </w:tcPr>
          <w:p w14:paraId="55DDA1B2" w14:textId="6482F0B2" w:rsidR="003E2360" w:rsidRDefault="00A17ACF">
            <w:pPr>
              <w:spacing w:after="0"/>
              <w:rPr>
                <w:rFonts w:eastAsia="宋体"/>
                <w:lang w:eastAsia="zh-CN"/>
              </w:rPr>
            </w:pPr>
            <w:r>
              <w:rPr>
                <w:rFonts w:eastAsia="宋体"/>
                <w:lang w:eastAsia="zh-CN"/>
              </w:rPr>
              <w:t>Liziyi5@xiaomi.com</w:t>
            </w:r>
          </w:p>
        </w:tc>
      </w:tr>
      <w:tr w:rsidR="003E2360" w14:paraId="692C1CC4" w14:textId="77777777">
        <w:tc>
          <w:tcPr>
            <w:tcW w:w="2161" w:type="dxa"/>
          </w:tcPr>
          <w:p w14:paraId="0228F305" w14:textId="77777777" w:rsidR="003E2360" w:rsidRDefault="003E2360">
            <w:pPr>
              <w:spacing w:after="0"/>
              <w:rPr>
                <w:rFonts w:eastAsia="宋体"/>
                <w:lang w:eastAsia="zh-CN"/>
              </w:rPr>
            </w:pPr>
          </w:p>
        </w:tc>
        <w:tc>
          <w:tcPr>
            <w:tcW w:w="2389" w:type="dxa"/>
          </w:tcPr>
          <w:p w14:paraId="77FFA7C8" w14:textId="77777777" w:rsidR="003E2360" w:rsidRDefault="003E2360">
            <w:pPr>
              <w:spacing w:after="0"/>
              <w:rPr>
                <w:rFonts w:eastAsia="宋体"/>
                <w:lang w:eastAsia="zh-CN"/>
              </w:rPr>
            </w:pPr>
          </w:p>
        </w:tc>
        <w:tc>
          <w:tcPr>
            <w:tcW w:w="4466" w:type="dxa"/>
          </w:tcPr>
          <w:p w14:paraId="25D4A0DE" w14:textId="77777777" w:rsidR="003E2360" w:rsidRDefault="003E2360">
            <w:pPr>
              <w:spacing w:after="0"/>
              <w:rPr>
                <w:rFonts w:eastAsia="宋体"/>
                <w:lang w:eastAsia="zh-CN"/>
              </w:rPr>
            </w:pPr>
          </w:p>
        </w:tc>
      </w:tr>
    </w:tbl>
    <w:p w14:paraId="5C588D47" w14:textId="77777777" w:rsidR="003E2360" w:rsidRDefault="00D87BED">
      <w:pPr>
        <w:pStyle w:val="Heading1"/>
      </w:pPr>
      <w:r>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lastRenderedPageBreak/>
              <w:t>-</w:t>
            </w:r>
            <w:r>
              <w:rPr>
                <w:lang w:val="en-GB"/>
              </w:rPr>
              <w:tab/>
              <w:t>CSI-ResourceConfigId of Set A</w:t>
            </w:r>
          </w:p>
          <w:p w14:paraId="1C61ECF3" w14:textId="77777777" w:rsidR="003E2360" w:rsidRDefault="00D87BED">
            <w:pPr>
              <w:pStyle w:val="Doc-text2"/>
              <w:ind w:left="726"/>
              <w:rPr>
                <w:lang w:val="en-GB"/>
              </w:rPr>
            </w:pPr>
            <w:r>
              <w:rPr>
                <w:lang w:val="en-GB"/>
              </w:rPr>
              <w:t>-</w:t>
            </w:r>
            <w:r>
              <w:rPr>
                <w:lang w:val="en-GB"/>
              </w:rPr>
              <w:tab/>
              <w:t>CSI-ResourceConfigId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FFS the details of how this is signalled (e.g. CSIReport config or simplified signaling)</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in RAN2 specification. Three example TPs (merged in one document for easy comparison) are provided for different possible signaling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CSI-ReportConfig</w:t>
      </w:r>
      <w:r>
        <w:rPr>
          <w:rFonts w:eastAsiaTheme="minorEastAsia"/>
          <w:lang w:eastAsia="zh-CN"/>
        </w:rPr>
        <w:t xml:space="preserve"> or simplified signaling) are intended to use RRC signaling to provide candidate UE data collection configuration(s) towards UE, it is straightforward to capture the corresponding UE behavior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Heading5"/>
        <w:ind w:left="0" w:firstLine="0"/>
      </w:pPr>
      <w:r>
        <w:t>Q1.  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 xml:space="preserve">    dataCollectionPreferredConfiguration-r19 DataCollectionPreferredConfiguration-r19</w:t>
            </w:r>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signaled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be located in different radio condition area, or moving in different speed, or served by different gNB with different beam pattern (e.g. different associated IDs), which require different data collection configurations. Furthermore, as UE vendor info is not 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5CD29C2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16BD3AF2" w14:textId="0F692711"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We also think that is reasonable for UE to provide multiple preferred configuration to the NW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bl>
    <w:p w14:paraId="3119DE5C" w14:textId="77777777" w:rsidR="003E2360" w:rsidRDefault="00D87BED">
      <w:pPr>
        <w:pStyle w:val="Heading5"/>
        <w:ind w:left="0" w:firstLine="0"/>
      </w:pPr>
      <w:r>
        <w:t>Q2. Do you agree that certain preferred configuration can be referred by the UE via an identifier associated to a candidate configuration?</w:t>
      </w:r>
    </w:p>
    <w:tbl>
      <w:tblPr>
        <w:tblStyle w:val="TableGrid"/>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ListParagraph"/>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20E25B2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hint="eastAsia"/>
                <w:lang w:eastAsia="zh-CN"/>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 xml:space="preserve">OtherConfig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 xml:space="preserve">DataCollectionPreferenceConfig-r19 ::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(1..maxCandidateConfig-r19))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CSI-ReportConfigId</w:t>
      </w:r>
      <w:r>
        <w:rPr>
          <w:rFonts w:ascii="Times New Roman" w:eastAsiaTheme="minorEastAsia" w:hAnsi="Times New Roman"/>
          <w:szCs w:val="20"/>
          <w:lang w:eastAsia="zh-CN"/>
        </w:rPr>
        <w:t xml:space="preserve">, where the candidate configurations are provided by the gNB within </w:t>
      </w:r>
      <w:r>
        <w:rPr>
          <w:i/>
          <w:iCs/>
        </w:rPr>
        <w:t>csi-ReportConfigToAddModList</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 xml:space="preserve">DataCollectionPreferenceConfig-r19 ::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(1.. maxCandidateConfig-r19))</w:t>
            </w:r>
            <w:r>
              <w:rPr>
                <w:color w:val="993366"/>
              </w:rPr>
              <w:t xml:space="preserve"> OF</w:t>
            </w:r>
            <w:r>
              <w:t xml:space="preserve"> CSI-ReportConfigId</w:t>
            </w:r>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lastRenderedPageBreak/>
        <w:t>Solution 3</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 xml:space="preserve">CSI-MeasConfig.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 xml:space="preserve">DataCollectionPreferenceConfig-r19 ::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dataCollectionCandidateConfigToAddModList     </w:t>
            </w:r>
            <w:r>
              <w:rPr>
                <w:color w:val="993366"/>
              </w:rPr>
              <w:t>SEQUENCE</w:t>
            </w:r>
            <w:r>
              <w:t xml:space="preserve"> (</w:t>
            </w:r>
            <w:r>
              <w:rPr>
                <w:color w:val="993366"/>
              </w:rPr>
              <w:t>SIZE</w:t>
            </w:r>
            <w:r>
              <w:t xml:space="preserve"> (1..maxCandidateConfig -r19))</w:t>
            </w:r>
            <w:r>
              <w:rPr>
                <w:color w:val="993366"/>
              </w:rPr>
              <w:t xml:space="preserve"> OF</w:t>
            </w:r>
            <w:r>
              <w:t xml:space="preserve"> CSI-ReportConfig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TableGrid"/>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1"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CSI-ReportConfig</w:t>
            </w:r>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CSI-ReportConfig</w:t>
            </w:r>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等线"/>
                <w:highlight w:val="green"/>
                <w:lang w:eastAsia="zh-CN"/>
              </w:rPr>
            </w:pPr>
            <w:r>
              <w:rPr>
                <w:rFonts w:eastAsiaTheme="minorEastAsia" w:cs="Arial"/>
                <w:lang w:eastAsia="ko-KR"/>
              </w:rPr>
              <w:t>FFS: whether/how to support 'aperiodic' CSI RS</w:t>
            </w:r>
            <w:bookmarkEnd w:id="1"/>
          </w:p>
          <w:p w14:paraId="011A2638"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6338F34E" w14:textId="77777777" w:rsidR="003E2360" w:rsidRDefault="00D87BED">
            <w:pPr>
              <w:rPr>
                <w:rFonts w:eastAsia="等线"/>
                <w:lang w:eastAsia="zh-CN"/>
              </w:rPr>
            </w:pPr>
            <w:r>
              <w:t xml:space="preserve">For data collection for UE-sided model, in CSI-report configuration, </w:t>
            </w:r>
            <w:r>
              <w:rPr>
                <w:i/>
                <w:highlight w:val="yellow"/>
              </w:rPr>
              <w:t>reportQuantity</w:t>
            </w:r>
            <w:r>
              <w:rPr>
                <w:highlight w:val="yellow"/>
              </w:rPr>
              <w:t xml:space="preserve"> is set to “</w:t>
            </w:r>
            <w:r>
              <w:rPr>
                <w:i/>
                <w:highlight w:val="yellow"/>
              </w:rPr>
              <w:t>none-</w:t>
            </w:r>
            <w:r>
              <w:rPr>
                <w:rFonts w:eastAsia="等线"/>
                <w:i/>
                <w:highlight w:val="yellow"/>
                <w:lang w:eastAsia="zh-CN"/>
              </w:rPr>
              <w:t>BM</w:t>
            </w:r>
            <w:r>
              <w:rPr>
                <w:i/>
                <w:highlight w:val="yellow"/>
              </w:rPr>
              <w:t>-r19</w:t>
            </w:r>
            <w:r>
              <w:t>”</w:t>
            </w:r>
          </w:p>
          <w:p w14:paraId="1ADAE3B0"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CSI-ReportConfig</w:t>
            </w:r>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A17ACF">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2.5pt" equationxml="&lt;">
                  <v:imagedata r:id="rId13" o:title="" chromakey="white"/>
                </v:shape>
              </w:pict>
            </w:r>
            <w:r>
              <w:rPr>
                <w:kern w:val="24"/>
                <w:highlight w:val="yellow"/>
              </w:rPr>
              <w:instrText xml:space="preserve"> </w:instrText>
            </w:r>
            <w:r>
              <w:rPr>
                <w:kern w:val="24"/>
                <w:highlight w:val="yellow"/>
              </w:rPr>
              <w:fldChar w:fldCharType="separate"/>
            </w:r>
            <w:r w:rsidR="00A17ACF">
              <w:rPr>
                <w:position w:val="-5"/>
                <w:highlight w:val="yellow"/>
              </w:rPr>
              <w:pict w14:anchorId="3CD4731C">
                <v:shape id="_x0000_i1026" type="#_x0000_t75" style="width:39.45pt;height:12.5pt" equationxml="&lt;">
                  <v:imagedata r:id="rId13"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等线"/>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14:paraId="5B76E8BC" w14:textId="77777777"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lastRenderedPageBreak/>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14:paraId="339C6946" w14:textId="77777777" w:rsidR="003E2360" w:rsidRDefault="00D87BED">
      <w:r>
        <w:rPr>
          <w:rFonts w:hint="eastAsia"/>
        </w:rPr>
        <w:lastRenderedPageBreak/>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14:paraId="3F539A4D" w14:textId="77777777" w:rsidR="003E2360" w:rsidRDefault="00D87BED">
      <w:pPr>
        <w:pStyle w:val="Heading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TableGrid"/>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w:t>
            </w:r>
            <w:r>
              <w:rPr>
                <w:rFonts w:ascii="Times New Roman" w:eastAsiaTheme="minorEastAsia" w:hAnsi="Times New Roman"/>
                <w:lang w:eastAsia="zh-CN"/>
              </w:rPr>
              <w:lastRenderedPageBreak/>
              <w:t>otherConfig, unrelated to CSI-MeasConfig,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lastRenderedPageBreak/>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BodyText"/>
              <w:spacing w:after="0"/>
              <w:rPr>
                <w:rFonts w:asciiTheme="minorHAnsi" w:hAnsiTheme="minorHAnsi" w:cstheme="minorHAnsi"/>
                <w:b/>
                <w:bCs/>
                <w:sz w:val="20"/>
                <w:szCs w:val="20"/>
              </w:rPr>
            </w:pPr>
          </w:p>
          <w:p w14:paraId="49DD98EE"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14:paraId="5540C97D" w14:textId="77777777" w:rsidR="003E2360" w:rsidRDefault="003E2360">
            <w:pPr>
              <w:pStyle w:val="BodyText"/>
              <w:spacing w:after="0"/>
              <w:rPr>
                <w:rFonts w:asciiTheme="minorHAnsi" w:hAnsiTheme="minorHAnsi" w:cstheme="minorHAnsi"/>
                <w:sz w:val="20"/>
                <w:szCs w:val="20"/>
              </w:rPr>
            </w:pPr>
          </w:p>
          <w:p w14:paraId="317E90E2"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14:paraId="5F890B16" w14:textId="77777777" w:rsidR="003E2360" w:rsidRDefault="003E2360">
            <w:pPr>
              <w:pStyle w:val="BodyText"/>
              <w:spacing w:after="0"/>
              <w:rPr>
                <w:rFonts w:asciiTheme="minorHAnsi" w:hAnsiTheme="minorHAnsi" w:cstheme="minorHAnsi"/>
                <w:sz w:val="20"/>
                <w:szCs w:val="20"/>
              </w:rPr>
            </w:pPr>
          </w:p>
          <w:p w14:paraId="277B34CB"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等线"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BodyText"/>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BodyText"/>
              <w:spacing w:after="0"/>
              <w:rPr>
                <w:rFonts w:asciiTheme="minorHAnsi" w:hAnsiTheme="minorHAnsi" w:cstheme="minorHAnsi"/>
                <w:sz w:val="20"/>
                <w:szCs w:val="20"/>
              </w:rPr>
            </w:pPr>
          </w:p>
          <w:p w14:paraId="34452545"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 xml:space="preserve">Semi-Persistent </w:t>
                  </w:r>
                  <w:r>
                    <w:rPr>
                      <w:rFonts w:asciiTheme="minorHAnsi" w:hAnsiTheme="minorHAnsi" w:cstheme="minorHAnsi"/>
                      <w:b/>
                      <w:bCs/>
                      <w:sz w:val="20"/>
                      <w:szCs w:val="20"/>
                      <w:lang w:val="zh-CN"/>
                    </w:rPr>
                    <w:lastRenderedPageBreak/>
                    <w:t>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lastRenderedPageBreak/>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宋体"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1105" w:type="dxa"/>
          </w:tcPr>
          <w:p w14:paraId="72850D01"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w:t>
            </w:r>
          </w:p>
        </w:tc>
        <w:tc>
          <w:tcPr>
            <w:tcW w:w="1516" w:type="dxa"/>
          </w:tcPr>
          <w:p w14:paraId="7550D992"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It Depends on whe</w:t>
            </w:r>
            <w:r>
              <w:rPr>
                <w:rFonts w:ascii="Times New Roman" w:eastAsia="宋体" w:hAnsi="Times New Roman"/>
                <w:lang w:val="en-US" w:eastAsia="zh-CN"/>
              </w:rPr>
              <w:t>re the CSI-ResourceConfig is from.</w:t>
            </w:r>
          </w:p>
        </w:tc>
        <w:tc>
          <w:tcPr>
            <w:tcW w:w="5791" w:type="dxa"/>
          </w:tcPr>
          <w:p w14:paraId="39B799C5"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 xml:space="preserve">For the solution 1, It means the CSI resource configuration in the </w:t>
            </w:r>
            <w:r>
              <w:rPr>
                <w:rFonts w:ascii="Times New Roman" w:eastAsia="宋体" w:hAnsi="Times New Roman" w:hint="eastAsia"/>
                <w:i/>
                <w:iCs/>
                <w:lang w:val="en-US" w:eastAsia="zh-CN"/>
              </w:rPr>
              <w:t xml:space="preserve">otherConfig </w:t>
            </w:r>
            <w:r>
              <w:rPr>
                <w:rFonts w:ascii="Times New Roman" w:eastAsia="宋体"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3, we have a question:</w:t>
            </w:r>
          </w:p>
          <w:p w14:paraId="233D97A7"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What should be associated to the new CSI report configuration, CSI-ResourceConfigId from CSI-MeasConfig, or new CSI-ResourceConfig independent </w:t>
            </w:r>
            <w:r>
              <w:rPr>
                <w:rFonts w:ascii="Times New Roman" w:eastAsia="宋体" w:hAnsi="Times New Roman"/>
                <w:lang w:val="en-US" w:eastAsia="zh-CN"/>
              </w:rPr>
              <w:t xml:space="preserve">with </w:t>
            </w:r>
            <w:r>
              <w:rPr>
                <w:rFonts w:ascii="Times New Roman" w:eastAsia="宋体" w:hAnsi="Times New Roman" w:hint="eastAsia"/>
                <w:lang w:val="en-US" w:eastAsia="zh-CN"/>
              </w:rPr>
              <w:t>CSI-MeasConfig</w:t>
            </w:r>
          </w:p>
          <w:p w14:paraId="0CEFA94E"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former one , then it is quite as similar as solution 1, the RAN1 impact is inevitable, and hence the note cannot be concluded solely in RAN2.</w:t>
            </w:r>
          </w:p>
          <w:p w14:paraId="613EBB53"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later one, then this can avoid the RAN1 impact which is our preference ,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105" w:type="dxa"/>
          </w:tcPr>
          <w:p w14:paraId="5F95D21F" w14:textId="410D550E" w:rsidR="004E6FD8" w:rsidRDefault="004E6FD8" w:rsidP="00BE00AA">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Solution 1/3, we understand the concern from Nokia that all UE behavior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CSI-ReportConfig</w:t>
            </w:r>
            <w:r w:rsidR="0005033D">
              <w:rPr>
                <w:rFonts w:ascii="Times New Roman" w:eastAsiaTheme="minorEastAsia" w:hAnsi="Times New Roman"/>
                <w:lang w:eastAsia="zh-CN"/>
              </w:rPr>
              <w:t xml:space="preserve">, even though </w:t>
            </w:r>
            <w:r w:rsidR="0005033D" w:rsidRPr="002E7EB0">
              <w:rPr>
                <w:rFonts w:ascii="Times New Roman" w:eastAsiaTheme="minorEastAsia" w:hAnsi="Times New Roman"/>
                <w:i/>
                <w:iCs/>
                <w:lang w:eastAsia="zh-CN"/>
              </w:rPr>
              <w:t>reportQuantity</w:t>
            </w:r>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 xml:space="preserve">candidate UE-side data </w:t>
            </w:r>
            <w:r w:rsidR="006E1295">
              <w:rPr>
                <w:rFonts w:ascii="Times New Roman" w:eastAsiaTheme="minorEastAsia" w:hAnsi="Times New Roman"/>
                <w:lang w:eastAsia="zh-CN"/>
              </w:rPr>
              <w:lastRenderedPageBreak/>
              <w:t>collection UE behavior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bl>
    <w:p w14:paraId="3ADD8BC1" w14:textId="77777777" w:rsidR="003E2360" w:rsidRDefault="00D87BED">
      <w:r>
        <w:lastRenderedPageBreak/>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Heading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7FCCE85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2F9D8DF"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Nokia</w:t>
            </w:r>
            <w:r>
              <w:rPr>
                <w:rFonts w:ascii="Times New Roman" w:eastAsia="宋体" w:hAnsi="Times New Roman"/>
                <w:lang w:val="en-US" w:eastAsia="zh-CN"/>
              </w:rPr>
              <w:t>’</w:t>
            </w:r>
            <w:r>
              <w:rPr>
                <w:rFonts w:ascii="Times New Roman" w:eastAsia="宋体"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hint="eastAsia"/>
                <w:lang w:eastAsia="zh-CN"/>
              </w:rPr>
            </w:pPr>
          </w:p>
        </w:tc>
      </w:tr>
    </w:tbl>
    <w:p w14:paraId="12C826A6" w14:textId="77777777" w:rsidR="003E2360" w:rsidRDefault="00D87BED">
      <w:pPr>
        <w:pStyle w:val="Heading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t>For beam management, candidate data collection configuration includes at least:</w:t>
            </w:r>
          </w:p>
          <w:p w14:paraId="33CE5A50" w14:textId="77777777" w:rsidR="003E2360" w:rsidRDefault="00D87BED">
            <w:pPr>
              <w:pStyle w:val="Doc-text2"/>
              <w:ind w:left="726"/>
              <w:rPr>
                <w:lang w:val="en-GB"/>
              </w:rPr>
            </w:pPr>
            <w:r>
              <w:rPr>
                <w:lang w:val="en-GB"/>
              </w:rPr>
              <w:lastRenderedPageBreak/>
              <w:t>-</w:t>
            </w:r>
            <w:r>
              <w:rPr>
                <w:lang w:val="en-GB"/>
              </w:rPr>
              <w:tab/>
              <w:t>CSI-ResourceConfigId of Set A</w:t>
            </w:r>
          </w:p>
          <w:p w14:paraId="0E6B8D07" w14:textId="77777777" w:rsidR="003E2360" w:rsidRDefault="00D87BED">
            <w:pPr>
              <w:pStyle w:val="Doc-text2"/>
              <w:ind w:left="726"/>
              <w:rPr>
                <w:lang w:val="en-GB"/>
              </w:rPr>
            </w:pPr>
            <w:r>
              <w:rPr>
                <w:lang w:val="en-GB"/>
              </w:rPr>
              <w:t>-</w:t>
            </w:r>
            <w:r>
              <w:rPr>
                <w:lang w:val="en-GB"/>
              </w:rPr>
              <w:tab/>
              <w:t>CSI-ResourceConfigId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lastRenderedPageBreak/>
        <w:t>In the following, we discuss how to represent the above agreed content for each of the Solutions 1/2/3, and whether additional parameters are needed.</w:t>
      </w:r>
    </w:p>
    <w:p w14:paraId="4F224995" w14:textId="77777777" w:rsidR="003E2360" w:rsidRDefault="00D87BED">
      <w:pPr>
        <w:pStyle w:val="Heading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TableGrid"/>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718" w:type="dxa"/>
          </w:tcPr>
          <w:p w14:paraId="7A4976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hint="eastAsia"/>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bl>
    <w:p w14:paraId="030AA8EE" w14:textId="77777777" w:rsidR="003E2360" w:rsidRDefault="00D87BED">
      <w:pPr>
        <w:pStyle w:val="Heading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TableGrid"/>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58A24EF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bl>
    <w:p w14:paraId="65E29C14" w14:textId="77777777" w:rsidR="003E2360" w:rsidRDefault="00D87BED">
      <w:pPr>
        <w:pStyle w:val="Heading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TableGrid"/>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3E2360" w14:paraId="5329AF59" w14:textId="77777777">
        <w:tc>
          <w:tcPr>
            <w:tcW w:w="1105" w:type="dxa"/>
          </w:tcPr>
          <w:p w14:paraId="4A617BF0" w14:textId="77777777" w:rsidR="003E2360" w:rsidRDefault="003E2360">
            <w:pPr>
              <w:spacing w:after="0"/>
              <w:rPr>
                <w:rFonts w:ascii="Times New Roman" w:hAnsi="Times New Roman"/>
              </w:rPr>
            </w:pPr>
          </w:p>
        </w:tc>
        <w:tc>
          <w:tcPr>
            <w:tcW w:w="2718" w:type="dxa"/>
          </w:tcPr>
          <w:p w14:paraId="18DC91DD" w14:textId="77777777" w:rsidR="003E2360" w:rsidRDefault="003E2360">
            <w:pPr>
              <w:spacing w:after="0"/>
              <w:rPr>
                <w:rFonts w:ascii="Times New Roman" w:hAnsi="Times New Roman"/>
              </w:rPr>
            </w:pPr>
          </w:p>
        </w:tc>
        <w:tc>
          <w:tcPr>
            <w:tcW w:w="5528" w:type="dxa"/>
          </w:tcPr>
          <w:p w14:paraId="60D47F6F" w14:textId="77777777" w:rsidR="003E2360" w:rsidRDefault="003E2360">
            <w:pPr>
              <w:rPr>
                <w:rFonts w:ascii="Times New Roman" w:hAnsi="Times New Roman"/>
              </w:rPr>
            </w:pPr>
          </w:p>
        </w:tc>
      </w:tr>
      <w:tr w:rsidR="003E2360" w14:paraId="464EE93B" w14:textId="77777777">
        <w:tc>
          <w:tcPr>
            <w:tcW w:w="1105" w:type="dxa"/>
          </w:tcPr>
          <w:p w14:paraId="0138C400" w14:textId="77777777" w:rsidR="003E2360" w:rsidRDefault="003E2360">
            <w:pPr>
              <w:spacing w:after="0"/>
              <w:rPr>
                <w:rFonts w:ascii="Times New Roman" w:eastAsia="MS Mincho" w:hAnsi="Times New Roman"/>
                <w:lang w:eastAsia="ja-JP"/>
              </w:rPr>
            </w:pPr>
          </w:p>
        </w:tc>
        <w:tc>
          <w:tcPr>
            <w:tcW w:w="2718" w:type="dxa"/>
          </w:tcPr>
          <w:p w14:paraId="79C3DF3B" w14:textId="77777777" w:rsidR="003E2360" w:rsidRDefault="003E2360">
            <w:pPr>
              <w:spacing w:after="0"/>
              <w:rPr>
                <w:rFonts w:ascii="Times New Roman" w:eastAsia="MS Mincho" w:hAnsi="Times New Roman"/>
                <w:lang w:eastAsia="ja-JP"/>
              </w:rPr>
            </w:pPr>
          </w:p>
        </w:tc>
        <w:tc>
          <w:tcPr>
            <w:tcW w:w="5528" w:type="dxa"/>
          </w:tcPr>
          <w:p w14:paraId="6A57D338" w14:textId="77777777" w:rsidR="003E2360" w:rsidRDefault="003E2360">
            <w:pPr>
              <w:rPr>
                <w:rFonts w:ascii="Times New Roman" w:hAnsi="Times New Roman"/>
              </w:rPr>
            </w:pPr>
          </w:p>
        </w:tc>
      </w:tr>
      <w:tr w:rsidR="003E2360" w14:paraId="5040C125" w14:textId="77777777">
        <w:tc>
          <w:tcPr>
            <w:tcW w:w="1105" w:type="dxa"/>
          </w:tcPr>
          <w:p w14:paraId="5C5646C3" w14:textId="77777777" w:rsidR="003E2360" w:rsidRDefault="003E2360">
            <w:pPr>
              <w:spacing w:after="0"/>
              <w:rPr>
                <w:rFonts w:ascii="Times New Roman" w:eastAsiaTheme="minorEastAsia" w:hAnsi="Times New Roman"/>
                <w:lang w:eastAsia="zh-CN"/>
              </w:rPr>
            </w:pPr>
          </w:p>
        </w:tc>
        <w:tc>
          <w:tcPr>
            <w:tcW w:w="2718" w:type="dxa"/>
          </w:tcPr>
          <w:p w14:paraId="74E587DE" w14:textId="77777777" w:rsidR="003E2360" w:rsidRDefault="003E2360">
            <w:pPr>
              <w:spacing w:after="0"/>
              <w:rPr>
                <w:rFonts w:ascii="Times New Roman" w:eastAsiaTheme="minorEastAsia" w:hAnsi="Times New Roman"/>
                <w:lang w:eastAsia="zh-CN"/>
              </w:rPr>
            </w:pPr>
          </w:p>
        </w:tc>
        <w:tc>
          <w:tcPr>
            <w:tcW w:w="5528" w:type="dxa"/>
          </w:tcPr>
          <w:p w14:paraId="249A5878" w14:textId="77777777" w:rsidR="003E2360" w:rsidRDefault="003E2360">
            <w:pPr>
              <w:rPr>
                <w:rFonts w:ascii="Times New Roman" w:hAnsi="Times New Roman"/>
              </w:rPr>
            </w:pP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Heading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TableGrid"/>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宋体"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宋体"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宋体" w:hAnsi="Times New Roman"/>
                <w:lang w:val="en-US" w:eastAsia="zh-CN"/>
              </w:rPr>
            </w:pPr>
          </w:p>
        </w:tc>
      </w:tr>
    </w:tbl>
    <w:p w14:paraId="3D9F7707" w14:textId="77777777" w:rsidR="003E2360" w:rsidRDefault="003E2360">
      <w:pPr>
        <w:rPr>
          <w:rFonts w:eastAsiaTheme="minorEastAsia"/>
          <w:lang w:eastAsia="zh-CN"/>
        </w:rPr>
      </w:pPr>
    </w:p>
    <w:p w14:paraId="29A61745" w14:textId="77777777" w:rsidR="003E2360" w:rsidRDefault="00D87BED">
      <w:pPr>
        <w:pStyle w:val="Heading5"/>
        <w:ind w:left="0" w:firstLine="0"/>
      </w:pPr>
      <w:r>
        <w:rPr>
          <w:rFonts w:hint="eastAsia"/>
        </w:rPr>
        <w:t>Q</w:t>
      </w:r>
      <w:r>
        <w:t>7. Do you think prohibit timer should be considered for UE indicating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14:paraId="260B2F56" w14:textId="77777777" w:rsidR="003E2360" w:rsidRDefault="00D87BED">
            <w:pPr>
              <w:ind w:left="720"/>
            </w:pPr>
            <w:r>
              <w:t xml:space="preserve">    3&gt; if the data collection preference includes </w:t>
            </w:r>
            <w:r>
              <w:rPr>
                <w:i/>
                <w:iCs/>
              </w:rPr>
              <w:t>dataCollectionStartStop</w:t>
            </w:r>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71B423B1" w14:textId="77777777"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1F00D78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14:paraId="194A86A3" w14:textId="77777777" w:rsidR="00A44CC8" w:rsidRPr="00330B1B" w:rsidRDefault="00A44CC8" w:rsidP="00A44CC8">
            <w:pPr>
              <w:pStyle w:val="EditorsNote"/>
              <w:rPr>
                <w:rFonts w:eastAsia="宋体"/>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hint="eastAsia"/>
                <w:lang w:eastAsia="zh-CN"/>
              </w:rPr>
            </w:pPr>
            <w:r>
              <w:rPr>
                <w:rFonts w:ascii="Times New Roman" w:eastAsiaTheme="minorEastAsia" w:hAnsi="Times New Roman"/>
                <w:lang w:eastAsia="zh-CN"/>
              </w:rPr>
              <w:t>Same view as Vivo</w:t>
            </w:r>
          </w:p>
        </w:tc>
      </w:tr>
    </w:tbl>
    <w:p w14:paraId="5E3EE56F" w14:textId="77777777" w:rsidR="003E2360" w:rsidRDefault="003E2360"/>
    <w:p w14:paraId="2DF4B51B" w14:textId="77777777" w:rsidR="003E2360" w:rsidRDefault="00D87BED">
      <w:pPr>
        <w:pStyle w:val="Heading5"/>
        <w:ind w:left="0" w:firstLine="0"/>
      </w:pPr>
      <w:r>
        <w:rPr>
          <w:rFonts w:hint="eastAsia"/>
        </w:rPr>
        <w:t>Q</w:t>
      </w:r>
      <w:r>
        <w:t>8. Among Solution 1/2/3, which solution is acceptable/not acceptable?</w:t>
      </w:r>
    </w:p>
    <w:tbl>
      <w:tblPr>
        <w:tblStyle w:val="TableGrid"/>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hint="eastAsia"/>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14:paraId="7B787E9C"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ListParagraph"/>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lastRenderedPageBreak/>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14:paraId="707909C8" w14:textId="77777777" w:rsidR="003E2360" w:rsidRDefault="00D87BED">
            <w:pPr>
              <w:pStyle w:val="ListParagraph"/>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lastRenderedPageBreak/>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3710" w:type="dxa"/>
          </w:tcPr>
          <w:p w14:paraId="266CD69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Not in any solution 1~ Solution 3</w:t>
            </w:r>
            <w:r>
              <w:rPr>
                <w:rFonts w:ascii="Times New Roman" w:eastAsia="宋体" w:hAnsi="Times New Roman"/>
                <w:lang w:val="en-US" w:eastAsia="zh-CN"/>
              </w:rPr>
              <w:t xml:space="preserve"> can be acceptable solely by RAN2 </w:t>
            </w:r>
          </w:p>
          <w:p w14:paraId="38704DB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 xml:space="preserve">In our understanding, the solution </w:t>
            </w:r>
            <w:r>
              <w:rPr>
                <w:rFonts w:ascii="Times New Roman" w:eastAsia="宋体" w:hAnsi="Times New Roman"/>
                <w:lang w:val="en-US" w:eastAsia="zh-CN"/>
              </w:rPr>
              <w:t xml:space="preserve">which can be determined not to have RAN1 impact </w:t>
            </w:r>
            <w:r>
              <w:rPr>
                <w:rFonts w:ascii="Times New Roman" w:eastAsia="宋体"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report configuration (e.g. no matter how to name it) contained in the OtherConfig shall be independent from CSI-MeasConfig.</w:t>
            </w:r>
          </w:p>
          <w:p w14:paraId="25D25184"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宋体" w:hAnsi="Times New Roman"/>
                <w:lang w:val="en-US" w:eastAsia="zh-CN"/>
              </w:rPr>
              <w:t>, th</w:t>
            </w:r>
            <w:r>
              <w:rPr>
                <w:rFonts w:ascii="Times New Roman" w:eastAsia="宋体" w:hAnsi="Times New Roman"/>
                <w:highlight w:val="yellow"/>
                <w:lang w:val="en-US" w:eastAsia="zh-CN"/>
              </w:rPr>
              <w:t>e NZP-CSI-ResourceSetId</w:t>
            </w:r>
            <w:r>
              <w:rPr>
                <w:rFonts w:ascii="Times New Roman" w:eastAsia="宋体" w:hAnsi="Times New Roman"/>
                <w:lang w:val="en-US" w:eastAsia="zh-CN"/>
              </w:rPr>
              <w:t xml:space="preserve"> can be used</w:t>
            </w:r>
            <w:r>
              <w:rPr>
                <w:rFonts w:ascii="Times New Roman" w:eastAsia="宋体" w:hAnsi="Times New Roman" w:hint="eastAsia"/>
                <w:lang w:val="en-US" w:eastAsia="zh-CN"/>
              </w:rPr>
              <w:t xml:space="preserve"> instead</w:t>
            </w:r>
            <w:r>
              <w:rPr>
                <w:rFonts w:ascii="Times New Roman" w:eastAsia="宋体" w:hAnsi="Times New Roman"/>
                <w:lang w:val="en-US" w:eastAsia="zh-CN"/>
              </w:rPr>
              <w:t xml:space="preserve">. </w:t>
            </w:r>
          </w:p>
        </w:tc>
        <w:tc>
          <w:tcPr>
            <w:tcW w:w="4536" w:type="dxa"/>
          </w:tcPr>
          <w:p w14:paraId="108DEB34"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behavior. </w:t>
            </w:r>
          </w:p>
          <w:p w14:paraId="68335772" w14:textId="739BA155" w:rsidR="00F53D74" w:rsidRDefault="00F53D74" w:rsidP="00D87BE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we prefer Solution 1 better, since it is less signaling overhead compared to Solution 3.</w:t>
            </w:r>
          </w:p>
        </w:tc>
        <w:tc>
          <w:tcPr>
            <w:tcW w:w="4536" w:type="dxa"/>
          </w:tcPr>
          <w:p w14:paraId="14AE8EFA" w14:textId="54A741EE" w:rsidR="00F53D74" w:rsidRDefault="00F53D74" w:rsidP="00D87BED">
            <w:pPr>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bl>
    <w:p w14:paraId="2E922E96" w14:textId="77777777" w:rsidR="003E2360" w:rsidRDefault="003E2360"/>
    <w:p w14:paraId="3911F820" w14:textId="77777777" w:rsidR="003E2360" w:rsidRDefault="00D87BED">
      <w:pPr>
        <w:pStyle w:val="Heading1"/>
      </w:pPr>
      <w:r>
        <w:t>Conclusion</w:t>
      </w:r>
    </w:p>
    <w:p w14:paraId="0168AFFB" w14:textId="77777777" w:rsidR="003E2360" w:rsidRDefault="003E2360"/>
    <w:p w14:paraId="2833E72F" w14:textId="77777777" w:rsidR="003E2360" w:rsidRDefault="00D87BED">
      <w:pPr>
        <w:pStyle w:val="Heading1"/>
      </w:pPr>
      <w:r>
        <w:lastRenderedPageBreak/>
        <w:t>Reference</w:t>
      </w:r>
    </w:p>
    <w:p w14:paraId="6A38B5FD" w14:textId="77777777" w:rsidR="003E2360" w:rsidRDefault="00D87BED">
      <w:r>
        <w:rPr>
          <w:rFonts w:hint="eastAsia"/>
        </w:rPr>
        <w:t>[</w:t>
      </w:r>
      <w:r>
        <w:t>1] R2-2504309</w:t>
      </w:r>
      <w:r>
        <w:tab/>
        <w:t>Remaining open issues: LCM for UE-sided model for BM use case</w:t>
      </w:r>
      <w:r>
        <w:tab/>
        <w:t>InterDigital</w:t>
      </w:r>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1718" w14:textId="77777777" w:rsidR="00FE52BB" w:rsidRDefault="00FE52BB">
      <w:pPr>
        <w:spacing w:before="0" w:after="0"/>
      </w:pPr>
      <w:r>
        <w:separator/>
      </w:r>
    </w:p>
  </w:endnote>
  <w:endnote w:type="continuationSeparator" w:id="0">
    <w:p w14:paraId="43A4DCD5" w14:textId="77777777" w:rsidR="00FE52BB" w:rsidRDefault="00FE5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32C5" w14:textId="77777777" w:rsidR="00FE52BB" w:rsidRDefault="00FE52BB">
      <w:pPr>
        <w:spacing w:before="0" w:after="0"/>
      </w:pPr>
      <w:r>
        <w:separator/>
      </w:r>
    </w:p>
  </w:footnote>
  <w:footnote w:type="continuationSeparator" w:id="0">
    <w:p w14:paraId="5DB8E1BC" w14:textId="77777777" w:rsidR="00FE52BB" w:rsidRDefault="00FE5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autoHyphenation/>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357"/>
    <w:rsid w:val="000A4847"/>
    <w:rsid w:val="000A48CF"/>
    <w:rsid w:val="000A70A0"/>
    <w:rsid w:val="000B2000"/>
    <w:rsid w:val="000B3C9B"/>
    <w:rsid w:val="000B520A"/>
    <w:rsid w:val="000B5282"/>
    <w:rsid w:val="000B6726"/>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E0A"/>
    <w:rsid w:val="0020765B"/>
    <w:rsid w:val="00207660"/>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B3578"/>
    <w:rsid w:val="004B52C0"/>
    <w:rsid w:val="004B5861"/>
    <w:rsid w:val="004B64A1"/>
    <w:rsid w:val="004B7679"/>
    <w:rsid w:val="004C023D"/>
    <w:rsid w:val="004C03E9"/>
    <w:rsid w:val="004C0892"/>
    <w:rsid w:val="004C6232"/>
    <w:rsid w:val="004C6D2B"/>
    <w:rsid w:val="004D2DFA"/>
    <w:rsid w:val="004D39F3"/>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50F3"/>
    <w:rsid w:val="00525C94"/>
    <w:rsid w:val="00527DBC"/>
    <w:rsid w:val="005301CD"/>
    <w:rsid w:val="00530710"/>
    <w:rsid w:val="00530BE2"/>
    <w:rsid w:val="00531606"/>
    <w:rsid w:val="005318A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5EE7"/>
    <w:rsid w:val="006B67D1"/>
    <w:rsid w:val="006C2921"/>
    <w:rsid w:val="006C40AA"/>
    <w:rsid w:val="006C4CA5"/>
    <w:rsid w:val="006C4F00"/>
    <w:rsid w:val="006C519B"/>
    <w:rsid w:val="006C57DC"/>
    <w:rsid w:val="006C5815"/>
    <w:rsid w:val="006C5B92"/>
    <w:rsid w:val="006C654B"/>
    <w:rsid w:val="006C6E8F"/>
    <w:rsid w:val="006C7873"/>
    <w:rsid w:val="006D08CB"/>
    <w:rsid w:val="006D4AC4"/>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9CF"/>
    <w:rsid w:val="007C031A"/>
    <w:rsid w:val="007C04A9"/>
    <w:rsid w:val="007C2972"/>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7ACF"/>
    <w:rsid w:val="00A20840"/>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5B15"/>
    <w:rsid w:val="00C06B41"/>
    <w:rsid w:val="00C07AEF"/>
    <w:rsid w:val="00C120E9"/>
    <w:rsid w:val="00C15E05"/>
    <w:rsid w:val="00C15EB2"/>
    <w:rsid w:val="00C17A90"/>
    <w:rsid w:val="00C22C4C"/>
    <w:rsid w:val="00C22F6B"/>
    <w:rsid w:val="00C31BA4"/>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F01ED"/>
    <w:rsid w:val="00DF6697"/>
    <w:rsid w:val="00DF67FE"/>
    <w:rsid w:val="00E0058D"/>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962"/>
    <w:rsid w:val="00F4675D"/>
    <w:rsid w:val="00F46839"/>
    <w:rsid w:val="00F46B86"/>
    <w:rsid w:val="00F478B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B8A"/>
    <w:rsid w:val="00FD2B8F"/>
    <w:rsid w:val="00FD2FF6"/>
    <w:rsid w:val="00FD4544"/>
    <w:rsid w:val="00FD45C4"/>
    <w:rsid w:val="00FD63D3"/>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cs="Times New Roman"/>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DefaultParagraphFont"/>
  </w:style>
  <w:style w:type="character" w:customStyle="1" w:styleId="10">
    <w:name w:val="@他1"/>
    <w:basedOn w:val="DefaultParagraphFont"/>
    <w:uiPriority w:val="99"/>
    <w:unhideWhenUsed/>
    <w:rPr>
      <w:color w:val="2B579A"/>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B3">
    <w:name w:val="B3"/>
    <w:basedOn w:val="Normal"/>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Normal"/>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F8E6F96-7260-41CC-8813-11A25B80BFD8}">
  <ds:schemaRefs>
    <ds:schemaRef ds:uri="http://schemas.openxmlformats.org/officeDocument/2006/bibliography"/>
  </ds:schemaRefs>
</ds:datastoreItem>
</file>

<file path=customXml/itemProps4.xml><?xml version="1.0" encoding="utf-8"?>
<ds:datastoreItem xmlns:ds="http://schemas.openxmlformats.org/officeDocument/2006/customXml" ds:itemID="{121CAFE6-8AD1-4426-8E84-7791348E505C}">
  <ds:schemaRefs>
    <ds:schemaRef ds:uri="http://schemas.openxmlformats.org/officeDocument/2006/bibliography"/>
  </ds:schemaRefs>
</ds:datastoreItem>
</file>

<file path=customXml/itemProps5.xml><?xml version="1.0" encoding="utf-8"?>
<ds:datastoreItem xmlns:ds="http://schemas.openxmlformats.org/officeDocument/2006/customXml" ds:itemID="{C6BDE61C-452F-4D3C-8C84-BB0D8074A37A}">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6064</Words>
  <Characters>34570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Ziyi-2</cp:lastModifiedBy>
  <cp:revision>62</cp:revision>
  <dcterms:created xsi:type="dcterms:W3CDTF">2025-06-13T03:24:00Z</dcterms:created>
  <dcterms:modified xsi:type="dcterms:W3CDTF">2025-06-18T01:59:00Z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qrtvr6E1adCR/B2g7DTmbpr4Qx/yxVzmaLu2+ikF80CcUvVDBRty3hsqgWhyMeFHhNzQM2FsU+AzgHfto4sVZfHN5y2GRXEiAIGKajR3f2KFOKbXN94M08Z3/K/06/PytEa4RBN8hc46aNdjKjRrDzIYEOuYvbjto4zRxTo72AnRtOE4O95s+rKzmH/6RHn5n+FhX7ISppcofsvdhXtH0J22H1VLzqyTqWwCCyUG+5GKS/+6H3V06Ml0pHhvjqzyY6unyrq5OAWZeO57I6ryDkqEPQ0cZhWmKGGg53Dxgzqjjh1s6sKucvZaF801srZMw1AXtV+PIlhjAvrbExPWfDt+ymfUgD3LLzlrAiA+M7Arn30TBlv9CsKdsxKOAUvvfGBKWWp9ipFz3LXh+Wz2xl7yROCbIckdzysOVS66wXwUtupj3xwT19o7Bzs/m3b1WxRwN0dr0t9RU97DhgTmGlbh8aMOsS1S1oKB73GzBvM=</vt:lpwstr>
  </property>
</Properties>
</file>