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w:t>
      </w:r>
      <w:proofErr w:type="gramStart"/>
      <w:r w:rsidRPr="003D22D3">
        <w:rPr>
          <w:rFonts w:eastAsia="MS Mincho"/>
          <w:b/>
          <w:szCs w:val="24"/>
          <w:lang w:eastAsia="en-GB"/>
        </w:rPr>
        <w:t>407][</w:t>
      </w:r>
      <w:proofErr w:type="gramEnd"/>
      <w:r w:rsidRPr="003D22D3">
        <w:rPr>
          <w:rFonts w:eastAsia="MS Mincho"/>
          <w:b/>
          <w:szCs w:val="24"/>
          <w:lang w:eastAsia="en-GB"/>
        </w:rPr>
        <w:t>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Scope: Update the 38.351 running CR from the baseline of R2-2503077 to take into account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r>
        <w:rPr>
          <w:rFonts w:hint="eastAsia"/>
          <w:b/>
          <w:bCs/>
          <w:color w:val="FF0000"/>
        </w:rPr>
        <w:t>2rd</w:t>
      </w:r>
      <w:r w:rsidRPr="00BE53E3">
        <w:rPr>
          <w:b/>
          <w:bCs/>
          <w:color w:val="FF0000"/>
        </w:rPr>
        <w:t xml:space="preserve"> May 2025</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b"/>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SL-RemoteUE-ToAddMod-r</w:t>
            </w:r>
            <w:proofErr w:type="gramStart"/>
            <w:r w:rsidRPr="00D839FF">
              <w:t>17 ::=</w:t>
            </w:r>
            <w:proofErr w:type="gramEnd"/>
            <w:r w:rsidRPr="00D839FF">
              <w:t xml:space="preserve">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w:t>
            </w:r>
            <w:proofErr w:type="gramStart"/>
            <w:r w:rsidR="00E87158">
              <w:rPr>
                <w:lang w:eastAsia="sv-SE"/>
              </w:rPr>
              <w:t xml:space="preserve">on </w:t>
            </w:r>
            <w:r w:rsidR="00950C4F">
              <w:rPr>
                <w:lang w:eastAsia="sv-SE"/>
              </w:rPr>
              <w:t xml:space="preserve"> </w:t>
            </w:r>
            <w:r w:rsidR="00C96864" w:rsidRPr="00D97A4B">
              <w:rPr>
                <w:highlight w:val="yellow"/>
                <w:lang w:eastAsia="sv-SE"/>
              </w:rPr>
              <w:t>nextHopL</w:t>
            </w:r>
            <w:proofErr w:type="gramEnd"/>
            <w:r w:rsidR="00C96864" w:rsidRPr="00D97A4B">
              <w:rPr>
                <w:highlight w:val="yellow"/>
                <w:lang w:eastAsia="sv-SE"/>
              </w:rPr>
              <w:t>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3B3A065" w14:textId="7F8DDF64" w:rsidR="00C96864" w:rsidRPr="006D1B5E" w:rsidRDefault="00C96864" w:rsidP="00094268">
            <w:pPr>
              <w:ind w:firstLine="225"/>
              <w:rPr>
                <w:lang w:val="sv-SE" w:eastAsia="sv-SE"/>
              </w:rPr>
            </w:pPr>
            <w:r>
              <w:rPr>
                <w:lang w:eastAsia="sv-SE"/>
              </w:rPr>
              <w:t xml:space="preserve">We would like to </w:t>
            </w:r>
            <w:r w:rsidR="009C383B">
              <w:rPr>
                <w:lang w:eastAsia="sv-SE"/>
              </w:rPr>
              <w:t>check</w:t>
            </w:r>
            <w:r>
              <w:rPr>
                <w:lang w:eastAsia="sv-SE"/>
              </w:rPr>
              <w:t xml:space="preserve"> if this new alternative is ok to companies.</w:t>
            </w: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新細明體" w:hint="eastAsia"/>
                <w:lang w:eastAsia="zh-TW"/>
              </w:rPr>
            </w:pPr>
            <w:proofErr w:type="spellStart"/>
            <w:ins w:id="9" w:author="Richard Kuo(郭豊旗)" w:date="2025-04-25T14:42:00Z">
              <w:r>
                <w:rPr>
                  <w:rFonts w:eastAsia="新細明體" w:hint="eastAsia"/>
                  <w:lang w:eastAsia="zh-TW"/>
                </w:rPr>
                <w:lastRenderedPageBreak/>
                <w:t>A</w:t>
              </w:r>
              <w:r>
                <w:rPr>
                  <w:rFonts w:eastAsia="新細明體"/>
                  <w:lang w:eastAsia="zh-TW"/>
                </w:rPr>
                <w:t>SUSTeK</w:t>
              </w:r>
            </w:ins>
            <w:proofErr w:type="spellEnd"/>
          </w:p>
        </w:tc>
        <w:tc>
          <w:tcPr>
            <w:tcW w:w="8011" w:type="dxa"/>
            <w:vAlign w:val="center"/>
          </w:tcPr>
          <w:p w14:paraId="5D3A0F3E" w14:textId="77777777" w:rsidR="002D3C5E" w:rsidRDefault="002D3C5E" w:rsidP="002D3C5E">
            <w:pPr>
              <w:snapToGrid w:val="0"/>
              <w:jc w:val="left"/>
              <w:rPr>
                <w:rFonts w:eastAsia="新細明體"/>
                <w:lang w:eastAsia="zh-TW"/>
              </w:rPr>
            </w:pPr>
            <w:r>
              <w:rPr>
                <w:rFonts w:eastAsia="新細明體"/>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proofErr w:type="spellStart"/>
            <w:r w:rsidRPr="00972C8B">
              <w:rPr>
                <w:rFonts w:ascii="Times New Roman" w:hAnsi="Times New Roman"/>
                <w:i/>
                <w:u w:val="single"/>
              </w:rPr>
              <w:t>sl</w:t>
            </w:r>
            <w:proofErr w:type="spellEnd"/>
            <w:r w:rsidRPr="00972C8B">
              <w:rPr>
                <w:rFonts w:ascii="Times New Roman" w:hAnsi="Times New Roman"/>
                <w:i/>
                <w:u w:val="single"/>
              </w:rPr>
              <w:t>-SRAP-</w:t>
            </w:r>
            <w:proofErr w:type="spellStart"/>
            <w:r w:rsidRPr="00972C8B">
              <w:rPr>
                <w:rFonts w:ascii="Times New Roman" w:hAnsi="Times New Roman"/>
                <w:i/>
                <w:u w:val="single"/>
              </w:rPr>
              <w:t>ConfigRelayList</w:t>
            </w:r>
            <w:proofErr w:type="spellEnd"/>
            <w:r w:rsidRPr="00972C8B">
              <w:rPr>
                <w:rFonts w:ascii="Times New Roman" w:hAnsi="Times New Roman"/>
                <w:i/>
                <w:u w:val="single"/>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proofErr w:type="spellStart"/>
            <w:r w:rsidRPr="002D3C5E">
              <w:rPr>
                <w:rFonts w:ascii="Times New Roman" w:hAnsi="Times New Roman"/>
                <w:i/>
                <w:highlight w:val="yellow"/>
              </w:rPr>
              <w:t>sl-LocalIdentity</w:t>
            </w:r>
            <w:proofErr w:type="spellEnd"/>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新細明體" w:cs="Arial"/>
                <w:lang w:eastAsia="zh-TW"/>
              </w:rPr>
            </w:pPr>
            <w:r w:rsidRPr="002D3C5E">
              <w:rPr>
                <w:rFonts w:eastAsia="新細明體" w:cs="Arial"/>
                <w:lang w:eastAsia="zh-TW"/>
              </w:rPr>
              <w:t>In our opinion, the highlight statement is not proper for multi-hop U2N relay because</w:t>
            </w:r>
            <w:r w:rsidR="00185FC0">
              <w:rPr>
                <w:rFonts w:eastAsia="新細明體" w:cs="Arial"/>
                <w:lang w:eastAsia="zh-TW"/>
              </w:rPr>
              <w:t xml:space="preserve"> the ingress link,</w:t>
            </w:r>
            <w:r w:rsidRPr="002D3C5E">
              <w:rPr>
                <w:rFonts w:eastAsia="新細明體" w:cs="Arial"/>
                <w:lang w:eastAsia="zh-TW"/>
              </w:rPr>
              <w:t xml:space="preserve"> </w:t>
            </w:r>
            <w:r w:rsidR="00185FC0">
              <w:rPr>
                <w:rFonts w:eastAsia="新細明體" w:cs="Arial"/>
                <w:lang w:eastAsia="zh-TW"/>
              </w:rPr>
              <w:t xml:space="preserve">in case of </w:t>
            </w:r>
            <w:r w:rsidR="00185FC0" w:rsidRPr="002D3C5E">
              <w:rPr>
                <w:rFonts w:eastAsia="新細明體" w:cs="Arial"/>
                <w:lang w:eastAsia="zh-TW"/>
              </w:rPr>
              <w:t>multi-hop U2N relay</w:t>
            </w:r>
            <w:r w:rsidR="00185FC0">
              <w:rPr>
                <w:rFonts w:eastAsia="新細明體" w:cs="Arial"/>
                <w:lang w:eastAsia="zh-TW"/>
              </w:rPr>
              <w:t xml:space="preserve">, refers to the link with </w:t>
            </w:r>
            <w:r w:rsidR="00185FC0">
              <w:rPr>
                <w:rFonts w:cs="Arial"/>
              </w:rPr>
              <w:t>the child relay UE</w:t>
            </w:r>
            <w:r w:rsidR="00185FC0">
              <w:rPr>
                <w:rFonts w:cs="Arial"/>
              </w:rPr>
              <w:t xml:space="preserve"> instead of </w:t>
            </w:r>
            <w:r w:rsidR="00185FC0">
              <w:rPr>
                <w:rFonts w:eastAsia="新細明體" w:cs="Arial" w:hint="eastAsia"/>
                <w:lang w:eastAsia="zh-TW"/>
              </w:rPr>
              <w:t>t</w:t>
            </w:r>
            <w:r w:rsidR="00185FC0">
              <w:rPr>
                <w:rFonts w:eastAsia="新細明體" w:cs="Arial"/>
                <w:lang w:eastAsia="zh-TW"/>
              </w:rPr>
              <w:t>he link with</w:t>
            </w:r>
            <w:r w:rsidRPr="002D3C5E">
              <w:rPr>
                <w:rFonts w:cs="Arial"/>
              </w:rPr>
              <w:t xml:space="preserve"> the Remote UE</w:t>
            </w:r>
            <w:r w:rsidR="00185FC0">
              <w:rPr>
                <w:rFonts w:cs="Arial"/>
              </w:rPr>
              <w:t xml:space="preserve"> (except the first relay UE).</w:t>
            </w:r>
            <w:r w:rsidR="003E53BA">
              <w:rPr>
                <w:rFonts w:ascii="新細明體" w:eastAsia="新細明體" w:hAnsi="新細明體" w:cs="Arial" w:hint="eastAsia"/>
                <w:lang w:eastAsia="zh-TW"/>
              </w:rPr>
              <w:t xml:space="preserve"> </w:t>
            </w:r>
            <w:r w:rsidR="003E53BA">
              <w:rPr>
                <w:rFonts w:eastAsia="新細明體" w:cs="Arial" w:hint="cs"/>
                <w:lang w:eastAsia="zh-TW"/>
              </w:rPr>
              <w:t>A</w:t>
            </w:r>
            <w:r w:rsidR="003E53BA">
              <w:rPr>
                <w:rFonts w:eastAsia="新細明體"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proofErr w:type="spellStart"/>
            <w:r w:rsidR="00972C8B" w:rsidRPr="00972C8B">
              <w:rPr>
                <w:rFonts w:ascii="Times New Roman" w:hAnsi="Times New Roman"/>
                <w:i/>
                <w:u w:val="single"/>
              </w:rPr>
              <w:t>sl</w:t>
            </w:r>
            <w:proofErr w:type="spellEnd"/>
            <w:r w:rsidR="00972C8B" w:rsidRPr="00972C8B">
              <w:rPr>
                <w:rFonts w:ascii="Times New Roman" w:hAnsi="Times New Roman"/>
                <w:i/>
                <w:u w:val="single"/>
              </w:rPr>
              <w:t>-SRAP-</w:t>
            </w:r>
            <w:proofErr w:type="spellStart"/>
            <w:r w:rsidR="00972C8B" w:rsidRPr="00972C8B">
              <w:rPr>
                <w:rFonts w:ascii="Times New Roman" w:hAnsi="Times New Roman"/>
                <w:i/>
                <w:u w:val="single"/>
              </w:rPr>
              <w:t>ConfigRelayList</w:t>
            </w:r>
            <w:proofErr w:type="spellEnd"/>
            <w:r w:rsidR="00972C8B" w:rsidRPr="00972C8B">
              <w:rPr>
                <w:rFonts w:ascii="Times New Roman" w:hAnsi="Times New Roman"/>
                <w:i/>
                <w:u w:val="single"/>
              </w:rPr>
              <w: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ID which does not </w:t>
            </w:r>
            <w:r w:rsidRPr="003E53BA">
              <w:rPr>
                <w:rFonts w:ascii="Times New Roman" w:hAnsi="Times New Roman"/>
              </w:rPr>
              <w:t xml:space="preserve">match the concerned </w:t>
            </w:r>
            <w:proofErr w:type="spellStart"/>
            <w:r w:rsidRPr="003E53BA">
              <w:rPr>
                <w:rFonts w:ascii="Times New Roman" w:hAnsi="Times New Roman"/>
                <w:i/>
              </w:rPr>
              <w:t>sl-LocalIdentity</w:t>
            </w:r>
            <w:proofErr w:type="spellEnd"/>
            <w:r w:rsidRPr="003E53BA">
              <w:rPr>
                <w:rFonts w:ascii="Times New Roman" w:hAnsi="Times New Roman"/>
              </w:rPr>
              <w:t xml:space="preserve"> </w:t>
            </w:r>
            <w:r w:rsidRPr="003E53BA">
              <w:rPr>
                <w:rFonts w:ascii="Times New Roman" w:hAnsi="Times New Roman"/>
                <w:strike/>
              </w:rPr>
              <w:t xml:space="preserve">corresponding </w:t>
            </w:r>
            <w:proofErr w:type="spellStart"/>
            <w:r w:rsidRPr="003E53BA">
              <w:rPr>
                <w:rFonts w:ascii="Times New Roman" w:hAnsi="Times New Roman"/>
                <w:strike/>
              </w:rPr>
              <w:t>to</w:t>
            </w:r>
            <w:r w:rsidRPr="003E53BA">
              <w:rPr>
                <w:rFonts w:ascii="Times New Roman" w:hAnsi="Times New Roman"/>
                <w:color w:val="FF0000"/>
                <w:u w:val="single"/>
              </w:rPr>
              <w:t>included</w:t>
            </w:r>
            <w:proofErr w:type="spellEnd"/>
            <w:r w:rsidRPr="003E53BA">
              <w:rPr>
                <w:rFonts w:ascii="Times New Roman" w:hAnsi="Times New Roman"/>
                <w:color w:val="FF0000"/>
                <w:u w:val="single"/>
              </w:rPr>
              <w:t xml:space="preserve"> in </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w:t>
            </w:r>
            <w:proofErr w:type="spellEnd"/>
            <w:r w:rsidRPr="003E53BA">
              <w:rPr>
                <w:rFonts w:ascii="Times New Roman" w:hAnsi="Times New Roman"/>
                <w:color w:val="FF0000"/>
                <w:u w:val="single"/>
              </w:rPr>
              <w:t xml:space="preserve"> or </w:t>
            </w:r>
            <w:r w:rsidRPr="003E53BA">
              <w:rPr>
                <w:rFonts w:ascii="Times New Roman" w:hAnsi="Times New Roman"/>
                <w:i/>
                <w:iCs/>
                <w:color w:val="FF0000"/>
                <w:u w:val="single"/>
              </w:rPr>
              <w:t>[</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ConfigRelayList</w:t>
            </w:r>
            <w:proofErr w:type="spellEnd"/>
            <w:r w:rsidRPr="003E53BA">
              <w:rPr>
                <w:rFonts w:ascii="Times New Roman" w:hAnsi="Times New Roman"/>
                <w:color w:val="FF0000"/>
                <w:u w:val="single"/>
              </w:rPr>
              <w:t>]</w:t>
            </w:r>
            <w:r w:rsidRPr="003E53BA">
              <w:rPr>
                <w:rFonts w:ascii="Times New Roman" w:eastAsia="新細明體"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36D361A4" w14:textId="1F075F4B" w:rsidR="003E53BA" w:rsidRPr="00972C8B" w:rsidRDefault="003E53BA" w:rsidP="00972C8B">
            <w:pPr>
              <w:pStyle w:val="B1"/>
              <w:ind w:left="823"/>
              <w:rPr>
                <w:rFonts w:ascii="Times New Roman" w:hAnsi="Times New Roman" w:hint="eastAsia"/>
              </w:rPr>
            </w:pPr>
            <w:r w:rsidRPr="002D3C5E">
              <w:rPr>
                <w:rFonts w:ascii="Times New Roman" w:hAnsi="Times New Roman"/>
              </w:rPr>
              <w:t>-</w:t>
            </w:r>
            <w:r w:rsidRPr="002D3C5E">
              <w:rPr>
                <w:rFonts w:ascii="Times New Roman" w:hAnsi="Times New Roman"/>
              </w:rPr>
              <w:tab/>
              <w:t>Discard the received SRAP Data PDU.</w:t>
            </w: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1"/>
      </w:pPr>
      <w:r>
        <w:lastRenderedPageBreak/>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 xml:space="preserve">The Remote UE’s </w:t>
      </w:r>
      <w:proofErr w:type="spellStart"/>
      <w:r>
        <w:t>Uu</w:t>
      </w:r>
      <w:proofErr w:type="spellEnd"/>
      <w:r>
        <w:t xml:space="preserve">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88D4" w14:textId="77777777" w:rsidR="0030792C" w:rsidRDefault="0030792C">
      <w:pPr>
        <w:spacing w:after="0"/>
      </w:pPr>
      <w:r>
        <w:separator/>
      </w:r>
    </w:p>
  </w:endnote>
  <w:endnote w:type="continuationSeparator" w:id="0">
    <w:p w14:paraId="4820E1C9" w14:textId="77777777" w:rsidR="0030792C" w:rsidRDefault="00307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A55D2C" w:rsidRDefault="00A55D2C">
    <w:pPr>
      <w:pStyle w:val="af9"/>
      <w:tabs>
        <w:tab w:val="center" w:pos="4820"/>
        <w:tab w:val="right" w:pos="9639"/>
      </w:tabs>
      <w:jc w:val="left"/>
    </w:pPr>
    <w:r>
      <w:tab/>
    </w:r>
    <w:r>
      <w:fldChar w:fldCharType="begin"/>
    </w:r>
    <w:r>
      <w:rPr>
        <w:rStyle w:val="af5"/>
      </w:rPr>
      <w:instrText xml:space="preserve"> PAGE </w:instrText>
    </w:r>
    <w:r>
      <w:fldChar w:fldCharType="separate"/>
    </w:r>
    <w:r>
      <w:rPr>
        <w:rStyle w:val="af5"/>
      </w:rPr>
      <w:t>3</w:t>
    </w:r>
    <w:r>
      <w:fldChar w:fldCharType="end"/>
    </w:r>
    <w:r>
      <w:rPr>
        <w:rStyle w:val="af5"/>
      </w:rPr>
      <w:t>/</w:t>
    </w:r>
    <w:r>
      <w:fldChar w:fldCharType="begin"/>
    </w:r>
    <w:r>
      <w:rPr>
        <w:rStyle w:val="af5"/>
      </w:rPr>
      <w:instrText xml:space="preserve"> NUMPAGES </w:instrText>
    </w:r>
    <w:r>
      <w:fldChar w:fldCharType="separate"/>
    </w:r>
    <w:r>
      <w:rPr>
        <w:rStyle w:val="af5"/>
      </w:rPr>
      <w:t>11</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6FDA" w14:textId="77777777" w:rsidR="0030792C" w:rsidRDefault="0030792C">
      <w:pPr>
        <w:spacing w:after="0"/>
      </w:pPr>
      <w:r>
        <w:separator/>
      </w:r>
    </w:p>
  </w:footnote>
  <w:footnote w:type="continuationSeparator" w:id="0">
    <w:p w14:paraId="458DF1CC" w14:textId="77777777" w:rsidR="0030792C" w:rsidRDefault="00307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6"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28"/>
  </w:num>
  <w:num w:numId="4">
    <w:abstractNumId w:val="5"/>
  </w:num>
  <w:num w:numId="5">
    <w:abstractNumId w:val="22"/>
  </w:num>
  <w:num w:numId="6">
    <w:abstractNumId w:val="8"/>
  </w:num>
  <w:num w:numId="7">
    <w:abstractNumId w:val="6"/>
  </w:num>
  <w:num w:numId="8">
    <w:abstractNumId w:val="21"/>
  </w:num>
  <w:num w:numId="9">
    <w:abstractNumId w:val="24"/>
  </w:num>
  <w:num w:numId="10">
    <w:abstractNumId w:val="19"/>
  </w:num>
  <w:num w:numId="11">
    <w:abstractNumId w:val="12"/>
  </w:num>
  <w:num w:numId="12">
    <w:abstractNumId w:val="4"/>
  </w:num>
  <w:num w:numId="13">
    <w:abstractNumId w:val="11"/>
  </w:num>
  <w:num w:numId="14">
    <w:abstractNumId w:val="25"/>
  </w:num>
  <w:num w:numId="15">
    <w:abstractNumId w:val="2"/>
  </w:num>
  <w:num w:numId="16">
    <w:abstractNumId w:val="27"/>
  </w:num>
  <w:num w:numId="17">
    <w:abstractNumId w:val="3"/>
  </w:num>
  <w:num w:numId="18">
    <w:abstractNumId w:val="18"/>
  </w:num>
  <w:num w:numId="19">
    <w:abstractNumId w:val="20"/>
  </w:num>
  <w:num w:numId="20">
    <w:abstractNumId w:val="0"/>
  </w:num>
  <w:num w:numId="21">
    <w:abstractNumId w:val="15"/>
  </w:num>
  <w:num w:numId="22">
    <w:abstractNumId w:val="7"/>
  </w:num>
  <w:num w:numId="23">
    <w:abstractNumId w:val="26"/>
  </w:num>
  <w:num w:numId="24">
    <w:abstractNumId w:val="9"/>
  </w:num>
  <w:num w:numId="25">
    <w:abstractNumId w:val="10"/>
  </w:num>
  <w:num w:numId="26">
    <w:abstractNumId w:val="17"/>
  </w:num>
  <w:num w:numId="27">
    <w:abstractNumId w:val="1"/>
  </w:num>
  <w:num w:numId="28">
    <w:abstractNumId w:val="16"/>
  </w:num>
  <w:num w:numId="29">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6956"/>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1C46"/>
    <w:rsid w:val="002B31C3"/>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81839"/>
    <w:rsid w:val="00583B1A"/>
    <w:rsid w:val="00586D83"/>
    <w:rsid w:val="00591E0D"/>
    <w:rsid w:val="00594941"/>
    <w:rsid w:val="005965A9"/>
    <w:rsid w:val="005A2499"/>
    <w:rsid w:val="005A2610"/>
    <w:rsid w:val="005A6ED1"/>
    <w:rsid w:val="005B0891"/>
    <w:rsid w:val="005B1709"/>
    <w:rsid w:val="005B2601"/>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1"/>
    <w:link w:val="4"/>
    <w:rPr>
      <w:rFonts w:ascii="Arial" w:hAnsi="Arial"/>
      <w:sz w:val="24"/>
      <w:szCs w:val="24"/>
      <w:lang w:val="en-GB"/>
    </w:rPr>
  </w:style>
  <w:style w:type="character" w:customStyle="1" w:styleId="51">
    <w:name w:val="標題 5 字元"/>
    <w:basedOn w:val="a1"/>
    <w:link w:val="50"/>
    <w:rPr>
      <w:rFonts w:ascii="Arial" w:hAnsi="Arial"/>
      <w:sz w:val="22"/>
      <w:lang w:val="en-GB"/>
    </w:rPr>
  </w:style>
  <w:style w:type="character" w:customStyle="1" w:styleId="60">
    <w:name w:val="標題 6 字元"/>
    <w:basedOn w:val="a1"/>
    <w:link w:val="6"/>
    <w:rPr>
      <w:rFonts w:ascii="Arial" w:hAnsi="Arial" w:cs="Arial"/>
      <w:lang w:val="en-GB"/>
    </w:rPr>
  </w:style>
  <w:style w:type="character" w:customStyle="1" w:styleId="70">
    <w:name w:val="標題 7 字元"/>
    <w:basedOn w:val="a1"/>
    <w:link w:val="7"/>
    <w:rPr>
      <w:rFonts w:ascii="Arial" w:hAnsi="Arial" w:cs="Arial"/>
      <w:lang w:val="en-GB"/>
    </w:rPr>
  </w:style>
  <w:style w:type="character" w:customStyle="1" w:styleId="80">
    <w:name w:val="標題 8 字元"/>
    <w:basedOn w:val="a1"/>
    <w:link w:val="8"/>
    <w:rPr>
      <w:rFonts w:ascii="Arial" w:hAnsi="Arial" w:cs="Arial"/>
      <w:lang w:val="en-GB"/>
    </w:rPr>
  </w:style>
  <w:style w:type="character" w:customStyle="1" w:styleId="90">
    <w:name w:val="標題 9 字元"/>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標題 字元"/>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標題 字元"/>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註腳文字 字元"/>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章節附註文字 字元"/>
    <w:link w:val="af"/>
    <w:uiPriority w:val="99"/>
    <w:rPr>
      <w:sz w:val="20"/>
    </w:rPr>
  </w:style>
  <w:style w:type="character" w:styleId="af1">
    <w:name w:val="endnote reference"/>
    <w:basedOn w:val="a1"/>
    <w:uiPriority w:val="99"/>
    <w:semiHidden/>
    <w:unhideWhenUsed/>
    <w:rPr>
      <w:vertAlign w:val="superscript"/>
    </w:rPr>
  </w:style>
  <w:style w:type="paragraph" w:styleId="af2">
    <w:name w:val="TOC Heading"/>
    <w:uiPriority w:val="39"/>
    <w:unhideWhenUsed/>
  </w:style>
  <w:style w:type="character" w:styleId="af3">
    <w:name w:val="annotation reference"/>
    <w:qFormat/>
    <w:rPr>
      <w:sz w:val="16"/>
      <w:szCs w:val="16"/>
    </w:rPr>
  </w:style>
  <w:style w:type="character" w:styleId="af4">
    <w:name w:val="Hyperlink"/>
    <w:uiPriority w:val="99"/>
    <w:rPr>
      <w:color w:val="0000FF"/>
      <w:u w:val="single"/>
      <w:lang w:val="en-GB"/>
    </w:rPr>
  </w:style>
  <w:style w:type="character" w:styleId="af5">
    <w:name w:val="page number"/>
    <w:basedOn w:val="a1"/>
    <w:semiHidden/>
  </w:style>
  <w:style w:type="character" w:styleId="af6">
    <w:name w:val="FollowedHyperlink"/>
    <w:semiHidden/>
    <w:rPr>
      <w:color w:val="FF0000"/>
      <w:u w:val="single"/>
    </w:rPr>
  </w:style>
  <w:style w:type="character" w:styleId="af7">
    <w:name w:val="footnote reference"/>
    <w:semiHidden/>
    <w:rPr>
      <w:b/>
      <w:bCs/>
      <w:position w:val="6"/>
      <w:sz w:val="16"/>
      <w:szCs w:val="16"/>
    </w:rPr>
  </w:style>
  <w:style w:type="character" w:customStyle="1" w:styleId="af8">
    <w:name w:val="頁尾 字元"/>
    <w:link w:val="af9"/>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fb">
    <w:name w:val="本文 字元"/>
    <w:link w:val="af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d">
    <w:name w:val="頁首 字元"/>
    <w:link w:val="afe"/>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f">
    <w:name w:val="正文文本 字符"/>
    <w:rPr>
      <w:rFonts w:ascii="Arial" w:hAnsi="Arial"/>
      <w:lang w:val="en-GB"/>
    </w:rPr>
  </w:style>
  <w:style w:type="paragraph" w:styleId="afc">
    <w:name w:val="Body Text"/>
    <w:basedOn w:val="a0"/>
    <w:link w:val="afb"/>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4">
    <w:name w:val="index 1"/>
    <w:basedOn w:val="a0"/>
    <w:semiHidden/>
    <w:pPr>
      <w:keepLines/>
      <w:spacing w:after="0"/>
    </w:pPr>
  </w:style>
  <w:style w:type="paragraph" w:styleId="91">
    <w:name w:val="toc 9"/>
    <w:basedOn w:val="81"/>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f0">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e">
    <w:name w:val="header"/>
    <w:link w:val="afd"/>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25">
    <w:name w:val="toc 2"/>
    <w:basedOn w:val="15"/>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1">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1">
    <w:name w:val="toc 8"/>
    <w:basedOn w:val="15"/>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2">
    <w:name w:val="table of figures"/>
    <w:basedOn w:val="a0"/>
    <w:next w:val="a0"/>
    <w:uiPriority w:val="99"/>
    <w:pPr>
      <w:ind w:left="1418" w:hanging="1418"/>
      <w:jc w:val="left"/>
    </w:pPr>
    <w:rPr>
      <w:b/>
    </w:rPr>
  </w:style>
  <w:style w:type="paragraph" w:styleId="a">
    <w:name w:val="List Bullet"/>
    <w:basedOn w:val="afc"/>
    <w:pPr>
      <w:numPr>
        <w:numId w:val="5"/>
      </w:numPr>
      <w:tabs>
        <w:tab w:val="left" w:pos="510"/>
      </w:tabs>
    </w:pPr>
  </w:style>
  <w:style w:type="paragraph" w:customStyle="1" w:styleId="ZV">
    <w:name w:val="ZV"/>
    <w:basedOn w:val="ZU"/>
    <w:pPr>
      <w:framePr w:wrap="notBeside" w:y="16161"/>
    </w:pPr>
  </w:style>
  <w:style w:type="paragraph" w:styleId="af9">
    <w:name w:val="footer"/>
    <w:basedOn w:val="afe"/>
    <w:link w:val="af8"/>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3">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4">
    <w:name w:val="caption"/>
    <w:basedOn w:val="a0"/>
    <w:next w:val="a0"/>
    <w:qFormat/>
    <w:pPr>
      <w:spacing w:after="240"/>
      <w:jc w:val="center"/>
    </w:pPr>
    <w:rPr>
      <w:b/>
      <w:bCs/>
    </w:rPr>
  </w:style>
  <w:style w:type="paragraph" w:styleId="26">
    <w:name w:val="List Number 2"/>
    <w:basedOn w:val="aff5"/>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7"/>
    <w:link w:val="B2Char"/>
    <w:qFormat/>
    <w:pPr>
      <w:spacing w:after="180"/>
      <w:jc w:val="left"/>
    </w:pPr>
    <w:rPr>
      <w:lang w:eastAsia="en-US"/>
    </w:rPr>
  </w:style>
  <w:style w:type="paragraph" w:styleId="aff6">
    <w:name w:val="List Paragraph"/>
    <w:basedOn w:val="a0"/>
    <w:link w:val="aff7"/>
    <w:uiPriority w:val="34"/>
    <w:qFormat/>
    <w:pPr>
      <w:ind w:left="720"/>
      <w:contextualSpacing/>
    </w:pPr>
  </w:style>
  <w:style w:type="paragraph" w:styleId="aff8">
    <w:name w:val="annotation subject"/>
    <w:basedOn w:val="aff9"/>
    <w:next w:val="aff9"/>
    <w:semiHidden/>
    <w:rPr>
      <w:b/>
      <w:bCs/>
    </w:rPr>
  </w:style>
  <w:style w:type="paragraph" w:styleId="45">
    <w:name w:val="toc 4"/>
    <w:basedOn w:val="36"/>
    <w:semiHidden/>
    <w:pPr>
      <w:ind w:left="1418" w:hanging="1418"/>
    </w:pPr>
  </w:style>
  <w:style w:type="paragraph" w:customStyle="1" w:styleId="B1">
    <w:name w:val="B1"/>
    <w:basedOn w:val="aff1"/>
    <w:link w:val="B1Char"/>
    <w:qFormat/>
    <w:pPr>
      <w:spacing w:after="180"/>
      <w:jc w:val="left"/>
    </w:pPr>
    <w:rPr>
      <w:lang w:eastAsia="en-US"/>
    </w:rPr>
  </w:style>
  <w:style w:type="paragraph" w:styleId="73">
    <w:name w:val="toc 7"/>
    <w:basedOn w:val="63"/>
    <w:next w:val="a0"/>
    <w:semiHidden/>
    <w:pPr>
      <w:ind w:left="2268" w:hanging="2268"/>
    </w:pPr>
  </w:style>
  <w:style w:type="paragraph" w:styleId="27">
    <w:name w:val="List 2"/>
    <w:basedOn w:val="aff1"/>
    <w:qFormat/>
    <w:pPr>
      <w:ind w:left="851"/>
    </w:pPr>
  </w:style>
  <w:style w:type="paragraph" w:customStyle="1" w:styleId="EW">
    <w:name w:val="EW"/>
    <w:basedOn w:val="EX"/>
    <w:pPr>
      <w:spacing w:after="0"/>
    </w:pPr>
  </w:style>
  <w:style w:type="paragraph" w:styleId="35">
    <w:name w:val="List 3"/>
    <w:basedOn w:val="27"/>
    <w:pPr>
      <w:ind w:left="1135"/>
    </w:pPr>
  </w:style>
  <w:style w:type="paragraph" w:styleId="46">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6"/>
    <w:pPr>
      <w:ind w:left="1702"/>
    </w:pPr>
  </w:style>
  <w:style w:type="paragraph" w:customStyle="1" w:styleId="Figure">
    <w:name w:val="Figure"/>
    <w:basedOn w:val="a0"/>
    <w:next w:val="aff4"/>
    <w:pPr>
      <w:keepNext/>
      <w:keepLines/>
      <w:spacing w:before="180"/>
      <w:jc w:val="center"/>
    </w:pPr>
  </w:style>
  <w:style w:type="paragraph" w:styleId="aff9">
    <w:name w:val="annotation text"/>
    <w:basedOn w:val="a0"/>
    <w:link w:val="affa"/>
    <w:uiPriority w:val="9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5">
    <w:name w:val="List Number"/>
    <w:basedOn w:val="aff1"/>
  </w:style>
  <w:style w:type="paragraph" w:styleId="36">
    <w:name w:val="toc 3"/>
    <w:basedOn w:val="25"/>
    <w:uiPriority w:val="39"/>
    <w:pPr>
      <w:ind w:left="1134" w:hanging="1134"/>
    </w:pPr>
  </w:style>
  <w:style w:type="paragraph" w:customStyle="1" w:styleId="FP">
    <w:name w:val="FP"/>
    <w:basedOn w:val="a0"/>
    <w:pPr>
      <w:spacing w:after="0"/>
      <w:jc w:val="left"/>
    </w:pPr>
    <w:rPr>
      <w:lang w:eastAsia="en-US"/>
    </w:rPr>
  </w:style>
  <w:style w:type="paragraph" w:styleId="15">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8">
    <w:name w:val="index 2"/>
    <w:basedOn w:val="14"/>
    <w:semiHidden/>
    <w:pPr>
      <w:ind w:left="284"/>
    </w:pPr>
  </w:style>
  <w:style w:type="paragraph" w:styleId="56">
    <w:name w:val="toc 5"/>
    <w:basedOn w:val="45"/>
    <w:semiHidden/>
    <w:pPr>
      <w:tabs>
        <w:tab w:val="right" w:pos="1701"/>
      </w:tabs>
      <w:ind w:left="1701" w:hanging="1701"/>
    </w:pPr>
  </w:style>
  <w:style w:type="paragraph" w:styleId="63">
    <w:name w:val="toc 6"/>
    <w:basedOn w:val="56"/>
    <w:next w:val="a0"/>
    <w:semiHidden/>
    <w:pPr>
      <w:ind w:left="1985" w:hanging="1985"/>
    </w:pPr>
  </w:style>
  <w:style w:type="paragraph" w:customStyle="1" w:styleId="B4">
    <w:name w:val="B4"/>
    <w:basedOn w:val="46"/>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9"/>
    <w:next w:val="aff9"/>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註解文字 字元"/>
    <w:link w:val="aff9"/>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7">
    <w:name w:val="清單段落 字元"/>
    <w:link w:val="aff6"/>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Web">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character" w:styleId="affc">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標題 2 字元"/>
    <w:aliases w:val="Head2A 字元,2 字元,H2 字元,UNDERRUBRIK 1-2 字元,DO NOT USE_h2 字元,h2 字元,h21 字元,H2 Char 字元,h2 Char 字元"/>
    <w:basedOn w:val="a1"/>
    <w:link w:val="20"/>
    <w:rPr>
      <w:rFonts w:ascii="Arial" w:hAnsi="Arial"/>
      <w:sz w:val="32"/>
      <w:szCs w:val="32"/>
      <w:lang w:val="en-GB"/>
    </w:rPr>
  </w:style>
  <w:style w:type="character" w:customStyle="1" w:styleId="31">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1"/>
    <w:link w:val="30"/>
    <w:rsid w:val="002C278D"/>
    <w:rPr>
      <w:rFonts w:ascii="Arial" w:hAnsi="Arial"/>
      <w:sz w:val="28"/>
      <w:szCs w:val="28"/>
      <w:lang w:val="en-GB"/>
    </w:rPr>
  </w:style>
  <w:style w:type="character" w:styleId="affd">
    <w:name w:val="Strong"/>
    <w:basedOn w:val="a1"/>
    <w:uiPriority w:val="22"/>
    <w:qFormat/>
    <w:rPr>
      <w:b/>
      <w:bCs/>
    </w:rPr>
  </w:style>
  <w:style w:type="character" w:styleId="affe">
    <w:name w:val="Emphasis"/>
    <w:qFormat/>
    <w:rPr>
      <w:i/>
      <w:iCs/>
    </w:rPr>
  </w:style>
  <w:style w:type="paragraph" w:styleId="afff">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6"/>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7"/>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afff0">
    <w:name w:val="Unresolved Mention"/>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2363</Words>
  <Characters>13470</Characters>
  <Application>Microsoft Office Word</Application>
  <DocSecurity>0</DocSecurity>
  <Lines>112</Lines>
  <Paragraphs>31</Paragraphs>
  <ScaleCrop>false</ScaleCrop>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Richard Kuo(郭豊旗)</cp:lastModifiedBy>
  <cp:revision>3</cp:revision>
  <dcterms:created xsi:type="dcterms:W3CDTF">2025-04-25T06:34:00Z</dcterms:created>
  <dcterms:modified xsi:type="dcterms:W3CDTF">2025-04-25T07:13:00Z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