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D53" w:rsidRDefault="00A812A4">
      <w:pPr>
        <w:pStyle w:val="CRCoverPage"/>
        <w:tabs>
          <w:tab w:val="right" w:pos="9639"/>
        </w:tabs>
        <w:spacing w:after="0"/>
        <w:rPr>
          <w:b/>
          <w:bCs/>
          <w:i/>
          <w:sz w:val="24"/>
          <w:szCs w:val="24"/>
          <w:lang w:val="de-DE"/>
        </w:rPr>
      </w:pPr>
      <w:bookmarkStart w:id="0" w:name="_Ref181904463"/>
      <w:r>
        <w:rPr>
          <w:b/>
          <w:sz w:val="24"/>
          <w:szCs w:val="24"/>
          <w:lang w:val="de-DE"/>
        </w:rPr>
        <w:t>3GPP TSG-RAN WG2 #129bis</w:t>
      </w:r>
      <w:r>
        <w:rPr>
          <w:b/>
          <w:i/>
          <w:sz w:val="24"/>
          <w:szCs w:val="24"/>
          <w:lang w:val="de-DE"/>
        </w:rPr>
        <w:tab/>
      </w:r>
      <w:r>
        <w:rPr>
          <w:b/>
          <w:bCs/>
          <w:sz w:val="24"/>
          <w:szCs w:val="24"/>
          <w:lang w:val="de-DE"/>
        </w:rPr>
        <w:t>R2-250xxxx</w:t>
      </w:r>
    </w:p>
    <w:p w:rsidR="00AF5D53" w:rsidRDefault="00A812A4">
      <w:pPr>
        <w:pStyle w:val="CRCoverPage"/>
        <w:jc w:val="both"/>
        <w:outlineLvl w:val="0"/>
        <w:rPr>
          <w:b/>
          <w:sz w:val="24"/>
          <w:szCs w:val="24"/>
        </w:rPr>
      </w:pPr>
      <w:r>
        <w:rPr>
          <w:b/>
          <w:sz w:val="24"/>
          <w:szCs w:val="24"/>
        </w:rPr>
        <w:t>Malta, May 19th – 23st, 2025</w:t>
      </w:r>
    </w:p>
    <w:p w:rsidR="00AF5D53" w:rsidRDefault="00AF5D53">
      <w:pPr>
        <w:spacing w:after="60"/>
        <w:rPr>
          <w:rFonts w:eastAsia="DengXian" w:cs="Arial"/>
          <w:b/>
          <w:bCs/>
        </w:rPr>
      </w:pPr>
    </w:p>
    <w:bookmarkEnd w:id="0"/>
    <w:p w:rsidR="00AF5D53" w:rsidRDefault="00A812A4">
      <w:pPr>
        <w:pStyle w:val="3GPPHeader"/>
        <w:rPr>
          <w:lang w:val="sv-SE"/>
        </w:rPr>
      </w:pPr>
      <w:r>
        <w:rPr>
          <w:lang w:val="sv-SE"/>
        </w:rPr>
        <w:t>Agenda Item:</w:t>
      </w:r>
      <w:r>
        <w:rPr>
          <w:lang w:val="sv-SE"/>
        </w:rPr>
        <w:tab/>
      </w:r>
      <w:r>
        <w:rPr>
          <w:highlight w:val="yellow"/>
          <w:lang w:val="sv-SE"/>
        </w:rPr>
        <w:t>X.X.X</w:t>
      </w:r>
    </w:p>
    <w:p w:rsidR="00AF5D53" w:rsidRDefault="00A812A4">
      <w:pPr>
        <w:pStyle w:val="3GPPHeader"/>
      </w:pPr>
      <w:r>
        <w:t>Source:</w:t>
      </w:r>
      <w:r>
        <w:tab/>
        <w:t>Ericsson</w:t>
      </w:r>
    </w:p>
    <w:p w:rsidR="00AF5D53" w:rsidRDefault="00A812A4">
      <w:pPr>
        <w:pStyle w:val="3GPPHeader"/>
        <w:rPr>
          <w:color w:val="000000"/>
        </w:rPr>
      </w:pPr>
      <w:r>
        <w:t>Title:</w:t>
      </w:r>
      <w:r>
        <w:tab/>
        <w:t>Remaining RRC open issues for NR NTN Rel-19</w:t>
      </w:r>
    </w:p>
    <w:p w:rsidR="00AF5D53" w:rsidRDefault="00A812A4">
      <w:pPr>
        <w:pStyle w:val="3GPPHeader"/>
      </w:pPr>
      <w:r>
        <w:t>Document for:</w:t>
      </w:r>
      <w:r>
        <w:tab/>
        <w:t>Discussion, Decision</w:t>
      </w:r>
    </w:p>
    <w:p w:rsidR="00AF5D53" w:rsidRDefault="00A812A4">
      <w:pPr>
        <w:pStyle w:val="Heading1"/>
      </w:pPr>
      <w:r>
        <w:t>1</w:t>
      </w:r>
      <w:r>
        <w:tab/>
        <w:t>Introduction</w:t>
      </w:r>
    </w:p>
    <w:p w:rsidR="00AF5D53" w:rsidRDefault="00A812A4">
      <w:r>
        <w:t>The following document includes a list of open issues according to the following email discussion:</w:t>
      </w:r>
    </w:p>
    <w:p w:rsidR="00AF5D53" w:rsidRDefault="00A812A4">
      <w:pPr>
        <w:pStyle w:val="EmailDiscussion"/>
        <w:rPr>
          <w:lang w:val="de-DE"/>
        </w:rPr>
      </w:pPr>
      <w:r>
        <w:rPr>
          <w:lang w:val="de-DE"/>
        </w:rPr>
        <w:t>[Post129bis][305][R19 NR NTN] RRC CR (Ericsson)</w:t>
      </w:r>
    </w:p>
    <w:p w:rsidR="00AF5D53" w:rsidRDefault="00A812A4">
      <w:pPr>
        <w:pStyle w:val="EmailDiscussion2"/>
      </w:pPr>
      <w:r>
        <w:rPr>
          <w:lang w:val="de-DE"/>
        </w:rPr>
        <w:tab/>
      </w:r>
      <w:r>
        <w:t xml:space="preserve">Scope: discuss the running RRC CR </w:t>
      </w:r>
    </w:p>
    <w:p w:rsidR="00AF5D53" w:rsidRDefault="00A812A4">
      <w:pPr>
        <w:pStyle w:val="EmailDiscussion2"/>
      </w:pPr>
      <w:r>
        <w:tab/>
        <w:t>Intended outcome: Endorsed CR and list of open issues</w:t>
      </w:r>
    </w:p>
    <w:p w:rsidR="00AF5D53" w:rsidRDefault="00A812A4">
      <w:pPr>
        <w:pStyle w:val="EmailDiscussion2"/>
      </w:pPr>
      <w:r>
        <w:tab/>
        <w:t>Deadline: long</w:t>
      </w:r>
    </w:p>
    <w:p w:rsidR="00AF5D53" w:rsidRDefault="00AF5D53"/>
    <w:p w:rsidR="00AF5D53" w:rsidRDefault="00A812A4">
      <w:pPr>
        <w:rPr>
          <w:b/>
          <w:bCs/>
          <w:color w:val="FF0000"/>
        </w:rPr>
      </w:pPr>
      <w:r>
        <w:t>Companies are invited to provide feedback on open issue list by:</w:t>
      </w:r>
      <w:r>
        <w:rPr>
          <w:b/>
          <w:bCs/>
          <w:color w:val="FF0000"/>
        </w:rPr>
        <w:t xml:space="preserve"> May 1st 2025</w:t>
      </w:r>
    </w:p>
    <w:p w:rsidR="00AF5D53" w:rsidRDefault="00A812A4">
      <w:pPr>
        <w:pStyle w:val="Heading1"/>
      </w:pPr>
      <w:r>
        <w:t>2</w:t>
      </w:r>
      <w:r>
        <w:tab/>
        <w:t>Remaining open issues for specification TS 38.331</w:t>
      </w:r>
    </w:p>
    <w:p w:rsidR="00AF5D53" w:rsidRDefault="00A812A4">
      <w:pPr>
        <w:pStyle w:val="Heading3"/>
      </w:pPr>
      <w:r>
        <w:t>DL coverage enhancements</w:t>
      </w:r>
    </w:p>
    <w:p w:rsidR="00AF5D53" w:rsidRDefault="00A812A4">
      <w:pPr>
        <w:rPr>
          <w:b/>
          <w:bCs/>
          <w:lang w:eastAsia="sv-SE"/>
        </w:rPr>
      </w:pPr>
      <w:r>
        <w:rPr>
          <w:b/>
          <w:bCs/>
          <w:highlight w:val="cyan"/>
          <w:u w:val="single"/>
          <w:lang w:eastAsia="sv-SE"/>
        </w:rPr>
        <w:t>SMTC configuration and granularity</w:t>
      </w:r>
    </w:p>
    <w:p w:rsidR="00AF5D53" w:rsidRDefault="00A812A4">
      <w:pPr>
        <w:rPr>
          <w:lang w:eastAsia="sv-SE"/>
        </w:rPr>
      </w:pPr>
      <w:r>
        <w:rPr>
          <w:lang w:eastAsia="sv-SE"/>
        </w:rPr>
        <w:t>RAN2 has agreed to consider the support of multiple SMTC periodicities to cater the extended SSB periodicity and beam hopping introduced in Rel-19 NR NTN enhancements. This extension applies to UEs in all RRC states (idle, inactive and connected). In addition, RAN2 has agreed that more than 4 SMTCs can be configured for RRC_IDLE/INACTIVE mode and location assistance information may be provided to the UE to assist in the STMC selection.</w:t>
      </w:r>
    </w:p>
    <w:p w:rsidR="00AF5D53" w:rsidRDefault="00A812A4">
      <w:pPr>
        <w:rPr>
          <w:lang w:eastAsia="sv-SE"/>
        </w:rPr>
      </w:pPr>
      <w:r>
        <w:rPr>
          <w:lang w:eastAsia="sv-SE"/>
        </w:rPr>
        <w:t>The final confirmation for these enhancements depends on the response from RAN4, thus these open issues have not yet been captured in the rapporteur’s CR. In any case, RAN2 can still make some progress ironing out the following stage 3 details:</w:t>
      </w:r>
    </w:p>
    <w:p w:rsidR="00AF5D53" w:rsidRDefault="00A812A4">
      <w:pPr>
        <w:pStyle w:val="ListParagraph"/>
        <w:numPr>
          <w:ilvl w:val="0"/>
          <w:numId w:val="6"/>
        </w:numPr>
        <w:rPr>
          <w:lang w:eastAsia="sv-SE"/>
        </w:rPr>
      </w:pPr>
      <w:r>
        <w:rPr>
          <w:lang w:eastAsia="sv-SE"/>
        </w:rPr>
        <w:t>Backwards compatibility of multiple periodicities.</w:t>
      </w:r>
    </w:p>
    <w:p w:rsidR="00AF5D53" w:rsidRDefault="00A812A4">
      <w:pPr>
        <w:pStyle w:val="ListParagraph"/>
        <w:numPr>
          <w:ilvl w:val="0"/>
          <w:numId w:val="6"/>
        </w:numPr>
        <w:rPr>
          <w:lang w:eastAsia="sv-SE"/>
        </w:rPr>
      </w:pPr>
      <w:r>
        <w:rPr>
          <w:lang w:eastAsia="sv-SE"/>
        </w:rPr>
        <w:t>Maximum number of SMTCs that need to be supported (e.g., 6).</w:t>
      </w:r>
    </w:p>
    <w:p w:rsidR="00AF5D53" w:rsidRDefault="00A812A4">
      <w:pPr>
        <w:pStyle w:val="ListParagraph"/>
        <w:numPr>
          <w:ilvl w:val="0"/>
          <w:numId w:val="6"/>
        </w:numPr>
        <w:rPr>
          <w:lang w:eastAsia="sv-SE"/>
        </w:rPr>
      </w:pPr>
      <w:r>
        <w:rPr>
          <w:lang w:eastAsia="sv-SE"/>
        </w:rPr>
        <w:t>Association of SMTC with location/beam information (</w:t>
      </w:r>
      <w:r>
        <w:t>e.g. serving cell SSB index, reference location)</w:t>
      </w:r>
      <w:r>
        <w:rPr>
          <w:lang w:eastAsia="sv-SE"/>
        </w:rPr>
        <w:t>.</w:t>
      </w:r>
    </w:p>
    <w:p w:rsidR="00AF5D53" w:rsidRDefault="00AF5D53">
      <w:pPr>
        <w:rPr>
          <w:lang w:eastAsia="sv-SE"/>
        </w:rPr>
      </w:pPr>
    </w:p>
    <w:p w:rsidR="00AF5D53" w:rsidRDefault="00A812A4">
      <w:pPr>
        <w:rPr>
          <w:lang w:eastAsia="sv-SE"/>
        </w:rPr>
      </w:pPr>
      <w:r>
        <w:rPr>
          <w:lang w:eastAsia="sv-SE"/>
        </w:rPr>
        <w:lastRenderedPageBreak/>
        <w:t>For the first issue, when the new SMTC periodicity is included in system information broadcast, the rapporteur has identified to possible options:</w:t>
      </w:r>
    </w:p>
    <w:p w:rsidR="00AF5D53" w:rsidRDefault="00A812A4">
      <w:pPr>
        <w:pStyle w:val="ListParagraph"/>
        <w:numPr>
          <w:ilvl w:val="0"/>
          <w:numId w:val="6"/>
        </w:numPr>
        <w:rPr>
          <w:lang w:eastAsia="sv-SE"/>
        </w:rPr>
      </w:pPr>
      <w:r>
        <w:rPr>
          <w:b/>
          <w:bCs/>
          <w:lang w:eastAsia="sv-SE"/>
        </w:rPr>
        <w:t>1) Backwards compatible</w:t>
      </w:r>
      <w:r>
        <w:rPr>
          <w:lang w:eastAsia="sv-SE"/>
        </w:rPr>
        <w:t xml:space="preserve">: ensures that legacy UEs can still (somewhat) operate within the cell and perform </w:t>
      </w:r>
      <w:proofErr w:type="spellStart"/>
      <w:r>
        <w:rPr>
          <w:lang w:eastAsia="sv-SE"/>
        </w:rPr>
        <w:t>neighbour</w:t>
      </w:r>
      <w:proofErr w:type="spellEnd"/>
      <w:r>
        <w:rPr>
          <w:lang w:eastAsia="sv-SE"/>
        </w:rPr>
        <w:t xml:space="preserve"> cell measurements. Here, rapporteur proposes two alternatives:</w:t>
      </w:r>
    </w:p>
    <w:p w:rsidR="00AF5D53" w:rsidRDefault="00A812A4">
      <w:pPr>
        <w:pStyle w:val="ListParagraph"/>
        <w:numPr>
          <w:ilvl w:val="1"/>
          <w:numId w:val="6"/>
        </w:numPr>
        <w:rPr>
          <w:lang w:eastAsia="sv-SE"/>
        </w:rPr>
      </w:pPr>
      <w:r>
        <w:rPr>
          <w:lang w:eastAsia="sv-SE"/>
        </w:rPr>
        <w:t>1a) The new SMTC periodicity is provided as an extension of SMTC4 list.</w:t>
      </w:r>
    </w:p>
    <w:p w:rsidR="00AF5D53" w:rsidRDefault="00A812A4">
      <w:pPr>
        <w:pStyle w:val="ListParagraph"/>
        <w:numPr>
          <w:ilvl w:val="1"/>
          <w:numId w:val="6"/>
        </w:numPr>
        <w:rPr>
          <w:lang w:eastAsia="sv-SE"/>
        </w:rPr>
      </w:pPr>
      <w:r>
        <w:rPr>
          <w:lang w:eastAsia="sv-SE"/>
        </w:rPr>
        <w:t>1b) A new field is introduced (e.g., SMTC5) to be used by Rel-19 UEs which support DL coverage enhancements. Network may still configure SMTC4 for legacy UEs and Rel-19 DL CE NTN UEs should ignore SMTC4 when SMTC5 is configured.</w:t>
      </w:r>
    </w:p>
    <w:p w:rsidR="00AF5D53" w:rsidRDefault="00A812A4">
      <w:pPr>
        <w:pStyle w:val="ListParagraph"/>
        <w:numPr>
          <w:ilvl w:val="0"/>
          <w:numId w:val="6"/>
        </w:numPr>
        <w:rPr>
          <w:lang w:eastAsia="sv-SE"/>
        </w:rPr>
      </w:pPr>
      <w:r>
        <w:rPr>
          <w:b/>
          <w:bCs/>
          <w:lang w:eastAsia="sv-SE"/>
        </w:rPr>
        <w:t>2) Non-backwards compatible</w:t>
      </w:r>
      <w:r>
        <w:rPr>
          <w:lang w:eastAsia="sv-SE"/>
        </w:rPr>
        <w:t xml:space="preserve">: A new field is introduced (e.g., SMTC5) to be used by Rel-19 UEs which support DL coverage enhancements. Network is not expected to configure legacy SMTC4. Legacy UEs may have limited operation in the cell in terms of </w:t>
      </w:r>
      <w:proofErr w:type="spellStart"/>
      <w:r>
        <w:rPr>
          <w:lang w:eastAsia="sv-SE"/>
        </w:rPr>
        <w:t>neighbour</w:t>
      </w:r>
      <w:proofErr w:type="spellEnd"/>
      <w:r>
        <w:rPr>
          <w:lang w:eastAsia="sv-SE"/>
        </w:rPr>
        <w:t xml:space="preserve"> cell measurements.</w:t>
      </w:r>
    </w:p>
    <w:p w:rsidR="00AF5D53" w:rsidRDefault="00AF5D53">
      <w:pPr>
        <w:rPr>
          <w:lang w:eastAsia="sv-SE"/>
        </w:rPr>
      </w:pPr>
    </w:p>
    <w:p w:rsidR="00AF5D53" w:rsidRDefault="00A812A4">
      <w:pPr>
        <w:rPr>
          <w:lang w:eastAsia="sv-SE"/>
        </w:rPr>
      </w:pPr>
      <w:r>
        <w:rPr>
          <w:lang w:eastAsia="sv-SE"/>
        </w:rPr>
        <w:t>Companies are invited to provide feedback regarding the above open issue and possible proposed resolution:</w:t>
      </w:r>
    </w:p>
    <w:tbl>
      <w:tblPr>
        <w:tblStyle w:val="TableGrid"/>
        <w:tblW w:w="0" w:type="auto"/>
        <w:tblLook w:val="04A0" w:firstRow="1" w:lastRow="0" w:firstColumn="1" w:lastColumn="0" w:noHBand="0" w:noVBand="1"/>
      </w:tblPr>
      <w:tblGrid>
        <w:gridCol w:w="1615"/>
        <w:gridCol w:w="1170"/>
        <w:gridCol w:w="6844"/>
      </w:tblGrid>
      <w:tr w:rsidR="00AF5D53">
        <w:tc>
          <w:tcPr>
            <w:tcW w:w="1615" w:type="dxa"/>
            <w:shd w:val="clear" w:color="auto" w:fill="E7E6E6" w:themeFill="background2"/>
            <w:vAlign w:val="center"/>
          </w:tcPr>
          <w:p w:rsidR="00AF5D53" w:rsidRDefault="00A812A4">
            <w:pPr>
              <w:jc w:val="center"/>
              <w:rPr>
                <w:b/>
                <w:bCs/>
                <w:lang w:eastAsia="sv-SE"/>
              </w:rPr>
            </w:pPr>
            <w:r>
              <w:rPr>
                <w:b/>
                <w:bCs/>
                <w:lang w:eastAsia="sv-SE"/>
              </w:rPr>
              <w:t>Company</w:t>
            </w:r>
          </w:p>
        </w:tc>
        <w:tc>
          <w:tcPr>
            <w:tcW w:w="1170" w:type="dxa"/>
            <w:shd w:val="clear" w:color="auto" w:fill="E7E6E6" w:themeFill="background2"/>
            <w:vAlign w:val="center"/>
          </w:tcPr>
          <w:p w:rsidR="00AF5D53" w:rsidRDefault="00A812A4">
            <w:pPr>
              <w:jc w:val="center"/>
              <w:rPr>
                <w:b/>
                <w:bCs/>
                <w:lang w:eastAsia="sv-SE"/>
              </w:rPr>
            </w:pPr>
            <w:r>
              <w:rPr>
                <w:b/>
                <w:bCs/>
                <w:lang w:eastAsia="sv-SE"/>
              </w:rPr>
              <w:t>Option</w:t>
            </w:r>
          </w:p>
        </w:tc>
        <w:tc>
          <w:tcPr>
            <w:tcW w:w="6844" w:type="dxa"/>
            <w:shd w:val="clear" w:color="auto" w:fill="E7E6E6" w:themeFill="background2"/>
            <w:vAlign w:val="center"/>
          </w:tcPr>
          <w:p w:rsidR="00AF5D53" w:rsidRDefault="00A812A4">
            <w:pPr>
              <w:jc w:val="center"/>
              <w:rPr>
                <w:b/>
                <w:bCs/>
                <w:lang w:eastAsia="sv-SE"/>
              </w:rPr>
            </w:pPr>
            <w:r>
              <w:rPr>
                <w:b/>
                <w:bCs/>
                <w:lang w:eastAsia="sv-SE"/>
              </w:rPr>
              <w:t>Other comments</w:t>
            </w:r>
          </w:p>
        </w:tc>
      </w:tr>
      <w:tr w:rsidR="00AF5D53">
        <w:tc>
          <w:tcPr>
            <w:tcW w:w="1615" w:type="dxa"/>
            <w:vAlign w:val="center"/>
          </w:tcPr>
          <w:p w:rsidR="00AF5D53" w:rsidRDefault="00A812A4">
            <w:pPr>
              <w:jc w:val="center"/>
            </w:pPr>
            <w:r>
              <w:rPr>
                <w:rFonts w:eastAsiaTheme="minorEastAsia" w:hint="eastAsia"/>
              </w:rPr>
              <w:t>CATT</w:t>
            </w:r>
          </w:p>
        </w:tc>
        <w:tc>
          <w:tcPr>
            <w:tcW w:w="1170" w:type="dxa"/>
            <w:vAlign w:val="center"/>
          </w:tcPr>
          <w:p w:rsidR="00AF5D53" w:rsidRDefault="00A812A4">
            <w:pPr>
              <w:jc w:val="center"/>
            </w:pPr>
            <w:r>
              <w:rPr>
                <w:rFonts w:eastAsiaTheme="minorEastAsia" w:hint="eastAsia"/>
              </w:rPr>
              <w:t>1a) or 1b)</w:t>
            </w:r>
          </w:p>
        </w:tc>
        <w:tc>
          <w:tcPr>
            <w:tcW w:w="6844" w:type="dxa"/>
            <w:vAlign w:val="center"/>
          </w:tcPr>
          <w:p w:rsidR="00AF5D53" w:rsidRDefault="00A812A4">
            <w:r>
              <w:rPr>
                <w:rFonts w:eastAsiaTheme="minorEastAsia" w:hint="eastAsia"/>
              </w:rPr>
              <w:t>From our perspective, there seems to be no need to prevent NW from configuring the SMTC(s) used for legacy UEs, using the legacy SMTC4 list. A</w:t>
            </w:r>
            <w:r>
              <w:rPr>
                <w:rFonts w:eastAsiaTheme="minorEastAsia"/>
              </w:rPr>
              <w:t>lthough</w:t>
            </w:r>
            <w:r>
              <w:rPr>
                <w:rFonts w:eastAsiaTheme="minorEastAsia" w:hint="eastAsia"/>
              </w:rPr>
              <w:t xml:space="preserve"> under system-level beam hopping deployment such SMTC4 list configuration may not be optimal, we on the other hand haven't decided to bar the legacy UE either, thus not prohibiting such deployment serving legacy UEs. So better to support some forms of BC handling, if possible (even though not </w:t>
            </w:r>
            <w:r>
              <w:rPr>
                <w:rFonts w:eastAsiaTheme="minorEastAsia"/>
              </w:rPr>
              <w:t>optimal</w:t>
            </w:r>
            <w:r>
              <w:rPr>
                <w:rFonts w:eastAsiaTheme="minorEastAsia" w:hint="eastAsia"/>
              </w:rPr>
              <w:t>).</w:t>
            </w:r>
          </w:p>
          <w:p w:rsidR="00AF5D53" w:rsidRDefault="00A812A4">
            <w:r>
              <w:rPr>
                <w:rFonts w:eastAsiaTheme="minorEastAsia" w:hint="eastAsia"/>
              </w:rPr>
              <w:t xml:space="preserve">Regarding 1a) vs. 1b), this depends on whether NW can/should/need configure an SMTC configuration that can be shared by the legacy UEs and Rel-19 DL CE capable UEs. We currently </w:t>
            </w:r>
            <w:r>
              <w:rPr>
                <w:rFonts w:eastAsiaTheme="minorEastAsia"/>
              </w:rPr>
              <w:t>slightly</w:t>
            </w:r>
            <w:r>
              <w:rPr>
                <w:rFonts w:eastAsiaTheme="minorEastAsia" w:hint="eastAsia"/>
              </w:rPr>
              <w:t xml:space="preserve"> prefer option 1b), but can depend on majority's view from a NW deployment perspective.  </w:t>
            </w:r>
          </w:p>
        </w:tc>
      </w:tr>
      <w:tr w:rsidR="00AF5D53">
        <w:tc>
          <w:tcPr>
            <w:tcW w:w="1615" w:type="dxa"/>
            <w:vAlign w:val="center"/>
          </w:tcPr>
          <w:p w:rsidR="00AF5D53" w:rsidRDefault="00A812A4">
            <w:pPr>
              <w:jc w:val="center"/>
              <w:rPr>
                <w:lang w:eastAsia="sv-SE"/>
              </w:rPr>
            </w:pPr>
            <w:r>
              <w:rPr>
                <w:lang w:eastAsia="sv-SE"/>
              </w:rPr>
              <w:t>Apple</w:t>
            </w:r>
          </w:p>
        </w:tc>
        <w:tc>
          <w:tcPr>
            <w:tcW w:w="1170" w:type="dxa"/>
            <w:vAlign w:val="center"/>
          </w:tcPr>
          <w:p w:rsidR="00AF5D53" w:rsidRDefault="00A812A4">
            <w:pPr>
              <w:jc w:val="center"/>
              <w:rPr>
                <w:lang w:eastAsia="sv-SE"/>
              </w:rPr>
            </w:pPr>
            <w:r>
              <w:rPr>
                <w:lang w:eastAsia="sv-SE"/>
              </w:rPr>
              <w:t xml:space="preserve">1a) </w:t>
            </w:r>
          </w:p>
        </w:tc>
        <w:tc>
          <w:tcPr>
            <w:tcW w:w="6844" w:type="dxa"/>
            <w:vAlign w:val="center"/>
          </w:tcPr>
          <w:p w:rsidR="00AF5D53" w:rsidRDefault="00A812A4">
            <w:r>
              <w:rPr>
                <w:rFonts w:hint="eastAsia"/>
              </w:rPr>
              <w:t>1a)</w:t>
            </w:r>
            <w:r>
              <w:t xml:space="preserve"> seems the simplest one.</w:t>
            </w:r>
          </w:p>
          <w:p w:rsidR="00AF5D53" w:rsidRDefault="00A812A4">
            <w:pPr>
              <w:rPr>
                <w:lang w:eastAsia="sv-SE"/>
              </w:rPr>
            </w:pPr>
            <w:r>
              <w:rPr>
                <w:lang w:eastAsia="sv-SE"/>
              </w:rPr>
              <w:t xml:space="preserve">There is no significant need to introduce a brand new complete SMTC configuration with multiple periodicities included. </w:t>
            </w:r>
          </w:p>
        </w:tc>
      </w:tr>
      <w:tr w:rsidR="00AF5D53">
        <w:tc>
          <w:tcPr>
            <w:tcW w:w="1615" w:type="dxa"/>
            <w:vAlign w:val="center"/>
          </w:tcPr>
          <w:p w:rsidR="00AF5D53" w:rsidRDefault="00A812A4">
            <w:pPr>
              <w:jc w:val="center"/>
              <w:rPr>
                <w:lang w:eastAsia="sv-SE"/>
              </w:rPr>
            </w:pPr>
            <w:r>
              <w:rPr>
                <w:rFonts w:ascii="Arial" w:hAnsi="Arial" w:cs="Arial"/>
                <w:sz w:val="20"/>
                <w:szCs w:val="20"/>
              </w:rPr>
              <w:t>vivo</w:t>
            </w:r>
          </w:p>
        </w:tc>
        <w:tc>
          <w:tcPr>
            <w:tcW w:w="1170" w:type="dxa"/>
            <w:vAlign w:val="center"/>
          </w:tcPr>
          <w:p w:rsidR="00AF5D53" w:rsidRDefault="00A812A4">
            <w:pPr>
              <w:jc w:val="center"/>
            </w:pPr>
            <w:r>
              <w:rPr>
                <w:rFonts w:eastAsiaTheme="minorEastAsia" w:hint="eastAsia"/>
              </w:rPr>
              <w:t>1</w:t>
            </w:r>
            <w:r>
              <w:rPr>
                <w:rFonts w:eastAsiaTheme="minorEastAsia"/>
              </w:rPr>
              <w:t>b</w:t>
            </w:r>
            <w:r>
              <w:rPr>
                <w:rFonts w:eastAsiaTheme="minorEastAsia" w:hint="eastAsia"/>
              </w:rPr>
              <w:t>)</w:t>
            </w:r>
          </w:p>
        </w:tc>
        <w:tc>
          <w:tcPr>
            <w:tcW w:w="6844" w:type="dxa"/>
            <w:vAlign w:val="center"/>
          </w:tcPr>
          <w:p w:rsidR="00AF5D53" w:rsidRDefault="00A812A4">
            <w:pPr>
              <w:rPr>
                <w:lang w:eastAsia="sv-SE"/>
              </w:rPr>
            </w:pPr>
            <w:r>
              <w:rPr>
                <w:lang w:eastAsia="sv-SE"/>
              </w:rPr>
              <w:t>O</w:t>
            </w:r>
            <w:r>
              <w:rPr>
                <w:rFonts w:hint="eastAsia"/>
                <w:lang w:eastAsia="sv-SE"/>
              </w:rPr>
              <w:t>ption</w:t>
            </w:r>
            <w:r>
              <w:rPr>
                <w:lang w:eastAsia="sv-SE"/>
              </w:rPr>
              <w:t xml:space="preserve"> 1</w:t>
            </w:r>
            <w:r>
              <w:rPr>
                <w:rFonts w:hint="eastAsia"/>
                <w:lang w:eastAsia="sv-SE"/>
              </w:rPr>
              <w:t>b</w:t>
            </w:r>
            <w:r>
              <w:rPr>
                <w:lang w:eastAsia="sv-SE"/>
              </w:rPr>
              <w:t xml:space="preserve"> is the preferable choice since it has the potential to minimize the impacts on legacy UEs. In any case, considering RAN4 has not yet given its confirmation, we believe it is advisable to defer addressing this issue.</w:t>
            </w:r>
          </w:p>
        </w:tc>
      </w:tr>
      <w:tr w:rsidR="00AF5D53">
        <w:tc>
          <w:tcPr>
            <w:tcW w:w="1615" w:type="dxa"/>
            <w:vAlign w:val="center"/>
          </w:tcPr>
          <w:p w:rsidR="00AF5D53" w:rsidRDefault="00A812A4">
            <w:pPr>
              <w:jc w:val="center"/>
            </w:pPr>
            <w:r>
              <w:rPr>
                <w:rFonts w:eastAsiaTheme="minorEastAsia" w:hint="eastAsia"/>
              </w:rPr>
              <w:t>O</w:t>
            </w:r>
            <w:r>
              <w:rPr>
                <w:rFonts w:eastAsiaTheme="minorEastAsia"/>
              </w:rPr>
              <w:t>PPO</w:t>
            </w:r>
          </w:p>
        </w:tc>
        <w:tc>
          <w:tcPr>
            <w:tcW w:w="1170" w:type="dxa"/>
            <w:vAlign w:val="center"/>
          </w:tcPr>
          <w:p w:rsidR="00AF5D53" w:rsidRDefault="00A812A4">
            <w:pPr>
              <w:jc w:val="center"/>
            </w:pPr>
            <w:r>
              <w:rPr>
                <w:rFonts w:eastAsiaTheme="minorEastAsia" w:hint="eastAsia"/>
              </w:rPr>
              <w:t>1</w:t>
            </w:r>
            <w:r>
              <w:rPr>
                <w:rFonts w:eastAsiaTheme="minorEastAsia"/>
              </w:rPr>
              <w:t>b)</w:t>
            </w:r>
          </w:p>
        </w:tc>
        <w:tc>
          <w:tcPr>
            <w:tcW w:w="6844" w:type="dxa"/>
            <w:vAlign w:val="center"/>
          </w:tcPr>
          <w:p w:rsidR="00AF5D53" w:rsidRDefault="00A812A4">
            <w:pPr>
              <w:jc w:val="center"/>
            </w:pPr>
            <w:r>
              <w:rPr>
                <w:rFonts w:eastAsiaTheme="minorEastAsia"/>
              </w:rPr>
              <w:t>Based on current agreement, there is no need to bar legacy UE from SMTC enhanment perspective. So backwards compatible manner is preferred. For Opiton 1 a) and 1b), it seems 1b) is a clear way for legacy UE and DL CE UE which do not have impact on legacy UE.</w:t>
            </w:r>
          </w:p>
        </w:tc>
      </w:tr>
      <w:tr w:rsidR="00AF5D53">
        <w:tc>
          <w:tcPr>
            <w:tcW w:w="1615" w:type="dxa"/>
            <w:vAlign w:val="center"/>
          </w:tcPr>
          <w:p w:rsidR="00AF5D53" w:rsidRDefault="00A812A4">
            <w:pPr>
              <w:jc w:val="center"/>
              <w:rPr>
                <w:lang w:eastAsia="sv-SE"/>
              </w:rPr>
            </w:pPr>
            <w:r>
              <w:rPr>
                <w:rFonts w:eastAsia="Yu Mincho" w:hint="eastAsia"/>
              </w:rPr>
              <w:t>Sharp</w:t>
            </w:r>
          </w:p>
        </w:tc>
        <w:tc>
          <w:tcPr>
            <w:tcW w:w="1170" w:type="dxa"/>
            <w:vAlign w:val="center"/>
          </w:tcPr>
          <w:p w:rsidR="00AF5D53" w:rsidRDefault="00A812A4">
            <w:pPr>
              <w:jc w:val="center"/>
              <w:rPr>
                <w:lang w:eastAsia="sv-SE"/>
              </w:rPr>
            </w:pPr>
            <w:r>
              <w:rPr>
                <w:rFonts w:eastAsia="Yu Mincho" w:hint="eastAsia"/>
              </w:rPr>
              <w:t>1b)</w:t>
            </w:r>
          </w:p>
        </w:tc>
        <w:tc>
          <w:tcPr>
            <w:tcW w:w="6844" w:type="dxa"/>
            <w:vAlign w:val="center"/>
          </w:tcPr>
          <w:p w:rsidR="00AF5D53" w:rsidRDefault="00A812A4">
            <w:pPr>
              <w:rPr>
                <w:lang w:eastAsia="sv-SE"/>
              </w:rPr>
            </w:pPr>
            <w:r>
              <w:rPr>
                <w:rFonts w:eastAsia="Yu Mincho"/>
              </w:rPr>
              <w:t>I</w:t>
            </w:r>
            <w:r>
              <w:rPr>
                <w:rFonts w:eastAsia="Yu Mincho" w:hint="eastAsia"/>
              </w:rPr>
              <w:t xml:space="preserve">t is preferable to introduce new SMTC with backwards </w:t>
            </w:r>
            <w:r>
              <w:rPr>
                <w:rFonts w:eastAsia="Yu Mincho"/>
              </w:rPr>
              <w:t>compatible</w:t>
            </w:r>
            <w:r>
              <w:rPr>
                <w:rFonts w:eastAsia="Yu Mincho" w:hint="eastAsia"/>
              </w:rPr>
              <w:t xml:space="preserve"> manner t</w:t>
            </w:r>
            <w:r>
              <w:rPr>
                <w:rFonts w:eastAsia="Yu Mincho"/>
              </w:rPr>
              <w:t>o eliminate impact</w:t>
            </w:r>
            <w:r>
              <w:rPr>
                <w:rFonts w:eastAsia="Yu Mincho" w:hint="eastAsia"/>
              </w:rPr>
              <w:t>s</w:t>
            </w:r>
            <w:r>
              <w:rPr>
                <w:rFonts w:eastAsia="Yu Mincho"/>
              </w:rPr>
              <w:t xml:space="preserve"> on legacy </w:t>
            </w:r>
            <w:r>
              <w:rPr>
                <w:rFonts w:eastAsia="Yu Mincho" w:hint="eastAsia"/>
              </w:rPr>
              <w:t>UE</w:t>
            </w:r>
            <w:r>
              <w:rPr>
                <w:rFonts w:eastAsia="Yu Mincho"/>
              </w:rPr>
              <w:t>s</w:t>
            </w:r>
            <w:r>
              <w:rPr>
                <w:rFonts w:eastAsia="Yu Mincho" w:hint="eastAsia"/>
              </w:rPr>
              <w:t>.</w:t>
            </w:r>
          </w:p>
        </w:tc>
      </w:tr>
      <w:tr w:rsidR="00AF5D53">
        <w:tc>
          <w:tcPr>
            <w:tcW w:w="1615" w:type="dxa"/>
            <w:vAlign w:val="center"/>
          </w:tcPr>
          <w:p w:rsidR="00AF5D53" w:rsidRDefault="00A812A4">
            <w:pPr>
              <w:jc w:val="center"/>
              <w:rPr>
                <w:lang w:eastAsia="sv-SE"/>
              </w:rPr>
            </w:pPr>
            <w:r>
              <w:rPr>
                <w:lang w:eastAsia="sv-SE"/>
              </w:rPr>
              <w:t>Qualcomm</w:t>
            </w:r>
          </w:p>
        </w:tc>
        <w:tc>
          <w:tcPr>
            <w:tcW w:w="1170" w:type="dxa"/>
            <w:vAlign w:val="center"/>
          </w:tcPr>
          <w:p w:rsidR="00AF5D53" w:rsidRDefault="00A812A4">
            <w:pPr>
              <w:jc w:val="center"/>
              <w:rPr>
                <w:lang w:eastAsia="sv-SE"/>
              </w:rPr>
            </w:pPr>
            <w:r>
              <w:rPr>
                <w:lang w:eastAsia="sv-SE"/>
              </w:rPr>
              <w:t>1a)</w:t>
            </w:r>
          </w:p>
        </w:tc>
        <w:tc>
          <w:tcPr>
            <w:tcW w:w="6844" w:type="dxa"/>
            <w:vAlign w:val="center"/>
          </w:tcPr>
          <w:p w:rsidR="00AF5D53" w:rsidRDefault="00A812A4">
            <w:pPr>
              <w:rPr>
                <w:lang w:eastAsia="sv-SE"/>
              </w:rPr>
            </w:pPr>
            <w:r>
              <w:rPr>
                <w:lang w:eastAsia="sv-SE"/>
              </w:rPr>
              <w:t xml:space="preserve">Probably it is not good idea to make some UEs use different SMTC offsets and network has to repeat same 4 SMTCs+list of cells in two different list. </w:t>
            </w:r>
            <w:r>
              <w:rPr>
                <w:lang w:eastAsia="sv-SE"/>
              </w:rPr>
              <w:lastRenderedPageBreak/>
              <w:t>If RAN4 does not confirm, there is even no motivation of 1b).</w:t>
            </w:r>
          </w:p>
        </w:tc>
      </w:tr>
      <w:tr w:rsidR="00AF5D53">
        <w:tc>
          <w:tcPr>
            <w:tcW w:w="1615" w:type="dxa"/>
            <w:vAlign w:val="center"/>
          </w:tcPr>
          <w:p w:rsidR="00AF5D53" w:rsidRDefault="00A812A4">
            <w:pPr>
              <w:jc w:val="center"/>
              <w:rPr>
                <w:lang w:eastAsia="sv-SE"/>
              </w:rPr>
            </w:pPr>
            <w:r>
              <w:rPr>
                <w:rFonts w:asciiTheme="minorEastAsia" w:eastAsiaTheme="minorEastAsia" w:hAnsiTheme="minorEastAsia" w:hint="eastAsia"/>
              </w:rPr>
              <w:lastRenderedPageBreak/>
              <w:t>Xiaomi</w:t>
            </w:r>
          </w:p>
        </w:tc>
        <w:tc>
          <w:tcPr>
            <w:tcW w:w="1170" w:type="dxa"/>
            <w:vAlign w:val="center"/>
          </w:tcPr>
          <w:p w:rsidR="00AF5D53" w:rsidRDefault="00A812A4">
            <w:pPr>
              <w:jc w:val="center"/>
            </w:pPr>
            <w:r>
              <w:rPr>
                <w:rFonts w:eastAsiaTheme="minorEastAsia" w:hint="eastAsia"/>
              </w:rPr>
              <w:t>1a</w:t>
            </w:r>
            <w:r>
              <w:rPr>
                <w:rFonts w:eastAsiaTheme="minorEastAsia"/>
              </w:rPr>
              <w:t>)</w:t>
            </w:r>
          </w:p>
        </w:tc>
        <w:tc>
          <w:tcPr>
            <w:tcW w:w="6844" w:type="dxa"/>
            <w:vAlign w:val="center"/>
          </w:tcPr>
          <w:p w:rsidR="00AF5D53" w:rsidRDefault="00A812A4">
            <w:pPr>
              <w:rPr>
                <w:lang w:eastAsia="sv-SE"/>
              </w:rPr>
            </w:pPr>
            <w:r>
              <w:rPr>
                <w:rFonts w:eastAsiaTheme="minorEastAsia" w:hint="eastAsia"/>
              </w:rPr>
              <w:t xml:space="preserve">Network can configured the periodicity </w:t>
            </w:r>
            <w:r>
              <w:rPr>
                <w:rFonts w:eastAsiaTheme="minorEastAsia"/>
              </w:rPr>
              <w:t>of</w:t>
            </w:r>
            <w:r>
              <w:rPr>
                <w:rFonts w:eastAsiaTheme="minorEastAsia" w:hint="eastAsia"/>
              </w:rPr>
              <w:t xml:space="preserve"> </w:t>
            </w:r>
            <w:r>
              <w:rPr>
                <w:rFonts w:eastAsiaTheme="minorEastAsia"/>
              </w:rPr>
              <w:t xml:space="preserve">smtc to be multiple of new periodicity for one or more of the smtcs in smtc4list. In this way, </w:t>
            </w:r>
            <w:r>
              <w:rPr>
                <w:rFonts w:eastAsiaTheme="minorEastAsia" w:hint="eastAsia"/>
              </w:rPr>
              <w:t xml:space="preserve">Legacy </w:t>
            </w:r>
            <w:r>
              <w:rPr>
                <w:rFonts w:eastAsiaTheme="minorEastAsia"/>
              </w:rPr>
              <w:t xml:space="preserve">UE using </w:t>
            </w:r>
            <w:r>
              <w:rPr>
                <w:rFonts w:eastAsiaTheme="minorEastAsia" w:hint="eastAsia"/>
              </w:rPr>
              <w:t xml:space="preserve">larger periodicity </w:t>
            </w:r>
            <w:r>
              <w:rPr>
                <w:rFonts w:eastAsiaTheme="minorEastAsia"/>
              </w:rPr>
              <w:t xml:space="preserve">and new UEs using </w:t>
            </w:r>
            <w:r>
              <w:rPr>
                <w:rFonts w:eastAsiaTheme="minorEastAsia" w:hint="eastAsia"/>
              </w:rPr>
              <w:t xml:space="preserve">new </w:t>
            </w:r>
            <w:r>
              <w:rPr>
                <w:rFonts w:eastAsiaTheme="minorEastAsia"/>
              </w:rPr>
              <w:t xml:space="preserve">smaller </w:t>
            </w:r>
            <w:r>
              <w:rPr>
                <w:rFonts w:eastAsiaTheme="minorEastAsia" w:hint="eastAsia"/>
              </w:rPr>
              <w:t>periodicity</w:t>
            </w:r>
            <w:r>
              <w:rPr>
                <w:rFonts w:eastAsiaTheme="minorEastAsia"/>
              </w:rPr>
              <w:t xml:space="preserve"> (corresponding to actual neighbor cell SSB periodicity) would both work fine</w:t>
            </w:r>
            <w:r>
              <w:rPr>
                <w:rFonts w:eastAsiaTheme="minorEastAsia" w:hint="eastAsia"/>
              </w:rPr>
              <w:t>.</w:t>
            </w:r>
            <w:r>
              <w:rPr>
                <w:rFonts w:eastAsiaTheme="minorEastAsia"/>
              </w:rPr>
              <w:t xml:space="preserve"> And we agree with QC that, configuring different SMTC offsets for legacy UE and new UE doesn't make sense.</w:t>
            </w:r>
          </w:p>
        </w:tc>
      </w:tr>
      <w:tr w:rsidR="00AF5D53">
        <w:tc>
          <w:tcPr>
            <w:tcW w:w="1615" w:type="dxa"/>
            <w:vAlign w:val="center"/>
          </w:tcPr>
          <w:p w:rsidR="00AF5D53" w:rsidRDefault="00A812A4">
            <w:pPr>
              <w:jc w:val="center"/>
              <w:rPr>
                <w:rFonts w:asciiTheme="minorEastAsia" w:hAnsiTheme="minorEastAsia"/>
              </w:rPr>
            </w:pPr>
            <w:r>
              <w:rPr>
                <w:lang w:eastAsia="sv-SE"/>
              </w:rPr>
              <w:t>Huawei, HiSilicon</w:t>
            </w:r>
          </w:p>
        </w:tc>
        <w:tc>
          <w:tcPr>
            <w:tcW w:w="1170" w:type="dxa"/>
            <w:vAlign w:val="center"/>
          </w:tcPr>
          <w:p w:rsidR="00AF5D53" w:rsidRDefault="00A812A4">
            <w:pPr>
              <w:jc w:val="center"/>
            </w:pPr>
            <w:r>
              <w:rPr>
                <w:lang w:eastAsia="sv-SE"/>
              </w:rPr>
              <w:t>1a) or 1b)</w:t>
            </w:r>
          </w:p>
        </w:tc>
        <w:tc>
          <w:tcPr>
            <w:tcW w:w="6844" w:type="dxa"/>
            <w:vAlign w:val="center"/>
          </w:tcPr>
          <w:p w:rsidR="00AF5D53" w:rsidRDefault="00A812A4">
            <w:pPr>
              <w:rPr>
                <w:lang w:eastAsia="sv-SE"/>
              </w:rPr>
            </w:pPr>
            <w:r>
              <w:rPr>
                <w:lang w:eastAsia="sv-SE"/>
              </w:rPr>
              <w:t>We also think 1a) is simpler. We only need a new list of additional SMTCs on top of the existing 4 SMTCs, and the additional SMTC parameter can have a separate SMTC periodicity (as RAN2 agreed there will be no more than 2 periodicities).</w:t>
            </w:r>
          </w:p>
          <w:p w:rsidR="00AF5D53" w:rsidRDefault="00A812A4">
            <w:r>
              <w:t>1b) provides more flexibility (allowing more combintations of SMTC configuration), but the NW needs to configure SMTC4list for legacy UE and the new SMTC list for R19 UEs, not sure if the spec needs to mandate the NW to configure consistenly in both lists (otherwise it could be possible that two different configurations are provided for the same neighbor cell?)</w:t>
            </w:r>
          </w:p>
        </w:tc>
      </w:tr>
      <w:tr w:rsidR="00AF5D53">
        <w:tc>
          <w:tcPr>
            <w:tcW w:w="1615" w:type="dxa"/>
            <w:vAlign w:val="center"/>
          </w:tcPr>
          <w:p w:rsidR="00AF5D53" w:rsidRDefault="00A812A4">
            <w:pPr>
              <w:jc w:val="center"/>
              <w:rPr>
                <w:lang w:eastAsia="sv-SE"/>
              </w:rPr>
            </w:pPr>
            <w:r>
              <w:rPr>
                <w:lang w:eastAsia="sv-SE"/>
              </w:rPr>
              <w:t>Fujitsu</w:t>
            </w:r>
          </w:p>
        </w:tc>
        <w:tc>
          <w:tcPr>
            <w:tcW w:w="1170" w:type="dxa"/>
            <w:vAlign w:val="center"/>
          </w:tcPr>
          <w:p w:rsidR="00AF5D53" w:rsidRDefault="00A812A4">
            <w:pPr>
              <w:jc w:val="center"/>
              <w:rPr>
                <w:lang w:eastAsia="sv-SE"/>
              </w:rPr>
            </w:pPr>
            <w:r>
              <w:rPr>
                <w:lang w:eastAsia="sv-SE"/>
              </w:rPr>
              <w:t>1b)</w:t>
            </w:r>
          </w:p>
        </w:tc>
        <w:tc>
          <w:tcPr>
            <w:tcW w:w="6844" w:type="dxa"/>
            <w:vAlign w:val="center"/>
          </w:tcPr>
          <w:p w:rsidR="00AF5D53" w:rsidRDefault="00A812A4">
            <w:pPr>
              <w:rPr>
                <w:lang w:eastAsia="sv-SE"/>
              </w:rPr>
            </w:pPr>
            <w:r>
              <w:rPr>
                <w:lang w:eastAsia="sv-SE"/>
              </w:rPr>
              <w:t>1b) is clear way to go for supporting different release UEs.</w:t>
            </w:r>
          </w:p>
          <w:p w:rsidR="00AF5D53" w:rsidRDefault="00A812A4">
            <w:pPr>
              <w:rPr>
                <w:lang w:eastAsia="sv-SE"/>
              </w:rPr>
            </w:pPr>
            <w:r>
              <w:rPr>
                <w:lang w:eastAsia="sv-SE"/>
              </w:rPr>
              <w:t>Both Legacy UE and Rel-19 UE are allowed to access the cell based on current agreement. When SMTCs with different periodicities are configured, with 1a), legacy UE will always assume the periodicity configured in smtc1 as the periodicity for all the SMTCs, which is not correct and will introduce confusion to the legacy UE.</w:t>
            </w:r>
          </w:p>
        </w:tc>
      </w:tr>
      <w:tr w:rsidR="00AF5D53">
        <w:tc>
          <w:tcPr>
            <w:tcW w:w="1615" w:type="dxa"/>
            <w:vAlign w:val="center"/>
          </w:tcPr>
          <w:p w:rsidR="00AF5D53" w:rsidRDefault="00A812A4">
            <w:pPr>
              <w:jc w:val="center"/>
              <w:rPr>
                <w:rFonts w:eastAsia="SimSun"/>
              </w:rPr>
            </w:pPr>
            <w:r>
              <w:rPr>
                <w:rFonts w:eastAsia="SimSun" w:hint="eastAsia"/>
                <w:lang w:val="en-US" w:eastAsia="zh-CN"/>
              </w:rPr>
              <w:t>ZTE</w:t>
            </w:r>
          </w:p>
        </w:tc>
        <w:tc>
          <w:tcPr>
            <w:tcW w:w="1170" w:type="dxa"/>
            <w:vAlign w:val="center"/>
          </w:tcPr>
          <w:p w:rsidR="00AF5D53" w:rsidRDefault="00A812A4">
            <w:pPr>
              <w:jc w:val="center"/>
              <w:rPr>
                <w:lang w:eastAsia="sv-SE"/>
              </w:rPr>
            </w:pPr>
            <w:r>
              <w:rPr>
                <w:lang w:eastAsia="sv-SE"/>
              </w:rPr>
              <w:t>1a) or 1b)</w:t>
            </w:r>
          </w:p>
        </w:tc>
        <w:tc>
          <w:tcPr>
            <w:tcW w:w="6844" w:type="dxa"/>
            <w:vAlign w:val="center"/>
          </w:tcPr>
          <w:p w:rsidR="00AF5D53" w:rsidRDefault="00A812A4">
            <w:pPr>
              <w:rPr>
                <w:rFonts w:eastAsia="SimSun"/>
              </w:rPr>
            </w:pPr>
            <w:r>
              <w:rPr>
                <w:rFonts w:eastAsia="SimSun" w:hint="eastAsia"/>
                <w:lang w:val="en-US" w:eastAsia="zh-CN"/>
              </w:rPr>
              <w:t>We don</w:t>
            </w:r>
            <w:r>
              <w:rPr>
                <w:rFonts w:eastAsia="SimSun"/>
                <w:lang w:val="en-US" w:eastAsia="zh-CN"/>
              </w:rPr>
              <w:t>’</w:t>
            </w:r>
            <w:r>
              <w:rPr>
                <w:rFonts w:eastAsia="SimSun" w:hint="eastAsia"/>
                <w:lang w:val="en-US" w:eastAsia="zh-CN"/>
              </w:rPr>
              <w:t>t see there is a need to prevent NW from configuring legacy SMTC4 list. If are going to introduce more enhancements, 1(b) seems to be a cleaner approach, which provides more flexibility. As we see it, there is no need to make any assumption on relationship between SMTC4 and the new SMTC list if 1b is used, NW can configure the same or different values in the list, which is up to NW implementation.</w:t>
            </w:r>
          </w:p>
        </w:tc>
      </w:tr>
      <w:tr w:rsidR="003F10F3">
        <w:tc>
          <w:tcPr>
            <w:tcW w:w="1615" w:type="dxa"/>
            <w:vAlign w:val="center"/>
          </w:tcPr>
          <w:p w:rsidR="003F10F3" w:rsidRDefault="003F10F3">
            <w:pPr>
              <w:jc w:val="center"/>
              <w:rPr>
                <w:rFonts w:eastAsia="SimSun"/>
              </w:rPr>
            </w:pPr>
            <w:r>
              <w:rPr>
                <w:rFonts w:eastAsia="SimSun"/>
              </w:rPr>
              <w:t>Samsung</w:t>
            </w:r>
          </w:p>
        </w:tc>
        <w:tc>
          <w:tcPr>
            <w:tcW w:w="1170" w:type="dxa"/>
            <w:vAlign w:val="center"/>
          </w:tcPr>
          <w:p w:rsidR="003F10F3" w:rsidRDefault="000D3C71">
            <w:pPr>
              <w:jc w:val="center"/>
              <w:rPr>
                <w:lang w:eastAsia="sv-SE"/>
              </w:rPr>
            </w:pPr>
            <w:r>
              <w:rPr>
                <w:lang w:eastAsia="sv-SE"/>
              </w:rPr>
              <w:t xml:space="preserve">1a) or </w:t>
            </w:r>
            <w:r w:rsidR="003F10F3">
              <w:rPr>
                <w:lang w:eastAsia="sv-SE"/>
              </w:rPr>
              <w:t>1</w:t>
            </w:r>
            <w:r w:rsidR="00BE3382">
              <w:rPr>
                <w:lang w:eastAsia="sv-SE"/>
              </w:rPr>
              <w:t>b</w:t>
            </w:r>
            <w:r w:rsidR="003F10F3">
              <w:rPr>
                <w:lang w:eastAsia="sv-SE"/>
              </w:rPr>
              <w:t>)</w:t>
            </w:r>
          </w:p>
        </w:tc>
        <w:tc>
          <w:tcPr>
            <w:tcW w:w="6844" w:type="dxa"/>
            <w:vAlign w:val="center"/>
          </w:tcPr>
          <w:p w:rsidR="003E3947" w:rsidRDefault="003E3947">
            <w:pPr>
              <w:rPr>
                <w:rFonts w:eastAsia="SimSun"/>
              </w:rPr>
            </w:pPr>
            <w:r>
              <w:rPr>
                <w:rFonts w:eastAsia="SimSun"/>
              </w:rPr>
              <w:t>Legacy UE cannot interpret the new</w:t>
            </w:r>
            <w:r w:rsidR="00BE3382">
              <w:rPr>
                <w:rFonts w:eastAsia="SimSun"/>
              </w:rPr>
              <w:t xml:space="preserve"> periodicity</w:t>
            </w:r>
            <w:r>
              <w:rPr>
                <w:rFonts w:eastAsia="SimSun"/>
              </w:rPr>
              <w:t xml:space="preserve"> in smtc4list </w:t>
            </w:r>
            <w:r w:rsidR="00BE3382">
              <w:rPr>
                <w:rFonts w:eastAsia="SimSun"/>
              </w:rPr>
              <w:t xml:space="preserve">or the new list </w:t>
            </w:r>
            <w:r>
              <w:rPr>
                <w:rFonts w:eastAsia="SimSun"/>
              </w:rPr>
              <w:t>anyway. So 1a) and 1b) is same for legacy UE.</w:t>
            </w:r>
          </w:p>
          <w:p w:rsidR="003F10F3" w:rsidRDefault="003E3947" w:rsidP="000D3C71">
            <w:pPr>
              <w:rPr>
                <w:rFonts w:eastAsia="SimSun"/>
              </w:rPr>
            </w:pPr>
            <w:r>
              <w:rPr>
                <w:rFonts w:eastAsia="SimSun"/>
              </w:rPr>
              <w:t xml:space="preserve">The issue is how to configure SMTCs with </w:t>
            </w:r>
            <w:r w:rsidR="000D3C71">
              <w:rPr>
                <w:rFonts w:eastAsia="SimSun"/>
              </w:rPr>
              <w:t xml:space="preserve">multiple </w:t>
            </w:r>
            <w:r w:rsidR="00BE3382">
              <w:rPr>
                <w:rFonts w:eastAsia="SimSun"/>
              </w:rPr>
              <w:t>periodicit</w:t>
            </w:r>
            <w:r w:rsidR="000D3C71">
              <w:rPr>
                <w:rFonts w:eastAsia="SimSun"/>
              </w:rPr>
              <w:t>ies</w:t>
            </w:r>
            <w:r w:rsidR="00BE3382">
              <w:rPr>
                <w:rFonts w:eastAsia="SimSun"/>
              </w:rPr>
              <w:t xml:space="preserve"> for DL-CE capable UE. </w:t>
            </w:r>
            <w:r w:rsidR="00580448">
              <w:rPr>
                <w:rFonts w:eastAsia="SimSun"/>
              </w:rPr>
              <w:t>1a) utilizes the existing smtc4list, 1b) discard smtc4list and use a new list, b</w:t>
            </w:r>
            <w:r w:rsidR="000D3C71">
              <w:rPr>
                <w:rFonts w:eastAsia="SimSun"/>
              </w:rPr>
              <w:t xml:space="preserve">oth can work. </w:t>
            </w:r>
            <w:r w:rsidR="00F744F8">
              <w:rPr>
                <w:rFonts w:eastAsia="SimSun"/>
              </w:rPr>
              <w:t xml:space="preserve">1a) </w:t>
            </w:r>
            <w:r w:rsidR="001F4A83">
              <w:rPr>
                <w:rFonts w:eastAsia="SimSun"/>
              </w:rPr>
              <w:t xml:space="preserve">may have some configuration restriction </w:t>
            </w:r>
            <w:r w:rsidR="00580448">
              <w:rPr>
                <w:rFonts w:eastAsia="SimSun"/>
              </w:rPr>
              <w:t>but seems not critical?</w:t>
            </w:r>
            <w:r w:rsidR="00580448">
              <w:rPr>
                <w:rFonts w:eastAsia="SimSun"/>
              </w:rPr>
              <w:t xml:space="preserve"> </w:t>
            </w:r>
            <w:r w:rsidR="001F4A83">
              <w:rPr>
                <w:rFonts w:eastAsia="SimSun"/>
              </w:rPr>
              <w:t>(e.g., should the smaller or the larger periodicity be configured for legacy smtcs</w:t>
            </w:r>
            <w:r w:rsidR="00580448">
              <w:rPr>
                <w:rFonts w:eastAsia="SimSun"/>
              </w:rPr>
              <w:t>?</w:t>
            </w:r>
            <w:r w:rsidR="001F4A83">
              <w:rPr>
                <w:rFonts w:eastAsia="SimSun"/>
              </w:rPr>
              <w:t xml:space="preserve"> </w:t>
            </w:r>
            <w:r w:rsidR="00580448">
              <w:rPr>
                <w:rFonts w:eastAsia="SimSun"/>
              </w:rPr>
              <w:t>At most 4 smtcs can have same periodicity?</w:t>
            </w:r>
            <w:r w:rsidR="001F4A83">
              <w:rPr>
                <w:rFonts w:eastAsia="SimSun"/>
              </w:rPr>
              <w:t>)</w:t>
            </w:r>
            <w:r w:rsidR="00580448">
              <w:rPr>
                <w:rFonts w:eastAsia="SimSun"/>
              </w:rPr>
              <w:t xml:space="preserve">. </w:t>
            </w:r>
            <w:r w:rsidR="001F4A83">
              <w:rPr>
                <w:rFonts w:eastAsia="SimSun"/>
              </w:rPr>
              <w:t>1b) can have full flexibility but is it okay that legacy and new UEs have different smtcs for a same neighbor cell?</w:t>
            </w:r>
          </w:p>
        </w:tc>
      </w:tr>
    </w:tbl>
    <w:p w:rsidR="00AF5D53" w:rsidRDefault="00AF5D53">
      <w:pPr>
        <w:rPr>
          <w:lang w:eastAsia="sv-SE"/>
        </w:rPr>
      </w:pPr>
    </w:p>
    <w:p w:rsidR="00AF5D53" w:rsidRDefault="00A812A4">
      <w:pPr>
        <w:rPr>
          <w:lang w:eastAsia="sv-SE"/>
        </w:rPr>
      </w:pPr>
      <w:r>
        <w:rPr>
          <w:lang w:eastAsia="sv-SE"/>
        </w:rPr>
        <w:t>For the remaining two issues, a more thorough analysis is needed, and the rapporteur suggests that companies provide contributions to the following meeting. In their analysis, companies are encouraged to provide potential deployment scenarios and clarify the advantages and disadvantages of the already discussed options.</w:t>
      </w:r>
    </w:p>
    <w:p w:rsidR="00AF5D53" w:rsidRDefault="00AF5D53">
      <w:pPr>
        <w:rPr>
          <w:lang w:eastAsia="sv-SE"/>
        </w:rPr>
      </w:pPr>
    </w:p>
    <w:p w:rsidR="00AF5D53" w:rsidRDefault="00A812A4">
      <w:pPr>
        <w:pStyle w:val="Heading3"/>
      </w:pPr>
      <w:r>
        <w:t>Intended Service Area for MBS NTN</w:t>
      </w:r>
    </w:p>
    <w:p w:rsidR="00AF5D53" w:rsidRDefault="00A812A4">
      <w:pPr>
        <w:rPr>
          <w:b/>
          <w:bCs/>
          <w:u w:val="single"/>
          <w:lang w:eastAsia="sv-SE"/>
        </w:rPr>
      </w:pPr>
      <w:r>
        <w:rPr>
          <w:b/>
          <w:bCs/>
          <w:highlight w:val="cyan"/>
          <w:u w:val="single"/>
          <w:lang w:eastAsia="sv-SE"/>
        </w:rPr>
        <w:t>Mapping between ISA and TMGI</w:t>
      </w:r>
    </w:p>
    <w:p w:rsidR="00AF5D53" w:rsidRDefault="00A812A4">
      <w:pPr>
        <w:rPr>
          <w:lang w:eastAsia="sv-SE"/>
        </w:rPr>
      </w:pPr>
      <w:r>
        <w:rPr>
          <w:lang w:eastAsia="sv-SE"/>
        </w:rPr>
        <w:t xml:space="preserve">RAN2 agreed that for each MBS service we include one or more intended service area IDs into MCCH. From implementation perspective, there are different ways to achieve this. The rapporteur has suggested a way forward in the running RRC CR, namely, to include the mapping in the </w:t>
      </w:r>
      <w:proofErr w:type="spellStart"/>
      <w:r>
        <w:rPr>
          <w:i/>
          <w:iCs/>
          <w:lang w:eastAsia="sv-SE"/>
        </w:rPr>
        <w:t>MBSBroadcastConfiguration</w:t>
      </w:r>
      <w:proofErr w:type="spellEnd"/>
      <w:r>
        <w:rPr>
          <w:lang w:eastAsia="sv-SE"/>
        </w:rPr>
        <w:t xml:space="preserve"> IE. The main reason being that this a high-level IE that includes multiple MBS broadcast configuration parameters and it is easily extendable.</w:t>
      </w:r>
    </w:p>
    <w:p w:rsidR="00AF5D53" w:rsidRDefault="00A812A4">
      <w:pPr>
        <w:rPr>
          <w:lang w:eastAsia="sv-SE"/>
        </w:rPr>
      </w:pPr>
      <w:r>
        <w:rPr>
          <w:lang w:eastAsia="sv-SE"/>
        </w:rPr>
        <w:t>Companies are invited to provide feedback regarding the proposed rapporteur’s way forward to capture the mapping between TMGI and ISA ID and possible alternatives:</w:t>
      </w:r>
    </w:p>
    <w:tbl>
      <w:tblPr>
        <w:tblStyle w:val="TableGrid"/>
        <w:tblW w:w="0" w:type="auto"/>
        <w:tblLayout w:type="fixed"/>
        <w:tblLook w:val="04A0" w:firstRow="1" w:lastRow="0" w:firstColumn="1" w:lastColumn="0" w:noHBand="0" w:noVBand="1"/>
      </w:tblPr>
      <w:tblGrid>
        <w:gridCol w:w="1046"/>
        <w:gridCol w:w="1015"/>
        <w:gridCol w:w="7794"/>
      </w:tblGrid>
      <w:tr w:rsidR="00AF5D53">
        <w:tc>
          <w:tcPr>
            <w:tcW w:w="1046" w:type="dxa"/>
            <w:shd w:val="clear" w:color="auto" w:fill="E7E6E6" w:themeFill="background2"/>
            <w:vAlign w:val="center"/>
          </w:tcPr>
          <w:p w:rsidR="00AF5D53" w:rsidRDefault="00A812A4">
            <w:pPr>
              <w:jc w:val="center"/>
              <w:rPr>
                <w:b/>
                <w:bCs/>
                <w:lang w:eastAsia="sv-SE"/>
              </w:rPr>
            </w:pPr>
            <w:r>
              <w:rPr>
                <w:b/>
                <w:bCs/>
                <w:lang w:eastAsia="sv-SE"/>
              </w:rPr>
              <w:t>Company</w:t>
            </w:r>
          </w:p>
        </w:tc>
        <w:tc>
          <w:tcPr>
            <w:tcW w:w="1015" w:type="dxa"/>
            <w:shd w:val="clear" w:color="auto" w:fill="E7E6E6" w:themeFill="background2"/>
            <w:vAlign w:val="center"/>
          </w:tcPr>
          <w:p w:rsidR="00AF5D53" w:rsidRDefault="00A812A4">
            <w:pPr>
              <w:jc w:val="center"/>
              <w:rPr>
                <w:b/>
                <w:bCs/>
                <w:lang w:eastAsia="sv-SE"/>
              </w:rPr>
            </w:pPr>
            <w:r>
              <w:rPr>
                <w:b/>
                <w:bCs/>
                <w:lang w:eastAsia="sv-SE"/>
              </w:rPr>
              <w:t>Agree?</w:t>
            </w:r>
          </w:p>
        </w:tc>
        <w:tc>
          <w:tcPr>
            <w:tcW w:w="7794" w:type="dxa"/>
            <w:shd w:val="clear" w:color="auto" w:fill="E7E6E6" w:themeFill="background2"/>
            <w:vAlign w:val="center"/>
          </w:tcPr>
          <w:p w:rsidR="00AF5D53" w:rsidRDefault="00A812A4">
            <w:pPr>
              <w:jc w:val="center"/>
              <w:rPr>
                <w:b/>
                <w:bCs/>
                <w:lang w:eastAsia="sv-SE"/>
              </w:rPr>
            </w:pPr>
            <w:r>
              <w:rPr>
                <w:b/>
                <w:bCs/>
                <w:lang w:eastAsia="sv-SE"/>
              </w:rPr>
              <w:t>Other comments</w:t>
            </w:r>
          </w:p>
        </w:tc>
      </w:tr>
      <w:tr w:rsidR="00AF5D53">
        <w:tc>
          <w:tcPr>
            <w:tcW w:w="1046" w:type="dxa"/>
            <w:vAlign w:val="center"/>
          </w:tcPr>
          <w:p w:rsidR="00AF5D53" w:rsidRDefault="00A812A4">
            <w:pPr>
              <w:jc w:val="center"/>
            </w:pPr>
            <w:r>
              <w:rPr>
                <w:rFonts w:eastAsiaTheme="minorEastAsia" w:hint="eastAsia"/>
              </w:rPr>
              <w:t>CATT</w:t>
            </w:r>
          </w:p>
        </w:tc>
        <w:tc>
          <w:tcPr>
            <w:tcW w:w="1015" w:type="dxa"/>
            <w:vAlign w:val="center"/>
          </w:tcPr>
          <w:p w:rsidR="00AF5D53" w:rsidRDefault="00A812A4">
            <w:pPr>
              <w:jc w:val="center"/>
            </w:pPr>
            <w:r>
              <w:rPr>
                <w:rFonts w:eastAsiaTheme="minorEastAsia" w:hint="eastAsia"/>
              </w:rPr>
              <w:t>Yes</w:t>
            </w:r>
          </w:p>
        </w:tc>
        <w:tc>
          <w:tcPr>
            <w:tcW w:w="7794" w:type="dxa"/>
            <w:vAlign w:val="center"/>
          </w:tcPr>
          <w:p w:rsidR="00AF5D53" w:rsidRDefault="00AF5D53">
            <w:pPr>
              <w:jc w:val="center"/>
              <w:rPr>
                <w:lang w:eastAsia="sv-SE"/>
              </w:rPr>
            </w:pPr>
          </w:p>
        </w:tc>
      </w:tr>
      <w:tr w:rsidR="00AF5D53">
        <w:tc>
          <w:tcPr>
            <w:tcW w:w="1046" w:type="dxa"/>
            <w:vAlign w:val="center"/>
          </w:tcPr>
          <w:p w:rsidR="00AF5D53" w:rsidRDefault="00A812A4">
            <w:pPr>
              <w:jc w:val="center"/>
              <w:rPr>
                <w:lang w:eastAsia="sv-SE"/>
              </w:rPr>
            </w:pPr>
            <w:r>
              <w:rPr>
                <w:lang w:eastAsia="sv-SE"/>
              </w:rPr>
              <w:t>Apple</w:t>
            </w:r>
          </w:p>
        </w:tc>
        <w:tc>
          <w:tcPr>
            <w:tcW w:w="1015" w:type="dxa"/>
            <w:vAlign w:val="center"/>
          </w:tcPr>
          <w:p w:rsidR="00AF5D53" w:rsidRDefault="00A812A4">
            <w:pPr>
              <w:jc w:val="center"/>
              <w:rPr>
                <w:lang w:eastAsia="sv-SE"/>
              </w:rPr>
            </w:pPr>
            <w:r>
              <w:rPr>
                <w:lang w:eastAsia="sv-SE"/>
              </w:rPr>
              <w:t>See comments</w:t>
            </w:r>
          </w:p>
        </w:tc>
        <w:tc>
          <w:tcPr>
            <w:tcW w:w="7794" w:type="dxa"/>
            <w:vAlign w:val="center"/>
          </w:tcPr>
          <w:p w:rsidR="00AF5D53" w:rsidRDefault="00A812A4">
            <w:r>
              <w:rPr>
                <w:lang w:eastAsia="sv-SE"/>
              </w:rPr>
              <w:t xml:space="preserve">Current way looks clean though. May I wonder why not introducing another list, associated with </w:t>
            </w:r>
            <w:r>
              <w:t xml:space="preserve">mbs-SessionInfoList-r17? Is it because the list is too huge (1024 entries) thus referring to existing list could be also signaling consuming if there are not many MBS sessions are associated with intended service area? However, if too many MBS sessions have associated intended service area(s), repeating the TMGI(s) would be also signaling consuming. </w:t>
            </w:r>
          </w:p>
        </w:tc>
      </w:tr>
      <w:tr w:rsidR="00AF5D53">
        <w:tc>
          <w:tcPr>
            <w:tcW w:w="1046" w:type="dxa"/>
            <w:vAlign w:val="center"/>
          </w:tcPr>
          <w:p w:rsidR="00AF5D53" w:rsidRDefault="00A812A4">
            <w:pPr>
              <w:jc w:val="center"/>
            </w:pPr>
            <w:r>
              <w:rPr>
                <w:rFonts w:eastAsiaTheme="minorEastAsia"/>
              </w:rPr>
              <w:t xml:space="preserve">vivo </w:t>
            </w:r>
          </w:p>
        </w:tc>
        <w:tc>
          <w:tcPr>
            <w:tcW w:w="1015" w:type="dxa"/>
            <w:vAlign w:val="center"/>
          </w:tcPr>
          <w:p w:rsidR="00AF5D53" w:rsidRDefault="00A812A4">
            <w:pPr>
              <w:jc w:val="center"/>
            </w:pPr>
            <w:r>
              <w:rPr>
                <w:rFonts w:eastAsiaTheme="minorEastAsia" w:hint="eastAsia"/>
              </w:rPr>
              <w:t>N</w:t>
            </w:r>
            <w:r>
              <w:rPr>
                <w:rFonts w:eastAsiaTheme="minorEastAsia"/>
              </w:rPr>
              <w:t>o</w:t>
            </w:r>
          </w:p>
        </w:tc>
        <w:tc>
          <w:tcPr>
            <w:tcW w:w="7794" w:type="dxa"/>
            <w:vAlign w:val="center"/>
          </w:tcPr>
          <w:p w:rsidR="00AF5D53" w:rsidRDefault="00A812A4">
            <w:r>
              <w:rPr>
                <w:rFonts w:eastAsiaTheme="minorEastAsia" w:hint="eastAsia"/>
              </w:rPr>
              <w:t>T</w:t>
            </w:r>
            <w:r>
              <w:rPr>
                <w:rFonts w:eastAsiaTheme="minorEastAsia"/>
              </w:rPr>
              <w:t>MGI may cost an overhead of 50 bits. It is not wise to list each related TMGI again in MCCH (This is precisely the primary reason why we have refrained from adopting the SIB-based solution). We propose</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MBSBroadcastConfiguration-r17-IEs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mbs-SessionInfoList-r17               MBS-SessionInfoList-r17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mbs-NeighbourCellList-r17             MBS-NeighbourCellList-r17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S</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drx-ConfigPTM-List-r17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(1..maxNrofDRX-ConfigPTM-r17))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DRX-ConfigPTM-r17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pdsch-ConfigMTCH-r17                  PDSCH-ConfigBroadcast-r17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S</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mtch-SSB-MappingWindowList-r17        MTCH-SSB-MappingWindowList-r17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w:t>
            </w:r>
            <w:r>
              <w:rPr>
                <w:rFonts w:ascii="Courier New" w:eastAsia="Times New Roman" w:hAnsi="Courier New" w:cs="Courier New"/>
                <w:color w:val="FF0000"/>
                <w:sz w:val="16"/>
                <w:lang w:eastAsia="en-GB"/>
              </w:rPr>
              <w:t xml:space="preserve"> MBSBroadcastConfiguration-v19xy-IEs</w:t>
            </w:r>
            <w:r>
              <w:rPr>
                <w:rFonts w:ascii="Courier New" w:eastAsia="Times New Roman" w:hAnsi="Courier New" w:cs="Courier New"/>
                <w:color w:val="993366"/>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F5D53" w:rsidRDefault="00AF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lang w:eastAsia="en-GB"/>
              </w:rPr>
            </w:pP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FF0000"/>
                <w:sz w:val="16"/>
                <w:lang w:eastAsia="en-GB"/>
              </w:rPr>
            </w:pPr>
            <w:r>
              <w:rPr>
                <w:rFonts w:ascii="Courier New" w:eastAsia="Times New Roman" w:hAnsi="Courier New" w:cs="Courier New"/>
                <w:color w:val="FF0000"/>
                <w:sz w:val="16"/>
                <w:lang w:eastAsia="en-GB"/>
              </w:rPr>
              <w:t>MBSBroadcastConfiguration-v19xy-IEs ::= SEQUENCE {</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color w:val="FF0000"/>
                <w:sz w:val="16"/>
              </w:rPr>
            </w:pPr>
            <w:r>
              <w:rPr>
                <w:rFonts w:ascii="Courier New" w:eastAsia="SimSun" w:hAnsi="Courier New" w:cs="Courier New" w:hint="eastAsia"/>
                <w:color w:val="FF0000"/>
                <w:sz w:val="16"/>
              </w:rPr>
              <w:t xml:space="preserve"> </w:t>
            </w:r>
            <w:r>
              <w:rPr>
                <w:rFonts w:ascii="Courier New" w:eastAsia="SimSun" w:hAnsi="Courier New" w:cs="Courier New"/>
                <w:color w:val="FF0000"/>
                <w:sz w:val="16"/>
              </w:rPr>
              <w:t xml:space="preserve">   </w:t>
            </w:r>
            <w:r>
              <w:rPr>
                <w:rFonts w:ascii="Courier New" w:eastAsia="Times New Roman" w:hAnsi="Courier New" w:cs="Courier New"/>
                <w:color w:val="FF0000"/>
                <w:sz w:val="16"/>
                <w:lang w:eastAsia="en-GB"/>
              </w:rPr>
              <w:t>mbs-SessionAreaList-r19      SEQUENCE (SIZE (1..maxNrofMBS-Session-r17)) OF mbs-AreaInfoList-r19                                         OPTIONAL,   -- Need R</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FF0000"/>
                <w:sz w:val="16"/>
                <w:lang w:eastAsia="en-GB"/>
              </w:rPr>
            </w:pPr>
            <w:r>
              <w:rPr>
                <w:rFonts w:ascii="Courier New" w:eastAsia="Times New Roman" w:hAnsi="Courier New" w:cs="Courier New"/>
                <w:color w:val="FF0000"/>
                <w:sz w:val="16"/>
                <w:lang w:eastAsia="en-GB"/>
              </w:rPr>
              <w:lastRenderedPageBreak/>
              <w:tab/>
              <w:t>nonCriticalExtension             SEQUENCE {}             OPTIONAL</w:t>
            </w:r>
          </w:p>
          <w:p w:rsidR="00AF5D53" w:rsidRDefault="00A81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color w:val="FF0000"/>
                <w:sz w:val="16"/>
              </w:rPr>
            </w:pPr>
            <w:r>
              <w:rPr>
                <w:rFonts w:ascii="Courier New" w:eastAsia="SimSun" w:hAnsi="Courier New" w:cs="Courier New" w:hint="eastAsia"/>
                <w:color w:val="FF0000"/>
                <w:sz w:val="16"/>
              </w:rPr>
              <w:t>}</w:t>
            </w:r>
          </w:p>
          <w:p w:rsidR="00AF5D53" w:rsidRDefault="00AF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SimSun" w:hAnsi="Courier New" w:cs="Courier New"/>
                <w:color w:val="FF0000"/>
                <w:sz w:val="16"/>
              </w:rPr>
            </w:pPr>
          </w:p>
          <w:p w:rsidR="00AF5D53" w:rsidRDefault="00A812A4">
            <w:r>
              <w:rPr>
                <w:rFonts w:ascii="Courier New" w:eastAsia="Times New Roman" w:hAnsi="Courier New" w:cs="Courier New"/>
                <w:color w:val="FF0000"/>
                <w:sz w:val="16"/>
                <w:lang w:eastAsia="en-GB"/>
              </w:rPr>
              <w:t>mbs-AreaInfoList-r19</w:t>
            </w:r>
            <w:r>
              <w:rPr>
                <w:color w:val="FF0000"/>
              </w:rPr>
              <w:t xml:space="preserve">                   </w:t>
            </w:r>
            <w:r>
              <w:rPr>
                <w:rFonts w:ascii="Courier New" w:eastAsia="Times New Roman" w:hAnsi="Courier New" w:cs="Courier New"/>
                <w:color w:val="FF0000"/>
                <w:sz w:val="16"/>
                <w:lang w:eastAsia="en-GB"/>
              </w:rPr>
              <w:t>SEQUENCE (SIZE (1..</w:t>
            </w:r>
            <w:r>
              <w:t xml:space="preserve"> </w:t>
            </w:r>
            <w:r>
              <w:rPr>
                <w:rFonts w:ascii="Courier New" w:eastAsia="Times New Roman" w:hAnsi="Courier New" w:cs="Courier New"/>
                <w:color w:val="FF0000"/>
                <w:sz w:val="16"/>
                <w:lang w:eastAsia="en-GB"/>
              </w:rPr>
              <w:t>maxNrofMBS-SessionPerArea-r19)) OF MBS-IntendedAreaID-r19</w:t>
            </w:r>
          </w:p>
        </w:tc>
      </w:tr>
      <w:tr w:rsidR="00AF5D53">
        <w:tc>
          <w:tcPr>
            <w:tcW w:w="1046" w:type="dxa"/>
            <w:vAlign w:val="center"/>
          </w:tcPr>
          <w:p w:rsidR="00AF5D53" w:rsidRDefault="00A812A4">
            <w:pPr>
              <w:jc w:val="center"/>
            </w:pPr>
            <w:r>
              <w:rPr>
                <w:rFonts w:eastAsiaTheme="minorEastAsia" w:hint="eastAsia"/>
              </w:rPr>
              <w:lastRenderedPageBreak/>
              <w:t>O</w:t>
            </w:r>
            <w:r>
              <w:rPr>
                <w:rFonts w:eastAsiaTheme="minorEastAsia"/>
              </w:rPr>
              <w:t>PPO</w:t>
            </w:r>
          </w:p>
        </w:tc>
        <w:tc>
          <w:tcPr>
            <w:tcW w:w="1015" w:type="dxa"/>
            <w:vAlign w:val="center"/>
          </w:tcPr>
          <w:p w:rsidR="00AF5D53" w:rsidRDefault="00A812A4">
            <w:pPr>
              <w:jc w:val="center"/>
            </w:pPr>
            <w:r>
              <w:rPr>
                <w:rFonts w:eastAsiaTheme="minorEastAsia" w:hint="eastAsia"/>
              </w:rPr>
              <w:t>S</w:t>
            </w:r>
            <w:r>
              <w:rPr>
                <w:rFonts w:eastAsiaTheme="minorEastAsia"/>
              </w:rPr>
              <w:t>ee comment.</w:t>
            </w:r>
          </w:p>
        </w:tc>
        <w:tc>
          <w:tcPr>
            <w:tcW w:w="7794" w:type="dxa"/>
            <w:vAlign w:val="center"/>
          </w:tcPr>
          <w:p w:rsidR="00AF5D53" w:rsidRDefault="00A812A4">
            <w:r>
              <w:rPr>
                <w:rFonts w:eastAsiaTheme="minorEastAsia" w:hint="eastAsia"/>
              </w:rPr>
              <w:t>I</w:t>
            </w:r>
            <w:r>
              <w:rPr>
                <w:rFonts w:eastAsiaTheme="minorEastAsia"/>
              </w:rPr>
              <w:t xml:space="preserve">n current running CR, it seems can only configure one MBS session with related intended service ID list. So the </w:t>
            </w:r>
            <w:r>
              <w:t xml:space="preserve">mbs-SessionAreaMapping-r19 should at least be changed to a list to enable configure multiple MBS sessions associating with a intended service ID list. </w:t>
            </w:r>
          </w:p>
          <w:p w:rsidR="00AF5D53" w:rsidRDefault="00A812A4">
            <w:r>
              <w:rPr>
                <w:rFonts w:eastAsiaTheme="minorEastAsia" w:hint="eastAsia"/>
              </w:rPr>
              <w:t>H</w:t>
            </w:r>
            <w:r>
              <w:rPr>
                <w:rFonts w:eastAsiaTheme="minorEastAsia"/>
              </w:rPr>
              <w:t>owever, the current design will introduce the signalling overhead due to the multiple TMGIs. We think we can discuss how to avoid configuring the TMGI repeatly.</w:t>
            </w:r>
          </w:p>
          <w:p w:rsidR="00AF5D53" w:rsidRDefault="00AF5D53"/>
        </w:tc>
      </w:tr>
      <w:tr w:rsidR="00AF5D53">
        <w:tc>
          <w:tcPr>
            <w:tcW w:w="1046" w:type="dxa"/>
            <w:vAlign w:val="center"/>
          </w:tcPr>
          <w:p w:rsidR="00AF5D53" w:rsidRDefault="00A812A4">
            <w:pPr>
              <w:jc w:val="center"/>
              <w:rPr>
                <w:lang w:eastAsia="sv-SE"/>
              </w:rPr>
            </w:pPr>
            <w:r>
              <w:rPr>
                <w:rFonts w:eastAsia="Yu Mincho" w:hint="eastAsia"/>
              </w:rPr>
              <w:t>Sharp</w:t>
            </w:r>
          </w:p>
        </w:tc>
        <w:tc>
          <w:tcPr>
            <w:tcW w:w="1015" w:type="dxa"/>
            <w:vAlign w:val="center"/>
          </w:tcPr>
          <w:p w:rsidR="00AF5D53" w:rsidRDefault="00A812A4">
            <w:pPr>
              <w:jc w:val="center"/>
              <w:rPr>
                <w:lang w:eastAsia="sv-SE"/>
              </w:rPr>
            </w:pPr>
            <w:r>
              <w:rPr>
                <w:rFonts w:eastAsia="Yu Mincho" w:hint="eastAsia"/>
              </w:rPr>
              <w:t>See comments</w:t>
            </w:r>
          </w:p>
        </w:tc>
        <w:tc>
          <w:tcPr>
            <w:tcW w:w="7794" w:type="dxa"/>
            <w:vAlign w:val="center"/>
          </w:tcPr>
          <w:p w:rsidR="00AF5D53" w:rsidRDefault="00A812A4">
            <w:pPr>
              <w:rPr>
                <w:lang w:eastAsia="sv-SE"/>
              </w:rPr>
            </w:pPr>
            <w:r>
              <w:rPr>
                <w:rFonts w:eastAsia="Yu Mincho" w:hint="eastAsia"/>
              </w:rPr>
              <w:t>Duplicated TMGI field should be avoided</w:t>
            </w:r>
            <w:r>
              <w:rPr>
                <w:rFonts w:eastAsia="Yu Mincho"/>
              </w:rPr>
              <w:t xml:space="preserve"> </w:t>
            </w:r>
            <w:r>
              <w:rPr>
                <w:rFonts w:eastAsia="Yu Mincho" w:hint="eastAsia"/>
              </w:rPr>
              <w:t>as other companies mentioned. So, t</w:t>
            </w:r>
            <w:r>
              <w:rPr>
                <w:rFonts w:eastAsia="Yu Mincho"/>
              </w:rPr>
              <w:t>o avoid duplicate TMGI fields</w:t>
            </w:r>
            <w:r>
              <w:rPr>
                <w:rFonts w:eastAsia="Yu Mincho" w:hint="eastAsia"/>
              </w:rPr>
              <w:t xml:space="preserve"> and to keep the backward compatible </w:t>
            </w:r>
            <w:r>
              <w:rPr>
                <w:rFonts w:eastAsia="Yu Mincho"/>
              </w:rPr>
              <w:t>behavior</w:t>
            </w:r>
            <w:r>
              <w:rPr>
                <w:rFonts w:eastAsia="Yu Mincho" w:hint="eastAsia"/>
              </w:rPr>
              <w:t xml:space="preserve"> (for not ISA capable UEs), we think </w:t>
            </w:r>
            <w:r>
              <w:rPr>
                <w:rFonts w:eastAsia="Yu Mincho"/>
              </w:rPr>
              <w:t>MBS</w:t>
            </w:r>
            <w:r>
              <w:rPr>
                <w:rFonts w:eastAsia="Yu Mincho" w:hint="eastAsia"/>
              </w:rPr>
              <w:t xml:space="preserve"> s</w:t>
            </w:r>
            <w:r>
              <w:rPr>
                <w:rFonts w:eastAsia="Yu Mincho"/>
              </w:rPr>
              <w:t>essio</w:t>
            </w:r>
            <w:r>
              <w:rPr>
                <w:rFonts w:eastAsia="Yu Mincho" w:hint="eastAsia"/>
              </w:rPr>
              <w:t>ns</w:t>
            </w:r>
            <w:r>
              <w:rPr>
                <w:rFonts w:eastAsia="Yu Mincho"/>
              </w:rPr>
              <w:t xml:space="preserve"> </w:t>
            </w:r>
            <w:r>
              <w:rPr>
                <w:rFonts w:eastAsia="Yu Mincho" w:hint="eastAsia"/>
              </w:rPr>
              <w:t xml:space="preserve">indicated by </w:t>
            </w:r>
            <w:r>
              <w:rPr>
                <w:rFonts w:eastAsia="Yu Mincho"/>
              </w:rPr>
              <w:t>MBSBroadcastConfiguration-r17-IEs</w:t>
            </w:r>
            <w:r>
              <w:rPr>
                <w:rFonts w:eastAsia="Yu Mincho" w:hint="eastAsia"/>
              </w:rPr>
              <w:t xml:space="preserve"> should not be associated with any ISAs (i.e. whole cell is a service area), and </w:t>
            </w:r>
            <w:r>
              <w:rPr>
                <w:rFonts w:eastAsia="Yu Mincho"/>
              </w:rPr>
              <w:t>MBSBroadcastConfiguration-r1</w:t>
            </w:r>
            <w:r>
              <w:rPr>
                <w:rFonts w:eastAsia="Yu Mincho" w:hint="eastAsia"/>
              </w:rPr>
              <w:t>9</w:t>
            </w:r>
            <w:r>
              <w:rPr>
                <w:rFonts w:eastAsia="Yu Mincho"/>
              </w:rPr>
              <w:t>-IEs</w:t>
            </w:r>
            <w:r>
              <w:rPr>
                <w:rFonts w:eastAsia="Yu Mincho" w:hint="eastAsia"/>
              </w:rPr>
              <w:t xml:space="preserve"> </w:t>
            </w:r>
            <w:r>
              <w:rPr>
                <w:rFonts w:eastAsia="Yu Mincho"/>
              </w:rPr>
              <w:t>include</w:t>
            </w:r>
            <w:r>
              <w:rPr>
                <w:rFonts w:eastAsia="Yu Mincho" w:hint="eastAsia"/>
              </w:rPr>
              <w:t xml:space="preserve">s </w:t>
            </w:r>
            <w:r>
              <w:rPr>
                <w:rFonts w:eastAsia="Yu Mincho"/>
              </w:rPr>
              <w:t>MBS-SessionInfoList-r1</w:t>
            </w:r>
            <w:r>
              <w:rPr>
                <w:rFonts w:eastAsia="Yu Mincho" w:hint="eastAsia"/>
              </w:rPr>
              <w:t>9 which sessions are associated with ISA, and ISA mapping information is included in each session info.</w:t>
            </w:r>
          </w:p>
        </w:tc>
      </w:tr>
      <w:tr w:rsidR="00AF5D53">
        <w:tc>
          <w:tcPr>
            <w:tcW w:w="1046" w:type="dxa"/>
            <w:vAlign w:val="center"/>
          </w:tcPr>
          <w:p w:rsidR="00AF5D53" w:rsidRDefault="00A812A4">
            <w:pPr>
              <w:jc w:val="center"/>
              <w:rPr>
                <w:lang w:eastAsia="sv-SE"/>
              </w:rPr>
            </w:pPr>
            <w:r>
              <w:rPr>
                <w:lang w:eastAsia="sv-SE"/>
              </w:rPr>
              <w:t>Qualcomm</w:t>
            </w:r>
          </w:p>
        </w:tc>
        <w:tc>
          <w:tcPr>
            <w:tcW w:w="1015" w:type="dxa"/>
            <w:vAlign w:val="center"/>
          </w:tcPr>
          <w:p w:rsidR="00AF5D53" w:rsidRDefault="00A812A4">
            <w:pPr>
              <w:jc w:val="center"/>
              <w:rPr>
                <w:lang w:eastAsia="sv-SE"/>
              </w:rPr>
            </w:pPr>
            <w:r>
              <w:rPr>
                <w:lang w:eastAsia="sv-SE"/>
              </w:rPr>
              <w:t>See comments</w:t>
            </w:r>
          </w:p>
        </w:tc>
        <w:tc>
          <w:tcPr>
            <w:tcW w:w="7794" w:type="dxa"/>
            <w:vAlign w:val="center"/>
          </w:tcPr>
          <w:p w:rsidR="00AF5D53" w:rsidRDefault="00A812A4">
            <w:pPr>
              <w:rPr>
                <w:lang w:eastAsia="sv-SE"/>
              </w:rPr>
            </w:pPr>
            <w:r>
              <w:rPr>
                <w:lang w:eastAsia="sv-SE"/>
              </w:rPr>
              <w:t>We can simply extend mbs-SessionInfoList-r17 to associate area ID.</w:t>
            </w:r>
          </w:p>
          <w:p w:rsidR="00AF5D53" w:rsidRDefault="00A812A4">
            <w:pPr>
              <w:jc w:val="center"/>
              <w:rPr>
                <w:lang w:eastAsia="sv-SE"/>
              </w:rPr>
            </w:pPr>
            <w:r>
              <w:rPr>
                <w:noProof/>
              </w:rPr>
              <w:drawing>
                <wp:inline distT="0" distB="0" distL="0" distR="0">
                  <wp:extent cx="5415915" cy="2271395"/>
                  <wp:effectExtent l="0" t="0" r="0" b="0"/>
                  <wp:docPr id="761193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93899" name="Picture 1"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16355" cy="2271964"/>
                          </a:xfrm>
                          <a:prstGeom prst="rect">
                            <a:avLst/>
                          </a:prstGeom>
                          <a:noFill/>
                        </pic:spPr>
                      </pic:pic>
                    </a:graphicData>
                  </a:graphic>
                </wp:inline>
              </w:drawing>
            </w:r>
          </w:p>
        </w:tc>
      </w:tr>
      <w:tr w:rsidR="00AF5D53">
        <w:tc>
          <w:tcPr>
            <w:tcW w:w="1046" w:type="dxa"/>
            <w:vAlign w:val="center"/>
          </w:tcPr>
          <w:p w:rsidR="00AF5D53" w:rsidRDefault="00A812A4">
            <w:pPr>
              <w:jc w:val="center"/>
            </w:pPr>
            <w:r>
              <w:rPr>
                <w:rFonts w:eastAsiaTheme="minorEastAsia" w:hint="eastAsia"/>
              </w:rPr>
              <w:t>X</w:t>
            </w:r>
            <w:r>
              <w:rPr>
                <w:rFonts w:eastAsiaTheme="minorEastAsia"/>
              </w:rPr>
              <w:t>iaomi</w:t>
            </w:r>
          </w:p>
        </w:tc>
        <w:tc>
          <w:tcPr>
            <w:tcW w:w="1015" w:type="dxa"/>
            <w:vAlign w:val="center"/>
          </w:tcPr>
          <w:p w:rsidR="00AF5D53" w:rsidRDefault="00A812A4">
            <w:pPr>
              <w:jc w:val="center"/>
            </w:pPr>
            <w:r>
              <w:rPr>
                <w:rFonts w:eastAsiaTheme="minorEastAsia" w:hint="eastAsia"/>
              </w:rPr>
              <w:t>S</w:t>
            </w:r>
            <w:r>
              <w:rPr>
                <w:rFonts w:eastAsiaTheme="minorEastAsia"/>
              </w:rPr>
              <w:t>ee comments</w:t>
            </w:r>
          </w:p>
        </w:tc>
        <w:tc>
          <w:tcPr>
            <w:tcW w:w="7794" w:type="dxa"/>
            <w:vAlign w:val="center"/>
          </w:tcPr>
          <w:p w:rsidR="00AF5D53" w:rsidRDefault="00A812A4">
            <w:r>
              <w:rPr>
                <w:rFonts w:eastAsiaTheme="minorEastAsia"/>
              </w:rPr>
              <w:t xml:space="preserve">Share the same view that we should avoid duplicating the TMGI field to reduce signaling overhead. It could be better to extend the </w:t>
            </w:r>
            <w:r>
              <w:rPr>
                <w:rFonts w:eastAsiaTheme="minorEastAsia"/>
                <w:i/>
                <w:iCs/>
              </w:rPr>
              <w:t>MBS-SessionInfoList-r17</w:t>
            </w:r>
            <w:r>
              <w:rPr>
                <w:rFonts w:eastAsiaTheme="minorEastAsia"/>
              </w:rPr>
              <w:t>.</w:t>
            </w:r>
          </w:p>
        </w:tc>
      </w:tr>
      <w:tr w:rsidR="00AF5D53">
        <w:tc>
          <w:tcPr>
            <w:tcW w:w="1046" w:type="dxa"/>
            <w:vAlign w:val="center"/>
          </w:tcPr>
          <w:p w:rsidR="00AF5D53" w:rsidRDefault="00A812A4">
            <w:pPr>
              <w:jc w:val="center"/>
            </w:pPr>
            <w:r>
              <w:rPr>
                <w:lang w:eastAsia="sv-SE"/>
              </w:rPr>
              <w:t>Huawei, HiSilicon</w:t>
            </w:r>
          </w:p>
        </w:tc>
        <w:tc>
          <w:tcPr>
            <w:tcW w:w="1015" w:type="dxa"/>
            <w:vAlign w:val="center"/>
          </w:tcPr>
          <w:p w:rsidR="00AF5D53" w:rsidRDefault="00A812A4">
            <w:pPr>
              <w:jc w:val="center"/>
            </w:pPr>
            <w:r>
              <w:rPr>
                <w:lang w:eastAsia="sv-SE"/>
              </w:rPr>
              <w:t>See comment</w:t>
            </w:r>
          </w:p>
        </w:tc>
        <w:tc>
          <w:tcPr>
            <w:tcW w:w="7794" w:type="dxa"/>
            <w:vAlign w:val="center"/>
          </w:tcPr>
          <w:p w:rsidR="00AF5D53" w:rsidRDefault="00A812A4">
            <w:pPr>
              <w:rPr>
                <w:lang w:eastAsia="sv-SE"/>
              </w:rPr>
            </w:pPr>
            <w:r>
              <w:rPr>
                <w:lang w:eastAsia="sv-SE"/>
              </w:rPr>
              <w:t>We also prefer to avoid repeating TMGI. Vivo’s proposal looks good. Besides, it needs to be clarified in the field discrption that the new list has a one-to-one mapping relationship with the existing MBS-SessionInfoList-r17.</w:t>
            </w:r>
          </w:p>
          <w:p w:rsidR="00AF5D53" w:rsidRDefault="00AF5D53"/>
          <w:p w:rsidR="00AF5D53" w:rsidRDefault="00A812A4">
            <w:r>
              <w:t>On Qualcomm’s version, it is unclear to us where MBS-SessionInfoListExt-v19xy is referenced.</w:t>
            </w:r>
          </w:p>
        </w:tc>
      </w:tr>
      <w:tr w:rsidR="00AF5D53">
        <w:tc>
          <w:tcPr>
            <w:tcW w:w="1046" w:type="dxa"/>
            <w:vAlign w:val="center"/>
          </w:tcPr>
          <w:p w:rsidR="00AF5D53" w:rsidRDefault="00A812A4">
            <w:pPr>
              <w:jc w:val="center"/>
              <w:rPr>
                <w:lang w:eastAsia="sv-SE"/>
              </w:rPr>
            </w:pPr>
            <w:r>
              <w:rPr>
                <w:lang w:eastAsia="sv-SE"/>
              </w:rPr>
              <w:lastRenderedPageBreak/>
              <w:t>Fujitsu</w:t>
            </w:r>
          </w:p>
        </w:tc>
        <w:tc>
          <w:tcPr>
            <w:tcW w:w="1015" w:type="dxa"/>
            <w:vAlign w:val="center"/>
          </w:tcPr>
          <w:p w:rsidR="00AF5D53" w:rsidRDefault="00A812A4">
            <w:pPr>
              <w:jc w:val="center"/>
              <w:rPr>
                <w:lang w:eastAsia="sv-SE"/>
              </w:rPr>
            </w:pPr>
            <w:r>
              <w:rPr>
                <w:lang w:eastAsia="sv-SE"/>
              </w:rPr>
              <w:t>See comments</w:t>
            </w:r>
          </w:p>
        </w:tc>
        <w:tc>
          <w:tcPr>
            <w:tcW w:w="7794" w:type="dxa"/>
            <w:vAlign w:val="center"/>
          </w:tcPr>
          <w:p w:rsidR="00AF5D53" w:rsidRDefault="00A812A4">
            <w:r>
              <w:rPr>
                <w:lang w:eastAsia="sv-SE"/>
              </w:rPr>
              <w:t xml:space="preserve">Rapporteur’s way is </w:t>
            </w:r>
            <w:r>
              <w:rPr>
                <w:rFonts w:eastAsiaTheme="minorEastAsia" w:hint="eastAsia"/>
              </w:rPr>
              <w:t>fine</w:t>
            </w:r>
            <w:r>
              <w:rPr>
                <w:lang w:eastAsia="sv-SE"/>
              </w:rPr>
              <w:t>, but if we want to avoid the TMGI duplicat, adding the ISAs into MBS-SessionInfo would be better. Considering there is no extension IE reserved in current MBS-SessionInfo-r17, we think new MBS-SessionInfo</w:t>
            </w:r>
            <w:r>
              <w:rPr>
                <w:rFonts w:eastAsiaTheme="minorEastAsia" w:hint="eastAsia"/>
              </w:rPr>
              <w:t xml:space="preserve"> should be introduced, with the ISAs and all the existing IEs of </w:t>
            </w:r>
            <w:r>
              <w:rPr>
                <w:lang w:eastAsia="sv-SE"/>
              </w:rPr>
              <w:t>MBS-SessionInfo-r17</w:t>
            </w:r>
            <w:r>
              <w:rPr>
                <w:rFonts w:eastAsiaTheme="minorEastAsia" w:hint="eastAsia"/>
              </w:rPr>
              <w:t xml:space="preserve"> included:</w:t>
            </w:r>
          </w:p>
          <w:p w:rsidR="00AF5D53" w:rsidRDefault="00A812A4">
            <w:pPr>
              <w:rPr>
                <w:lang w:eastAsia="sv-SE"/>
              </w:rPr>
            </w:pPr>
            <w:r>
              <w:rPr>
                <w:noProof/>
              </w:rPr>
              <w:drawing>
                <wp:inline distT="0" distB="0" distL="0" distR="0">
                  <wp:extent cx="4627245" cy="2760980"/>
                  <wp:effectExtent l="0" t="0" r="1905" b="1270"/>
                  <wp:docPr id="183748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86188" name="Picture 1"/>
                          <pic:cNvPicPr>
                            <a:picLocks noChangeAspect="1"/>
                          </pic:cNvPicPr>
                        </pic:nvPicPr>
                        <pic:blipFill>
                          <a:blip r:embed="rId12"/>
                          <a:stretch>
                            <a:fillRect/>
                          </a:stretch>
                        </pic:blipFill>
                        <pic:spPr>
                          <a:xfrm>
                            <a:off x="0" y="0"/>
                            <a:ext cx="4642523" cy="2770390"/>
                          </a:xfrm>
                          <a:prstGeom prst="rect">
                            <a:avLst/>
                          </a:prstGeom>
                        </pic:spPr>
                      </pic:pic>
                    </a:graphicData>
                  </a:graphic>
                </wp:inline>
              </w:drawing>
            </w:r>
          </w:p>
        </w:tc>
      </w:tr>
      <w:tr w:rsidR="00AF5D53">
        <w:tc>
          <w:tcPr>
            <w:tcW w:w="1046" w:type="dxa"/>
            <w:vAlign w:val="center"/>
          </w:tcPr>
          <w:p w:rsidR="00AF5D53" w:rsidRDefault="00A812A4">
            <w:pPr>
              <w:jc w:val="center"/>
              <w:rPr>
                <w:rFonts w:eastAsia="SimSun"/>
              </w:rPr>
            </w:pPr>
            <w:r>
              <w:rPr>
                <w:rFonts w:eastAsia="SimSun" w:hint="eastAsia"/>
                <w:lang w:val="en-US" w:eastAsia="zh-CN"/>
              </w:rPr>
              <w:t>ZTE</w:t>
            </w:r>
          </w:p>
        </w:tc>
        <w:tc>
          <w:tcPr>
            <w:tcW w:w="1015" w:type="dxa"/>
            <w:vAlign w:val="center"/>
          </w:tcPr>
          <w:p w:rsidR="00AF5D53" w:rsidRDefault="00A812A4">
            <w:pPr>
              <w:jc w:val="center"/>
              <w:rPr>
                <w:rFonts w:eastAsia="SimSun"/>
              </w:rPr>
            </w:pPr>
            <w:r>
              <w:rPr>
                <w:rFonts w:eastAsia="SimSun" w:hint="eastAsia"/>
                <w:lang w:val="en-US" w:eastAsia="zh-CN"/>
              </w:rPr>
              <w:t>See comments</w:t>
            </w:r>
          </w:p>
        </w:tc>
        <w:tc>
          <w:tcPr>
            <w:tcW w:w="7794" w:type="dxa"/>
            <w:vAlign w:val="center"/>
          </w:tcPr>
          <w:p w:rsidR="00AF5D53" w:rsidRDefault="00A812A4">
            <w:pPr>
              <w:rPr>
                <w:rFonts w:eastAsia="SimSun"/>
              </w:rPr>
            </w:pPr>
            <w:r>
              <w:rPr>
                <w:rFonts w:eastAsia="SimSun" w:hint="eastAsia"/>
                <w:lang w:val="en-US" w:eastAsia="zh-CN"/>
              </w:rPr>
              <w:t>Agree with companies</w:t>
            </w:r>
            <w:r>
              <w:rPr>
                <w:rFonts w:eastAsia="SimSun"/>
                <w:lang w:val="en-US" w:eastAsia="zh-CN"/>
              </w:rPr>
              <w:t>’</w:t>
            </w:r>
            <w:r>
              <w:rPr>
                <w:rFonts w:eastAsia="SimSun" w:hint="eastAsia"/>
                <w:lang w:val="en-US" w:eastAsia="zh-CN"/>
              </w:rPr>
              <w:t xml:space="preserve"> that TMGI seems to consumes too much </w:t>
            </w:r>
            <w:proofErr w:type="spellStart"/>
            <w:r>
              <w:rPr>
                <w:rFonts w:eastAsia="SimSun" w:hint="eastAsia"/>
                <w:lang w:val="en-US" w:eastAsia="zh-CN"/>
              </w:rPr>
              <w:t>signalling</w:t>
            </w:r>
            <w:proofErr w:type="spellEnd"/>
            <w:r>
              <w:rPr>
                <w:rFonts w:eastAsia="SimSun" w:hint="eastAsia"/>
                <w:lang w:val="en-US" w:eastAsia="zh-CN"/>
              </w:rPr>
              <w:t xml:space="preserve"> overhead. We can add the </w:t>
            </w:r>
            <w:proofErr w:type="spellStart"/>
            <w:r>
              <w:rPr>
                <w:rFonts w:eastAsia="SimSun" w:hint="eastAsia"/>
                <w:lang w:val="en-US" w:eastAsia="zh-CN"/>
              </w:rPr>
              <w:t>the</w:t>
            </w:r>
            <w:proofErr w:type="spellEnd"/>
            <w:r>
              <w:rPr>
                <w:rFonts w:eastAsia="SimSun" w:hint="eastAsia"/>
                <w:lang w:val="en-US" w:eastAsia="zh-CN"/>
              </w:rPr>
              <w:t xml:space="preserve"> list of ISA ids per each MBS session.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comments together with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suggestion on field description clarification shall be sufficient.</w:t>
            </w:r>
          </w:p>
        </w:tc>
      </w:tr>
      <w:tr w:rsidR="00065868">
        <w:tc>
          <w:tcPr>
            <w:tcW w:w="1046" w:type="dxa"/>
            <w:vAlign w:val="center"/>
          </w:tcPr>
          <w:p w:rsidR="00065868" w:rsidRPr="00065868" w:rsidRDefault="00065868">
            <w:pPr>
              <w:jc w:val="center"/>
              <w:rPr>
                <w:rFonts w:eastAsia="SimSun" w:hint="eastAsia"/>
                <w:lang w:val="en-US"/>
              </w:rPr>
            </w:pPr>
            <w:r>
              <w:rPr>
                <w:rFonts w:eastAsia="SimSun"/>
                <w:lang w:val="en-US"/>
              </w:rPr>
              <w:t>Samsung</w:t>
            </w:r>
          </w:p>
        </w:tc>
        <w:tc>
          <w:tcPr>
            <w:tcW w:w="1015" w:type="dxa"/>
            <w:vAlign w:val="center"/>
          </w:tcPr>
          <w:p w:rsidR="00065868" w:rsidRDefault="00A44887">
            <w:pPr>
              <w:jc w:val="center"/>
              <w:rPr>
                <w:rFonts w:eastAsia="SimSun" w:hint="eastAsia"/>
              </w:rPr>
            </w:pPr>
            <w:r>
              <w:rPr>
                <w:rFonts w:eastAsia="SimSun"/>
              </w:rPr>
              <w:t>See comments</w:t>
            </w:r>
          </w:p>
        </w:tc>
        <w:tc>
          <w:tcPr>
            <w:tcW w:w="7794" w:type="dxa"/>
            <w:vAlign w:val="center"/>
          </w:tcPr>
          <w:p w:rsidR="00A44887" w:rsidRDefault="00A44887" w:rsidP="00A44887">
            <w:pPr>
              <w:rPr>
                <w:rFonts w:eastAsia="SimSun" w:hint="eastAsia"/>
              </w:rPr>
            </w:pPr>
            <w:r>
              <w:rPr>
                <w:rFonts w:eastAsia="SimSun"/>
              </w:rPr>
              <w:t xml:space="preserve">Share others‘ view that repeating TMGI should be avoided. Prefer to add ISA ID in </w:t>
            </w:r>
            <w:r>
              <w:rPr>
                <w:lang w:eastAsia="sv-SE"/>
              </w:rPr>
              <w:t>MBS-SessionInfo</w:t>
            </w:r>
            <w:r>
              <w:rPr>
                <w:lang w:eastAsia="sv-SE"/>
              </w:rPr>
              <w:t xml:space="preserve">, but there is no extention field for </w:t>
            </w:r>
            <w:r>
              <w:rPr>
                <w:lang w:eastAsia="sv-SE"/>
              </w:rPr>
              <w:t>MBS-SessionInfo</w:t>
            </w:r>
            <w:r>
              <w:rPr>
                <w:lang w:eastAsia="sv-SE"/>
              </w:rPr>
              <w:t xml:space="preserve">-r17, so I think if </w:t>
            </w:r>
            <w:r>
              <w:rPr>
                <w:rFonts w:eastAsia="SimSun"/>
              </w:rPr>
              <w:t xml:space="preserve">Fujitsu’s proposal with only MBS-AreaList in </w:t>
            </w:r>
            <w:r>
              <w:rPr>
                <w:lang w:eastAsia="sv-SE"/>
              </w:rPr>
              <w:t>MBS-SessionInfo</w:t>
            </w:r>
            <w:r>
              <w:rPr>
                <w:lang w:eastAsia="sv-SE"/>
              </w:rPr>
              <w:t>-r19 can work (?)</w:t>
            </w:r>
          </w:p>
        </w:tc>
      </w:tr>
    </w:tbl>
    <w:p w:rsidR="00AF5D53" w:rsidRDefault="00AF5D53">
      <w:pPr>
        <w:rPr>
          <w:lang w:eastAsia="sv-SE"/>
        </w:rPr>
      </w:pPr>
    </w:p>
    <w:p w:rsidR="00AF5D53" w:rsidRDefault="00A812A4">
      <w:pPr>
        <w:rPr>
          <w:b/>
          <w:bCs/>
          <w:highlight w:val="cyan"/>
          <w:u w:val="single"/>
          <w:lang w:eastAsia="sv-SE"/>
        </w:rPr>
      </w:pPr>
      <w:r>
        <w:rPr>
          <w:b/>
          <w:bCs/>
          <w:highlight w:val="cyan"/>
          <w:u w:val="single"/>
          <w:lang w:eastAsia="sv-SE"/>
        </w:rPr>
        <w:t>Service continuity</w:t>
      </w:r>
    </w:p>
    <w:p w:rsidR="00AF5D53" w:rsidRDefault="00A812A4">
      <w:pPr>
        <w:rPr>
          <w:lang w:eastAsia="sv-SE"/>
        </w:rPr>
      </w:pPr>
      <w:r>
        <w:rPr>
          <w:lang w:eastAsia="sv-SE"/>
        </w:rPr>
        <w:t>Last meeting, the topic of service continuity was extensively discussed and RAN2 agreed that a UE may prioritize the frequency(</w:t>
      </w:r>
      <w:proofErr w:type="spellStart"/>
      <w:r>
        <w:rPr>
          <w:lang w:eastAsia="sv-SE"/>
        </w:rPr>
        <w:t>ies</w:t>
      </w:r>
      <w:proofErr w:type="spellEnd"/>
      <w:r>
        <w:rPr>
          <w:lang w:eastAsia="sv-SE"/>
        </w:rPr>
        <w:t>) for an interested service when UE can only receive the service on those frequency(</w:t>
      </w:r>
      <w:proofErr w:type="spellStart"/>
      <w:r>
        <w:rPr>
          <w:lang w:eastAsia="sv-SE"/>
        </w:rPr>
        <w:t>ies</w:t>
      </w:r>
      <w:proofErr w:type="spellEnd"/>
      <w:r>
        <w:rPr>
          <w:lang w:eastAsia="sv-SE"/>
        </w:rPr>
        <w:t>) and the UE is in intended service area associated with the service provided in the frequency(</w:t>
      </w:r>
      <w:proofErr w:type="spellStart"/>
      <w:r>
        <w:rPr>
          <w:lang w:eastAsia="sv-SE"/>
        </w:rPr>
        <w:t>ies</w:t>
      </w:r>
      <w:proofErr w:type="spellEnd"/>
      <w:r>
        <w:rPr>
          <w:lang w:eastAsia="sv-SE"/>
        </w:rPr>
        <w:t>). It remains to be decided whether and how the association between intended service area and frequencies is acquired.</w:t>
      </w:r>
    </w:p>
    <w:p w:rsidR="00AF5D53" w:rsidRDefault="00A812A4">
      <w:pPr>
        <w:rPr>
          <w:lang w:eastAsia="sv-SE"/>
        </w:rPr>
      </w:pPr>
      <w:r>
        <w:rPr>
          <w:lang w:eastAsia="sv-SE"/>
        </w:rPr>
        <w:t>From rapporteur’s perspective, this is a complex issue that is very scenario dependent. Thus, the suggestion is that companies provide contributions to the following meeting focusing on clarifying the target scenarios and necessary enhancements (if any), for example:</w:t>
      </w:r>
    </w:p>
    <w:p w:rsidR="00AF5D53" w:rsidRDefault="00A812A4">
      <w:pPr>
        <w:pStyle w:val="ListParagraph"/>
        <w:numPr>
          <w:ilvl w:val="0"/>
          <w:numId w:val="7"/>
        </w:numPr>
        <w:rPr>
          <w:lang w:eastAsia="sv-SE"/>
        </w:rPr>
      </w:pPr>
      <w:r>
        <w:rPr>
          <w:lang w:eastAsia="sv-SE"/>
        </w:rPr>
        <w:t>Multiple frequencies, served by the same satellite, illuminating the same geographical area. Each frequency provides a different MBS service. These services are not being broadcast in the serving cell.</w:t>
      </w:r>
    </w:p>
    <w:p w:rsidR="00AF5D53" w:rsidRDefault="00A812A4">
      <w:pPr>
        <w:pStyle w:val="ListParagraph"/>
        <w:numPr>
          <w:ilvl w:val="0"/>
          <w:numId w:val="7"/>
        </w:numPr>
        <w:rPr>
          <w:lang w:eastAsia="sv-SE"/>
        </w:rPr>
      </w:pPr>
      <w:r>
        <w:rPr>
          <w:lang w:eastAsia="sv-SE"/>
        </w:rPr>
        <w:t xml:space="preserve">Multiple frequencies, served by the same or different satellites, but not covering the same geographical area (they are </w:t>
      </w:r>
      <w:proofErr w:type="spellStart"/>
      <w:r>
        <w:rPr>
          <w:lang w:eastAsia="sv-SE"/>
        </w:rPr>
        <w:t>neighbour</w:t>
      </w:r>
      <w:proofErr w:type="spellEnd"/>
      <w:r>
        <w:rPr>
          <w:lang w:eastAsia="sv-SE"/>
        </w:rPr>
        <w:t xml:space="preserve"> cells). Each frequency provides a different MBS service. These services are not being broadcast in the serving cell.</w:t>
      </w:r>
    </w:p>
    <w:p w:rsidR="00AF5D53" w:rsidRDefault="00A812A4">
      <w:pPr>
        <w:rPr>
          <w:lang w:eastAsia="sv-SE"/>
        </w:rPr>
      </w:pPr>
      <w:r>
        <w:rPr>
          <w:lang w:eastAsia="sv-SE"/>
        </w:rPr>
        <w:t>Companies are also welcome to comment whether other scenarios should be taken into consideration:</w:t>
      </w:r>
    </w:p>
    <w:tbl>
      <w:tblPr>
        <w:tblStyle w:val="TableGrid"/>
        <w:tblW w:w="5000" w:type="pct"/>
        <w:tblLook w:val="04A0" w:firstRow="1" w:lastRow="0" w:firstColumn="1" w:lastColumn="0" w:noHBand="0" w:noVBand="1"/>
      </w:tblPr>
      <w:tblGrid>
        <w:gridCol w:w="1882"/>
        <w:gridCol w:w="7973"/>
      </w:tblGrid>
      <w:tr w:rsidR="00AF5D53">
        <w:tc>
          <w:tcPr>
            <w:tcW w:w="955" w:type="pct"/>
            <w:shd w:val="clear" w:color="auto" w:fill="E7E6E6" w:themeFill="background2"/>
            <w:vAlign w:val="center"/>
          </w:tcPr>
          <w:p w:rsidR="00AF5D53" w:rsidRDefault="00A812A4">
            <w:pPr>
              <w:jc w:val="center"/>
              <w:rPr>
                <w:b/>
                <w:bCs/>
                <w:lang w:eastAsia="sv-SE"/>
              </w:rPr>
            </w:pPr>
            <w:r>
              <w:rPr>
                <w:b/>
                <w:bCs/>
                <w:lang w:eastAsia="sv-SE"/>
              </w:rPr>
              <w:lastRenderedPageBreak/>
              <w:t>Company</w:t>
            </w:r>
          </w:p>
        </w:tc>
        <w:tc>
          <w:tcPr>
            <w:tcW w:w="4045" w:type="pct"/>
            <w:shd w:val="clear" w:color="auto" w:fill="E7E6E6" w:themeFill="background2"/>
            <w:vAlign w:val="center"/>
          </w:tcPr>
          <w:p w:rsidR="00AF5D53" w:rsidRDefault="00A812A4">
            <w:pPr>
              <w:jc w:val="center"/>
              <w:rPr>
                <w:b/>
                <w:bCs/>
                <w:lang w:eastAsia="sv-SE"/>
              </w:rPr>
            </w:pPr>
            <w:r>
              <w:rPr>
                <w:b/>
                <w:bCs/>
                <w:lang w:eastAsia="sv-SE"/>
              </w:rPr>
              <w:t>Other scenarios</w:t>
            </w:r>
          </w:p>
        </w:tc>
      </w:tr>
      <w:tr w:rsidR="00AF5D53">
        <w:tc>
          <w:tcPr>
            <w:tcW w:w="955" w:type="pct"/>
            <w:vAlign w:val="center"/>
          </w:tcPr>
          <w:p w:rsidR="00AF5D53" w:rsidRDefault="00A812A4">
            <w:pPr>
              <w:jc w:val="center"/>
            </w:pPr>
            <w:r>
              <w:rPr>
                <w:rFonts w:eastAsiaTheme="minorEastAsia" w:hint="eastAsia"/>
              </w:rPr>
              <w:t>CATT</w:t>
            </w:r>
          </w:p>
        </w:tc>
        <w:tc>
          <w:tcPr>
            <w:tcW w:w="4045" w:type="pct"/>
            <w:vAlign w:val="center"/>
          </w:tcPr>
          <w:p w:rsidR="00AF5D53" w:rsidRDefault="00A812A4">
            <w:r>
              <w:rPr>
                <w:rFonts w:eastAsiaTheme="minorEastAsia" w:hint="eastAsia"/>
              </w:rPr>
              <w:t>We prefer to not further complicate the scenarios.</w:t>
            </w:r>
          </w:p>
        </w:tc>
      </w:tr>
      <w:tr w:rsidR="00AF5D53">
        <w:tc>
          <w:tcPr>
            <w:tcW w:w="955" w:type="pct"/>
            <w:vAlign w:val="center"/>
          </w:tcPr>
          <w:p w:rsidR="00AF5D53" w:rsidRDefault="00A812A4">
            <w:pPr>
              <w:jc w:val="center"/>
              <w:rPr>
                <w:lang w:eastAsia="sv-SE"/>
              </w:rPr>
            </w:pPr>
            <w:r>
              <w:rPr>
                <w:lang w:eastAsia="sv-SE"/>
              </w:rPr>
              <w:t>Apple</w:t>
            </w:r>
          </w:p>
        </w:tc>
        <w:tc>
          <w:tcPr>
            <w:tcW w:w="4045" w:type="pct"/>
            <w:vAlign w:val="center"/>
          </w:tcPr>
          <w:p w:rsidR="00AF5D53" w:rsidRDefault="00A812A4">
            <w:pPr>
              <w:rPr>
                <w:lang w:eastAsia="sv-SE"/>
              </w:rPr>
            </w:pPr>
            <w:r>
              <w:rPr>
                <w:lang w:eastAsia="sv-SE"/>
              </w:rPr>
              <w:t>Our understanding is it could be either the same or differnet serivces supported by different frequencies.</w:t>
            </w:r>
          </w:p>
          <w:p w:rsidR="00AF5D53" w:rsidRDefault="00A812A4">
            <w:pPr>
              <w:rPr>
                <w:lang w:eastAsia="sv-SE"/>
              </w:rPr>
            </w:pPr>
            <w:r>
              <w:rPr>
                <w:lang w:eastAsia="sv-SE"/>
              </w:rPr>
              <w:t xml:space="preserve">Of course we would bring a contribution to clarify it more. </w:t>
            </w:r>
          </w:p>
        </w:tc>
      </w:tr>
      <w:tr w:rsidR="00AF5D53">
        <w:tc>
          <w:tcPr>
            <w:tcW w:w="955" w:type="pct"/>
            <w:vAlign w:val="center"/>
          </w:tcPr>
          <w:p w:rsidR="00AF5D53" w:rsidRDefault="00A812A4">
            <w:pPr>
              <w:jc w:val="center"/>
            </w:pPr>
            <w:r>
              <w:rPr>
                <w:rFonts w:eastAsiaTheme="minorEastAsia" w:hint="eastAsia"/>
              </w:rPr>
              <w:t>v</w:t>
            </w:r>
            <w:r>
              <w:rPr>
                <w:rFonts w:eastAsiaTheme="minorEastAsia"/>
              </w:rPr>
              <w:t>ivo</w:t>
            </w:r>
          </w:p>
        </w:tc>
        <w:tc>
          <w:tcPr>
            <w:tcW w:w="4045" w:type="pct"/>
            <w:vAlign w:val="center"/>
          </w:tcPr>
          <w:p w:rsidR="00AF5D53" w:rsidRDefault="00A812A4">
            <w:r>
              <w:rPr>
                <w:rFonts w:eastAsiaTheme="minorEastAsia"/>
              </w:rPr>
              <w:t xml:space="preserve">We think at least the above-mentioned cases should be considered. </w:t>
            </w:r>
          </w:p>
        </w:tc>
      </w:tr>
      <w:tr w:rsidR="00AF5D53">
        <w:tc>
          <w:tcPr>
            <w:tcW w:w="955" w:type="pct"/>
            <w:vAlign w:val="center"/>
          </w:tcPr>
          <w:p w:rsidR="00AF5D53" w:rsidRDefault="00A812A4">
            <w:pPr>
              <w:jc w:val="center"/>
              <w:rPr>
                <w:rFonts w:eastAsia="Yu Mincho"/>
              </w:rPr>
            </w:pPr>
            <w:r>
              <w:rPr>
                <w:rFonts w:eastAsia="Yu Mincho" w:hint="eastAsia"/>
              </w:rPr>
              <w:t>Sharp</w:t>
            </w:r>
          </w:p>
        </w:tc>
        <w:tc>
          <w:tcPr>
            <w:tcW w:w="4045" w:type="pct"/>
            <w:vAlign w:val="center"/>
          </w:tcPr>
          <w:p w:rsidR="00AF5D53" w:rsidRDefault="00A812A4">
            <w:pPr>
              <w:rPr>
                <w:rFonts w:eastAsia="Yu Mincho"/>
              </w:rPr>
            </w:pPr>
            <w:r>
              <w:rPr>
                <w:rFonts w:eastAsia="Yu Mincho"/>
              </w:rPr>
              <w:t>W</w:t>
            </w:r>
            <w:r>
              <w:rPr>
                <w:rFonts w:eastAsia="Yu Mincho" w:hint="eastAsia"/>
              </w:rPr>
              <w:t>e think a consideration for above scenarios is the baseline.</w:t>
            </w:r>
          </w:p>
        </w:tc>
      </w:tr>
      <w:tr w:rsidR="00AF5D53">
        <w:tc>
          <w:tcPr>
            <w:tcW w:w="955" w:type="pct"/>
            <w:vAlign w:val="center"/>
          </w:tcPr>
          <w:p w:rsidR="00AF5D53" w:rsidRDefault="00A812A4">
            <w:pPr>
              <w:jc w:val="center"/>
              <w:rPr>
                <w:lang w:eastAsia="sv-SE"/>
              </w:rPr>
            </w:pPr>
            <w:r>
              <w:rPr>
                <w:lang w:eastAsia="sv-SE"/>
              </w:rPr>
              <w:t>Qualcomm</w:t>
            </w:r>
          </w:p>
        </w:tc>
        <w:tc>
          <w:tcPr>
            <w:tcW w:w="4045" w:type="pct"/>
            <w:vAlign w:val="center"/>
          </w:tcPr>
          <w:p w:rsidR="00AF5D53" w:rsidRDefault="00A812A4">
            <w:pPr>
              <w:rPr>
                <w:lang w:eastAsia="sv-SE"/>
              </w:rPr>
            </w:pPr>
            <w:r>
              <w:rPr>
                <w:lang w:eastAsia="sv-SE"/>
              </w:rPr>
              <w:t xml:space="preserve">Here the frequency may be of a neighbor cell from same satellite or different satellite. </w:t>
            </w:r>
          </w:p>
        </w:tc>
      </w:tr>
      <w:tr w:rsidR="00AF5D53">
        <w:tc>
          <w:tcPr>
            <w:tcW w:w="955" w:type="pct"/>
            <w:vAlign w:val="center"/>
          </w:tcPr>
          <w:p w:rsidR="00AF5D53" w:rsidRDefault="00A812A4">
            <w:pPr>
              <w:jc w:val="center"/>
            </w:pPr>
            <w:r>
              <w:rPr>
                <w:rFonts w:eastAsiaTheme="minorEastAsia" w:hint="eastAsia"/>
              </w:rPr>
              <w:t>X</w:t>
            </w:r>
            <w:r>
              <w:rPr>
                <w:rFonts w:eastAsiaTheme="minorEastAsia"/>
              </w:rPr>
              <w:t>iaomi</w:t>
            </w:r>
          </w:p>
        </w:tc>
        <w:tc>
          <w:tcPr>
            <w:tcW w:w="4045" w:type="pct"/>
            <w:vAlign w:val="center"/>
          </w:tcPr>
          <w:p w:rsidR="00AF5D53" w:rsidRDefault="00A812A4">
            <w:r>
              <w:rPr>
                <w:rFonts w:eastAsiaTheme="minorEastAsia" w:hint="eastAsia"/>
              </w:rPr>
              <w:t>W</w:t>
            </w:r>
            <w:r>
              <w:rPr>
                <w:rFonts w:eastAsiaTheme="minorEastAsia"/>
              </w:rPr>
              <w:t>e prefer to focus on the above two scenairos.</w:t>
            </w:r>
          </w:p>
        </w:tc>
      </w:tr>
      <w:tr w:rsidR="00AF5D53">
        <w:tc>
          <w:tcPr>
            <w:tcW w:w="955" w:type="pct"/>
            <w:vAlign w:val="center"/>
          </w:tcPr>
          <w:p w:rsidR="00AF5D53" w:rsidRDefault="00A812A4">
            <w:pPr>
              <w:jc w:val="center"/>
            </w:pPr>
            <w:r>
              <w:rPr>
                <w:rFonts w:eastAsiaTheme="minorEastAsia" w:hint="eastAsia"/>
              </w:rPr>
              <w:t>Fujitsu</w:t>
            </w:r>
          </w:p>
        </w:tc>
        <w:tc>
          <w:tcPr>
            <w:tcW w:w="4045" w:type="pct"/>
            <w:vAlign w:val="center"/>
          </w:tcPr>
          <w:p w:rsidR="00AF5D53" w:rsidRDefault="00A812A4">
            <w:r>
              <w:rPr>
                <w:lang w:eastAsia="sv-SE"/>
              </w:rPr>
              <w:t>Our understanding is</w:t>
            </w:r>
            <w:r>
              <w:rPr>
                <w:rFonts w:eastAsiaTheme="minorEastAsia" w:hint="eastAsia"/>
              </w:rPr>
              <w:t xml:space="preserve"> same MBS service can be provided by different frequencies. The m</w:t>
            </w:r>
            <w:r>
              <w:rPr>
                <w:rFonts w:eastAsiaTheme="minorEastAsia"/>
              </w:rPr>
              <w:t>ultiple frequencies, served by the same</w:t>
            </w:r>
            <w:r>
              <w:rPr>
                <w:rFonts w:eastAsiaTheme="minorEastAsia" w:hint="eastAsia"/>
              </w:rPr>
              <w:t xml:space="preserve"> or different</w:t>
            </w:r>
            <w:r>
              <w:rPr>
                <w:rFonts w:eastAsiaTheme="minorEastAsia"/>
              </w:rPr>
              <w:t xml:space="preserve"> satellite</w:t>
            </w:r>
            <w:r>
              <w:rPr>
                <w:rFonts w:eastAsiaTheme="minorEastAsia" w:hint="eastAsia"/>
              </w:rPr>
              <w:t xml:space="preserve">s, </w:t>
            </w:r>
            <w:r>
              <w:rPr>
                <w:lang w:eastAsia="sv-SE"/>
              </w:rPr>
              <w:t>covering</w:t>
            </w:r>
            <w:r>
              <w:rPr>
                <w:rFonts w:eastAsiaTheme="minorEastAsia" w:hint="eastAsia"/>
              </w:rPr>
              <w:t xml:space="preserve"> same or different </w:t>
            </w:r>
            <w:r>
              <w:rPr>
                <w:lang w:eastAsia="sv-SE"/>
              </w:rPr>
              <w:t>geographical area</w:t>
            </w:r>
            <w:r>
              <w:rPr>
                <w:rFonts w:eastAsiaTheme="minorEastAsia" w:hint="eastAsia"/>
              </w:rPr>
              <w:t>.</w:t>
            </w:r>
          </w:p>
        </w:tc>
      </w:tr>
      <w:tr w:rsidR="00AF5D53">
        <w:tc>
          <w:tcPr>
            <w:tcW w:w="955" w:type="pct"/>
            <w:vAlign w:val="center"/>
          </w:tcPr>
          <w:p w:rsidR="00AF5D53" w:rsidRDefault="00A812A4">
            <w:pPr>
              <w:jc w:val="center"/>
            </w:pPr>
            <w:r>
              <w:rPr>
                <w:rFonts w:hint="eastAsia"/>
                <w:lang w:val="en-US" w:eastAsia="zh-CN"/>
              </w:rPr>
              <w:t>ZTE</w:t>
            </w:r>
          </w:p>
        </w:tc>
        <w:tc>
          <w:tcPr>
            <w:tcW w:w="4045" w:type="pct"/>
            <w:vAlign w:val="center"/>
          </w:tcPr>
          <w:p w:rsidR="00AF5D53" w:rsidRDefault="00A812A4">
            <w:pPr>
              <w:rPr>
                <w:rFonts w:eastAsia="SimSun"/>
              </w:rPr>
            </w:pPr>
            <w:r>
              <w:rPr>
                <w:rFonts w:eastAsia="SimSun" w:hint="eastAsia"/>
                <w:lang w:val="en-US" w:eastAsia="zh-CN"/>
              </w:rPr>
              <w:t>Share the same view as Apple.</w:t>
            </w:r>
          </w:p>
        </w:tc>
      </w:tr>
      <w:tr w:rsidR="008F33BE">
        <w:tc>
          <w:tcPr>
            <w:tcW w:w="955" w:type="pct"/>
            <w:vAlign w:val="center"/>
          </w:tcPr>
          <w:p w:rsidR="008F33BE" w:rsidRDefault="008F33BE">
            <w:pPr>
              <w:jc w:val="center"/>
              <w:rPr>
                <w:rFonts w:hint="eastAsia"/>
              </w:rPr>
            </w:pPr>
            <w:r>
              <w:t>Samsung</w:t>
            </w:r>
          </w:p>
        </w:tc>
        <w:tc>
          <w:tcPr>
            <w:tcW w:w="4045" w:type="pct"/>
            <w:vAlign w:val="center"/>
          </w:tcPr>
          <w:p w:rsidR="00F744F8" w:rsidRDefault="00F744F8">
            <w:pPr>
              <w:rPr>
                <w:rFonts w:eastAsia="SimSun"/>
              </w:rPr>
            </w:pPr>
            <w:r>
              <w:rPr>
                <w:rFonts w:eastAsia="SimSun"/>
              </w:rPr>
              <w:t>okay to consider the above cases.</w:t>
            </w:r>
          </w:p>
          <w:p w:rsidR="008F33BE" w:rsidRDefault="008F33BE">
            <w:pPr>
              <w:rPr>
                <w:rFonts w:eastAsia="SimSun" w:hint="eastAsia"/>
              </w:rPr>
            </w:pPr>
            <w:r>
              <w:rPr>
                <w:rFonts w:eastAsia="SimSun"/>
              </w:rPr>
              <w:t xml:space="preserve">It </w:t>
            </w:r>
            <w:r w:rsidR="00F744F8">
              <w:rPr>
                <w:rFonts w:eastAsia="SimSun"/>
              </w:rPr>
              <w:t>can</w:t>
            </w:r>
            <w:r>
              <w:rPr>
                <w:rFonts w:eastAsia="SimSun"/>
              </w:rPr>
              <w:t xml:space="preserve"> </w:t>
            </w:r>
            <w:r w:rsidR="00F744F8">
              <w:rPr>
                <w:rFonts w:eastAsia="SimSun"/>
              </w:rPr>
              <w:t xml:space="preserve">also </w:t>
            </w:r>
            <w:r>
              <w:rPr>
                <w:rFonts w:eastAsia="SimSun"/>
              </w:rPr>
              <w:t xml:space="preserve">be possible that </w:t>
            </w:r>
            <w:r w:rsidR="00F744F8">
              <w:rPr>
                <w:rFonts w:eastAsia="SimSun"/>
              </w:rPr>
              <w:t>same MBS service (same session ID) is broadcast at different areas using different frequencies (e.g., football game broadcasting in adjacent count</w:t>
            </w:r>
            <w:r w:rsidR="005C3880">
              <w:rPr>
                <w:rFonts w:eastAsia="SimSun"/>
              </w:rPr>
              <w:t>r</w:t>
            </w:r>
            <w:r w:rsidR="00F744F8">
              <w:rPr>
                <w:rFonts w:eastAsia="SimSun"/>
              </w:rPr>
              <w:t>ies using different frequencies</w:t>
            </w:r>
            <w:bookmarkStart w:id="1" w:name="_GoBack"/>
            <w:bookmarkEnd w:id="1"/>
            <w:r w:rsidR="00F744F8">
              <w:rPr>
                <w:rFonts w:eastAsia="SimSun"/>
              </w:rPr>
              <w:t xml:space="preserve">), or in this case different MBS session IDs are assigned? </w:t>
            </w:r>
          </w:p>
        </w:tc>
      </w:tr>
    </w:tbl>
    <w:p w:rsidR="00AF5D53" w:rsidRDefault="00AF5D53">
      <w:pPr>
        <w:rPr>
          <w:lang w:eastAsia="sv-SE"/>
        </w:rPr>
      </w:pPr>
    </w:p>
    <w:p w:rsidR="00AF5D53" w:rsidRDefault="00A812A4">
      <w:pPr>
        <w:pStyle w:val="Heading1"/>
        <w:rPr>
          <w:lang w:eastAsia="sv-SE"/>
        </w:rPr>
      </w:pPr>
      <w:r>
        <w:rPr>
          <w:lang w:eastAsia="sv-SE"/>
        </w:rPr>
        <w:t>3</w:t>
      </w:r>
      <w:r>
        <w:rPr>
          <w:lang w:eastAsia="sv-SE"/>
        </w:rPr>
        <w:tab/>
        <w:t>Other identified open issues</w:t>
      </w:r>
    </w:p>
    <w:p w:rsidR="00AF5D53" w:rsidRDefault="00A812A4">
      <w:pPr>
        <w:rPr>
          <w:lang w:eastAsia="sv-SE"/>
        </w:rPr>
      </w:pPr>
      <w:r>
        <w:rPr>
          <w:lang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AF5D53">
        <w:tc>
          <w:tcPr>
            <w:tcW w:w="1614" w:type="dxa"/>
            <w:shd w:val="clear" w:color="auto" w:fill="E7E6E6" w:themeFill="background2"/>
            <w:vAlign w:val="center"/>
          </w:tcPr>
          <w:p w:rsidR="00AF5D53" w:rsidRDefault="00A812A4">
            <w:pPr>
              <w:rPr>
                <w:b/>
                <w:bCs/>
                <w:lang w:eastAsia="sv-SE"/>
              </w:rPr>
            </w:pPr>
            <w:r>
              <w:rPr>
                <w:b/>
                <w:bCs/>
                <w:lang w:eastAsia="sv-SE"/>
              </w:rPr>
              <w:t>Company</w:t>
            </w:r>
          </w:p>
        </w:tc>
        <w:tc>
          <w:tcPr>
            <w:tcW w:w="8011" w:type="dxa"/>
            <w:shd w:val="clear" w:color="auto" w:fill="E7E6E6" w:themeFill="background2"/>
            <w:vAlign w:val="center"/>
          </w:tcPr>
          <w:p w:rsidR="00AF5D53" w:rsidRDefault="00A812A4">
            <w:pPr>
              <w:rPr>
                <w:b/>
                <w:bCs/>
                <w:lang w:eastAsia="sv-SE"/>
              </w:rPr>
            </w:pPr>
            <w:r>
              <w:rPr>
                <w:b/>
                <w:bCs/>
                <w:lang w:eastAsia="sv-SE"/>
              </w:rPr>
              <w:t>Other identified open issues? (please describe)</w:t>
            </w: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r w:rsidR="00AF5D53">
        <w:tc>
          <w:tcPr>
            <w:tcW w:w="1614" w:type="dxa"/>
            <w:vAlign w:val="center"/>
          </w:tcPr>
          <w:p w:rsidR="00AF5D53" w:rsidRDefault="00AF5D53">
            <w:pPr>
              <w:jc w:val="center"/>
              <w:rPr>
                <w:lang w:eastAsia="sv-SE"/>
              </w:rPr>
            </w:pPr>
          </w:p>
        </w:tc>
        <w:tc>
          <w:tcPr>
            <w:tcW w:w="8011" w:type="dxa"/>
            <w:vAlign w:val="center"/>
          </w:tcPr>
          <w:p w:rsidR="00AF5D53" w:rsidRDefault="00AF5D53">
            <w:pPr>
              <w:jc w:val="center"/>
              <w:rPr>
                <w:lang w:eastAsia="sv-SE"/>
              </w:rPr>
            </w:pPr>
          </w:p>
        </w:tc>
      </w:tr>
    </w:tbl>
    <w:p w:rsidR="00AF5D53" w:rsidRDefault="00AF5D53">
      <w:pPr>
        <w:rPr>
          <w:lang w:eastAsia="sv-SE"/>
        </w:rPr>
      </w:pPr>
    </w:p>
    <w:p w:rsidR="00AF5D53" w:rsidRDefault="00A812A4">
      <w:pPr>
        <w:pStyle w:val="Heading1"/>
      </w:pPr>
      <w:r>
        <w:lastRenderedPageBreak/>
        <w:t>4</w:t>
      </w:r>
      <w:r>
        <w:tab/>
        <w:t>Conclusions</w:t>
      </w:r>
    </w:p>
    <w:p w:rsidR="00AF5D53" w:rsidRDefault="00A812A4">
      <w:pPr>
        <w:rPr>
          <w:lang w:eastAsia="sv-SE"/>
        </w:rPr>
      </w:pPr>
      <w:r>
        <w:rPr>
          <w:lang w:eastAsia="sv-SE"/>
        </w:rPr>
        <w:t>The following proposals have been provided based on feedback to the above document:</w:t>
      </w:r>
    </w:p>
    <w:p w:rsidR="00AF5D53" w:rsidRDefault="00A812A4">
      <w:pPr>
        <w:rPr>
          <w:lang w:eastAsia="sv-SE"/>
        </w:rPr>
      </w:pPr>
      <w:r>
        <w:rPr>
          <w:lang w:eastAsia="sv-SE"/>
        </w:rPr>
        <w:t>[</w:t>
      </w:r>
      <w:r>
        <w:rPr>
          <w:highlight w:val="green"/>
          <w:lang w:eastAsia="sv-SE"/>
        </w:rPr>
        <w:t>Proposals for easy agreement</w:t>
      </w:r>
      <w:r>
        <w:rPr>
          <w:lang w:eastAsia="sv-SE"/>
        </w:rPr>
        <w:t>]</w:t>
      </w:r>
    </w:p>
    <w:p w:rsidR="00AF5D53" w:rsidRDefault="00AF5D53">
      <w:pPr>
        <w:rPr>
          <w:lang w:eastAsia="sv-SE"/>
        </w:rPr>
      </w:pPr>
    </w:p>
    <w:p w:rsidR="00AF5D53" w:rsidRDefault="00A812A4">
      <w:pPr>
        <w:rPr>
          <w:lang w:eastAsia="sv-SE"/>
        </w:rPr>
      </w:pPr>
      <w:r>
        <w:rPr>
          <w:lang w:eastAsia="sv-SE"/>
        </w:rPr>
        <w:t>[</w:t>
      </w:r>
      <w:r>
        <w:rPr>
          <w:highlight w:val="yellow"/>
          <w:lang w:eastAsia="sv-SE"/>
        </w:rPr>
        <w:t>Proposals for discussion</w:t>
      </w:r>
      <w:r>
        <w:rPr>
          <w:lang w:eastAsia="sv-SE"/>
        </w:rPr>
        <w:t>]</w:t>
      </w:r>
    </w:p>
    <w:p w:rsidR="00AF5D53" w:rsidRDefault="00AF5D53">
      <w:pPr>
        <w:spacing w:after="60"/>
        <w:ind w:left="1985" w:hanging="1985"/>
        <w:rPr>
          <w:rFonts w:cs="Arial"/>
          <w:szCs w:val="16"/>
        </w:rPr>
      </w:pPr>
    </w:p>
    <w:sectPr w:rsidR="00AF5D53">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376" w:rsidRDefault="003C1376">
      <w:pPr>
        <w:spacing w:line="240" w:lineRule="auto"/>
      </w:pPr>
      <w:r>
        <w:separator/>
      </w:r>
    </w:p>
  </w:endnote>
  <w:endnote w:type="continuationSeparator" w:id="0">
    <w:p w:rsidR="003C1376" w:rsidRDefault="003C1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53" w:rsidRDefault="00A812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376" w:rsidRDefault="003C1376">
      <w:pPr>
        <w:spacing w:after="0"/>
      </w:pPr>
      <w:r>
        <w:separator/>
      </w:r>
    </w:p>
  </w:footnote>
  <w:footnote w:type="continuationSeparator" w:id="0">
    <w:p w:rsidR="003C1376" w:rsidRDefault="003C13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D53" w:rsidRDefault="00A812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5505B9B"/>
    <w:multiLevelType w:val="multilevel"/>
    <w:tmpl w:val="15505B9B"/>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1F56F3"/>
    <w:multiLevelType w:val="multilevel"/>
    <w:tmpl w:val="3F1F56F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19228C"/>
    <w:multiLevelType w:val="multilevel"/>
    <w:tmpl w:val="5019228C"/>
    <w:lvl w:ilvl="0">
      <w:start w:val="1"/>
      <w:numFmt w:val="decimal"/>
      <w:pStyle w:val="Observation"/>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rS0MDI1NTOzNDdT0lEKTi0uzszPAykwrAUAph7JNCwAAAA="/>
  </w:docVars>
  <w:rsids>
    <w:rsidRoot w:val="002A2A3F"/>
    <w:rsid w:val="000006E1"/>
    <w:rsid w:val="00002872"/>
    <w:rsid w:val="00002A37"/>
    <w:rsid w:val="0000564C"/>
    <w:rsid w:val="000062F7"/>
    <w:rsid w:val="00006446"/>
    <w:rsid w:val="00006896"/>
    <w:rsid w:val="0000725F"/>
    <w:rsid w:val="00007CDC"/>
    <w:rsid w:val="000103AE"/>
    <w:rsid w:val="00010706"/>
    <w:rsid w:val="00011B28"/>
    <w:rsid w:val="000143C1"/>
    <w:rsid w:val="00015D15"/>
    <w:rsid w:val="0001652A"/>
    <w:rsid w:val="00017EA6"/>
    <w:rsid w:val="0002194A"/>
    <w:rsid w:val="00021CC0"/>
    <w:rsid w:val="00022B08"/>
    <w:rsid w:val="0002430F"/>
    <w:rsid w:val="00024747"/>
    <w:rsid w:val="0002564D"/>
    <w:rsid w:val="00025ECA"/>
    <w:rsid w:val="00026A6C"/>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696C"/>
    <w:rsid w:val="00057117"/>
    <w:rsid w:val="00060E50"/>
    <w:rsid w:val="0006154B"/>
    <w:rsid w:val="000616E7"/>
    <w:rsid w:val="00061EF7"/>
    <w:rsid w:val="000629AE"/>
    <w:rsid w:val="00064736"/>
    <w:rsid w:val="0006487E"/>
    <w:rsid w:val="000656AB"/>
    <w:rsid w:val="00065868"/>
    <w:rsid w:val="00065A4D"/>
    <w:rsid w:val="00065E1A"/>
    <w:rsid w:val="00073C1C"/>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3EA7"/>
    <w:rsid w:val="000B4AB9"/>
    <w:rsid w:val="000B58C3"/>
    <w:rsid w:val="000B61E9"/>
    <w:rsid w:val="000B7065"/>
    <w:rsid w:val="000C165A"/>
    <w:rsid w:val="000C2E19"/>
    <w:rsid w:val="000C395B"/>
    <w:rsid w:val="000C6DC7"/>
    <w:rsid w:val="000D0D07"/>
    <w:rsid w:val="000D37EC"/>
    <w:rsid w:val="000D3C71"/>
    <w:rsid w:val="000D4797"/>
    <w:rsid w:val="000E00C0"/>
    <w:rsid w:val="000E0527"/>
    <w:rsid w:val="000E16C6"/>
    <w:rsid w:val="000E1BA7"/>
    <w:rsid w:val="000E1E92"/>
    <w:rsid w:val="000E2F75"/>
    <w:rsid w:val="000E48DA"/>
    <w:rsid w:val="000E4A92"/>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514"/>
    <w:rsid w:val="000F79F0"/>
    <w:rsid w:val="0010027D"/>
    <w:rsid w:val="001005FF"/>
    <w:rsid w:val="001037E0"/>
    <w:rsid w:val="00103F6A"/>
    <w:rsid w:val="00104A78"/>
    <w:rsid w:val="001062FB"/>
    <w:rsid w:val="001063E6"/>
    <w:rsid w:val="00106D0A"/>
    <w:rsid w:val="0010725E"/>
    <w:rsid w:val="001078A7"/>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329"/>
    <w:rsid w:val="0014763D"/>
    <w:rsid w:val="00150DBE"/>
    <w:rsid w:val="00151C2B"/>
    <w:rsid w:val="00151D4F"/>
    <w:rsid w:val="00151E23"/>
    <w:rsid w:val="001526E0"/>
    <w:rsid w:val="0015455E"/>
    <w:rsid w:val="001551B5"/>
    <w:rsid w:val="00156282"/>
    <w:rsid w:val="00160C21"/>
    <w:rsid w:val="00161B59"/>
    <w:rsid w:val="00163913"/>
    <w:rsid w:val="00164CC4"/>
    <w:rsid w:val="00164F4D"/>
    <w:rsid w:val="00165982"/>
    <w:rsid w:val="001659B6"/>
    <w:rsid w:val="001659C1"/>
    <w:rsid w:val="00165A99"/>
    <w:rsid w:val="00167D54"/>
    <w:rsid w:val="00172AC4"/>
    <w:rsid w:val="00173A8E"/>
    <w:rsid w:val="00173D4C"/>
    <w:rsid w:val="0017502C"/>
    <w:rsid w:val="00177C20"/>
    <w:rsid w:val="001807EB"/>
    <w:rsid w:val="0018143F"/>
    <w:rsid w:val="00181943"/>
    <w:rsid w:val="00181FF8"/>
    <w:rsid w:val="00190AC1"/>
    <w:rsid w:val="00191CB5"/>
    <w:rsid w:val="0019341A"/>
    <w:rsid w:val="001966CC"/>
    <w:rsid w:val="0019727F"/>
    <w:rsid w:val="00197DF9"/>
    <w:rsid w:val="001A1987"/>
    <w:rsid w:val="001A2564"/>
    <w:rsid w:val="001A37E9"/>
    <w:rsid w:val="001A3D71"/>
    <w:rsid w:val="001A6173"/>
    <w:rsid w:val="001A64FE"/>
    <w:rsid w:val="001A6CBA"/>
    <w:rsid w:val="001A7B3E"/>
    <w:rsid w:val="001A7EF8"/>
    <w:rsid w:val="001B0204"/>
    <w:rsid w:val="001B0866"/>
    <w:rsid w:val="001B0D97"/>
    <w:rsid w:val="001B0DE5"/>
    <w:rsid w:val="001B1F11"/>
    <w:rsid w:val="001B2EE6"/>
    <w:rsid w:val="001B3911"/>
    <w:rsid w:val="001B4ED0"/>
    <w:rsid w:val="001B5A5D"/>
    <w:rsid w:val="001B5B3E"/>
    <w:rsid w:val="001B7700"/>
    <w:rsid w:val="001C1504"/>
    <w:rsid w:val="001C1A25"/>
    <w:rsid w:val="001C1CE5"/>
    <w:rsid w:val="001C3D2A"/>
    <w:rsid w:val="001C404E"/>
    <w:rsid w:val="001C4ADA"/>
    <w:rsid w:val="001C65F0"/>
    <w:rsid w:val="001D07FB"/>
    <w:rsid w:val="001D16A5"/>
    <w:rsid w:val="001D28C5"/>
    <w:rsid w:val="001D32F8"/>
    <w:rsid w:val="001D388B"/>
    <w:rsid w:val="001D417E"/>
    <w:rsid w:val="001D51BA"/>
    <w:rsid w:val="001D53E7"/>
    <w:rsid w:val="001D6342"/>
    <w:rsid w:val="001D6D53"/>
    <w:rsid w:val="001E16B7"/>
    <w:rsid w:val="001E58E2"/>
    <w:rsid w:val="001E7AED"/>
    <w:rsid w:val="001F3916"/>
    <w:rsid w:val="001F4A83"/>
    <w:rsid w:val="001F54C5"/>
    <w:rsid w:val="001F662C"/>
    <w:rsid w:val="001F7074"/>
    <w:rsid w:val="002003CF"/>
    <w:rsid w:val="00200490"/>
    <w:rsid w:val="00201F3A"/>
    <w:rsid w:val="00203F96"/>
    <w:rsid w:val="002069B2"/>
    <w:rsid w:val="00206B2A"/>
    <w:rsid w:val="00207250"/>
    <w:rsid w:val="00207FA3"/>
    <w:rsid w:val="002127A1"/>
    <w:rsid w:val="00212FAA"/>
    <w:rsid w:val="00213980"/>
    <w:rsid w:val="00214DA8"/>
    <w:rsid w:val="00215423"/>
    <w:rsid w:val="0021567B"/>
    <w:rsid w:val="002158FA"/>
    <w:rsid w:val="0021790F"/>
    <w:rsid w:val="00217E6F"/>
    <w:rsid w:val="00220600"/>
    <w:rsid w:val="0022085E"/>
    <w:rsid w:val="002224DB"/>
    <w:rsid w:val="00223FCB"/>
    <w:rsid w:val="002244FB"/>
    <w:rsid w:val="00224C5C"/>
    <w:rsid w:val="002252C3"/>
    <w:rsid w:val="00225C54"/>
    <w:rsid w:val="00227240"/>
    <w:rsid w:val="00230765"/>
    <w:rsid w:val="00230D18"/>
    <w:rsid w:val="002319E4"/>
    <w:rsid w:val="00232127"/>
    <w:rsid w:val="00232AD4"/>
    <w:rsid w:val="00232D35"/>
    <w:rsid w:val="002334BA"/>
    <w:rsid w:val="00234307"/>
    <w:rsid w:val="002352CD"/>
    <w:rsid w:val="00235632"/>
    <w:rsid w:val="00235872"/>
    <w:rsid w:val="00237B86"/>
    <w:rsid w:val="002400E9"/>
    <w:rsid w:val="00241559"/>
    <w:rsid w:val="002435B3"/>
    <w:rsid w:val="00244784"/>
    <w:rsid w:val="002458EB"/>
    <w:rsid w:val="00246991"/>
    <w:rsid w:val="002500C8"/>
    <w:rsid w:val="0025015B"/>
    <w:rsid w:val="00252046"/>
    <w:rsid w:val="00252A02"/>
    <w:rsid w:val="00253040"/>
    <w:rsid w:val="002537CA"/>
    <w:rsid w:val="002538FB"/>
    <w:rsid w:val="00257543"/>
    <w:rsid w:val="002617E7"/>
    <w:rsid w:val="00262E78"/>
    <w:rsid w:val="00264228"/>
    <w:rsid w:val="00264334"/>
    <w:rsid w:val="0026473E"/>
    <w:rsid w:val="0026493A"/>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3793"/>
    <w:rsid w:val="002B493D"/>
    <w:rsid w:val="002B4DEB"/>
    <w:rsid w:val="002C0920"/>
    <w:rsid w:val="002C1B3B"/>
    <w:rsid w:val="002C2C5D"/>
    <w:rsid w:val="002C415B"/>
    <w:rsid w:val="002C41E6"/>
    <w:rsid w:val="002C4E09"/>
    <w:rsid w:val="002C5BB7"/>
    <w:rsid w:val="002C674B"/>
    <w:rsid w:val="002D071A"/>
    <w:rsid w:val="002D14E0"/>
    <w:rsid w:val="002D3325"/>
    <w:rsid w:val="002D34B0"/>
    <w:rsid w:val="002D34B2"/>
    <w:rsid w:val="002D48B0"/>
    <w:rsid w:val="002D5B37"/>
    <w:rsid w:val="002D7637"/>
    <w:rsid w:val="002E17F2"/>
    <w:rsid w:val="002E77E6"/>
    <w:rsid w:val="002E7CAE"/>
    <w:rsid w:val="002F0541"/>
    <w:rsid w:val="002F13E4"/>
    <w:rsid w:val="002F2771"/>
    <w:rsid w:val="002F37A9"/>
    <w:rsid w:val="002F3951"/>
    <w:rsid w:val="002F4BA0"/>
    <w:rsid w:val="002F70BE"/>
    <w:rsid w:val="002F7355"/>
    <w:rsid w:val="002F7E03"/>
    <w:rsid w:val="00300FD9"/>
    <w:rsid w:val="00301CE6"/>
    <w:rsid w:val="0030256B"/>
    <w:rsid w:val="00302F75"/>
    <w:rsid w:val="0030501F"/>
    <w:rsid w:val="00306360"/>
    <w:rsid w:val="00307BA1"/>
    <w:rsid w:val="0031057B"/>
    <w:rsid w:val="00311702"/>
    <w:rsid w:val="00311E82"/>
    <w:rsid w:val="00313FD6"/>
    <w:rsid w:val="003143BD"/>
    <w:rsid w:val="00314A89"/>
    <w:rsid w:val="00315363"/>
    <w:rsid w:val="003169D5"/>
    <w:rsid w:val="00317A66"/>
    <w:rsid w:val="003203ED"/>
    <w:rsid w:val="003208AE"/>
    <w:rsid w:val="003208B1"/>
    <w:rsid w:val="00322A1B"/>
    <w:rsid w:val="00322C9F"/>
    <w:rsid w:val="00322E08"/>
    <w:rsid w:val="00324D23"/>
    <w:rsid w:val="00325161"/>
    <w:rsid w:val="00326762"/>
    <w:rsid w:val="00326EBF"/>
    <w:rsid w:val="00330204"/>
    <w:rsid w:val="0033111F"/>
    <w:rsid w:val="00331258"/>
    <w:rsid w:val="00331751"/>
    <w:rsid w:val="00331B71"/>
    <w:rsid w:val="00334579"/>
    <w:rsid w:val="00335858"/>
    <w:rsid w:val="003364E0"/>
    <w:rsid w:val="00336BDA"/>
    <w:rsid w:val="00337376"/>
    <w:rsid w:val="0034117E"/>
    <w:rsid w:val="00342BD7"/>
    <w:rsid w:val="0034367C"/>
    <w:rsid w:val="00343838"/>
    <w:rsid w:val="00345644"/>
    <w:rsid w:val="00346DB5"/>
    <w:rsid w:val="003477B1"/>
    <w:rsid w:val="00351F7F"/>
    <w:rsid w:val="003532C9"/>
    <w:rsid w:val="0035558E"/>
    <w:rsid w:val="00355701"/>
    <w:rsid w:val="00357145"/>
    <w:rsid w:val="00357380"/>
    <w:rsid w:val="0035774C"/>
    <w:rsid w:val="00357E6B"/>
    <w:rsid w:val="003602D9"/>
    <w:rsid w:val="003604CE"/>
    <w:rsid w:val="0036688F"/>
    <w:rsid w:val="00367229"/>
    <w:rsid w:val="00367B8C"/>
    <w:rsid w:val="00370E47"/>
    <w:rsid w:val="00371022"/>
    <w:rsid w:val="00371F86"/>
    <w:rsid w:val="003742AC"/>
    <w:rsid w:val="00375320"/>
    <w:rsid w:val="00375AF1"/>
    <w:rsid w:val="00376C75"/>
    <w:rsid w:val="00376F16"/>
    <w:rsid w:val="00377CE1"/>
    <w:rsid w:val="00381A27"/>
    <w:rsid w:val="00385BF0"/>
    <w:rsid w:val="003905B0"/>
    <w:rsid w:val="00393539"/>
    <w:rsid w:val="003939FF"/>
    <w:rsid w:val="0039412D"/>
    <w:rsid w:val="00395A90"/>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1376"/>
    <w:rsid w:val="003C2702"/>
    <w:rsid w:val="003C7806"/>
    <w:rsid w:val="003D08E8"/>
    <w:rsid w:val="003D109F"/>
    <w:rsid w:val="003D1FF8"/>
    <w:rsid w:val="003D2478"/>
    <w:rsid w:val="003D3C45"/>
    <w:rsid w:val="003D5B1F"/>
    <w:rsid w:val="003D660D"/>
    <w:rsid w:val="003D671F"/>
    <w:rsid w:val="003E00BF"/>
    <w:rsid w:val="003E15FA"/>
    <w:rsid w:val="003E1643"/>
    <w:rsid w:val="003E1DB5"/>
    <w:rsid w:val="003E3411"/>
    <w:rsid w:val="003E3795"/>
    <w:rsid w:val="003E3947"/>
    <w:rsid w:val="003E55E4"/>
    <w:rsid w:val="003E5678"/>
    <w:rsid w:val="003E74E3"/>
    <w:rsid w:val="003E7A6F"/>
    <w:rsid w:val="003F05C7"/>
    <w:rsid w:val="003F10F3"/>
    <w:rsid w:val="003F2CD4"/>
    <w:rsid w:val="003F320A"/>
    <w:rsid w:val="003F558D"/>
    <w:rsid w:val="003F68E0"/>
    <w:rsid w:val="003F6BBE"/>
    <w:rsid w:val="003F6F23"/>
    <w:rsid w:val="004000E8"/>
    <w:rsid w:val="00401698"/>
    <w:rsid w:val="00402804"/>
    <w:rsid w:val="00402E2B"/>
    <w:rsid w:val="00402E6D"/>
    <w:rsid w:val="00403277"/>
    <w:rsid w:val="0040344B"/>
    <w:rsid w:val="00403E77"/>
    <w:rsid w:val="0040512B"/>
    <w:rsid w:val="00405CA5"/>
    <w:rsid w:val="00406916"/>
    <w:rsid w:val="00406A0E"/>
    <w:rsid w:val="00407CD3"/>
    <w:rsid w:val="00410134"/>
    <w:rsid w:val="00410B72"/>
    <w:rsid w:val="00410F18"/>
    <w:rsid w:val="0041106B"/>
    <w:rsid w:val="0041263E"/>
    <w:rsid w:val="00413AAC"/>
    <w:rsid w:val="00413E92"/>
    <w:rsid w:val="004159C3"/>
    <w:rsid w:val="00415ABC"/>
    <w:rsid w:val="00416782"/>
    <w:rsid w:val="00420CF7"/>
    <w:rsid w:val="00421105"/>
    <w:rsid w:val="00422662"/>
    <w:rsid w:val="00422AA4"/>
    <w:rsid w:val="0042414C"/>
    <w:rsid w:val="004242F4"/>
    <w:rsid w:val="00425798"/>
    <w:rsid w:val="0042605B"/>
    <w:rsid w:val="00426970"/>
    <w:rsid w:val="00427248"/>
    <w:rsid w:val="00431F1C"/>
    <w:rsid w:val="00434239"/>
    <w:rsid w:val="00435782"/>
    <w:rsid w:val="00437447"/>
    <w:rsid w:val="00441A92"/>
    <w:rsid w:val="0044229B"/>
    <w:rsid w:val="00442FDF"/>
    <w:rsid w:val="00443097"/>
    <w:rsid w:val="004431DC"/>
    <w:rsid w:val="00444F56"/>
    <w:rsid w:val="00446488"/>
    <w:rsid w:val="00447DCB"/>
    <w:rsid w:val="004517AA"/>
    <w:rsid w:val="0045188B"/>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974A8"/>
    <w:rsid w:val="004A10FF"/>
    <w:rsid w:val="004A1130"/>
    <w:rsid w:val="004A16BC"/>
    <w:rsid w:val="004A1A21"/>
    <w:rsid w:val="004A27F6"/>
    <w:rsid w:val="004A2836"/>
    <w:rsid w:val="004A2B94"/>
    <w:rsid w:val="004A3210"/>
    <w:rsid w:val="004A3924"/>
    <w:rsid w:val="004A5987"/>
    <w:rsid w:val="004B0D1D"/>
    <w:rsid w:val="004B6022"/>
    <w:rsid w:val="004B62FA"/>
    <w:rsid w:val="004B6F6A"/>
    <w:rsid w:val="004B777D"/>
    <w:rsid w:val="004B7B8E"/>
    <w:rsid w:val="004B7C0C"/>
    <w:rsid w:val="004C3898"/>
    <w:rsid w:val="004C44F8"/>
    <w:rsid w:val="004C50F1"/>
    <w:rsid w:val="004C52DE"/>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07213"/>
    <w:rsid w:val="005108D8"/>
    <w:rsid w:val="005116F9"/>
    <w:rsid w:val="00513B58"/>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56828"/>
    <w:rsid w:val="0056121F"/>
    <w:rsid w:val="00563536"/>
    <w:rsid w:val="005678B5"/>
    <w:rsid w:val="005714FA"/>
    <w:rsid w:val="0057217B"/>
    <w:rsid w:val="00572505"/>
    <w:rsid w:val="00573652"/>
    <w:rsid w:val="00576C93"/>
    <w:rsid w:val="00580448"/>
    <w:rsid w:val="00582809"/>
    <w:rsid w:val="0058798C"/>
    <w:rsid w:val="005900FA"/>
    <w:rsid w:val="00590F0C"/>
    <w:rsid w:val="005935A4"/>
    <w:rsid w:val="005948C2"/>
    <w:rsid w:val="00594DC5"/>
    <w:rsid w:val="00595DCA"/>
    <w:rsid w:val="0059779B"/>
    <w:rsid w:val="00597AA9"/>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3880"/>
    <w:rsid w:val="005C4A57"/>
    <w:rsid w:val="005C590D"/>
    <w:rsid w:val="005C6283"/>
    <w:rsid w:val="005C74FB"/>
    <w:rsid w:val="005D0A54"/>
    <w:rsid w:val="005D1602"/>
    <w:rsid w:val="005D3AB9"/>
    <w:rsid w:val="005D5984"/>
    <w:rsid w:val="005D70E1"/>
    <w:rsid w:val="005D7EE0"/>
    <w:rsid w:val="005E1070"/>
    <w:rsid w:val="005E1238"/>
    <w:rsid w:val="005E385F"/>
    <w:rsid w:val="005E3E4B"/>
    <w:rsid w:val="005E48A2"/>
    <w:rsid w:val="005E5B81"/>
    <w:rsid w:val="005E7211"/>
    <w:rsid w:val="005F0A43"/>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4E60"/>
    <w:rsid w:val="00615285"/>
    <w:rsid w:val="00616BF5"/>
    <w:rsid w:val="00617C64"/>
    <w:rsid w:val="00620A71"/>
    <w:rsid w:val="00620D80"/>
    <w:rsid w:val="006234A6"/>
    <w:rsid w:val="00623BFB"/>
    <w:rsid w:val="00630001"/>
    <w:rsid w:val="00630558"/>
    <w:rsid w:val="006311B3"/>
    <w:rsid w:val="0063284C"/>
    <w:rsid w:val="00633FE7"/>
    <w:rsid w:val="00635D0C"/>
    <w:rsid w:val="00636398"/>
    <w:rsid w:val="006368D3"/>
    <w:rsid w:val="006377EC"/>
    <w:rsid w:val="00641236"/>
    <w:rsid w:val="0064151F"/>
    <w:rsid w:val="00641533"/>
    <w:rsid w:val="0064208D"/>
    <w:rsid w:val="00643475"/>
    <w:rsid w:val="0064396A"/>
    <w:rsid w:val="00645C95"/>
    <w:rsid w:val="0064624E"/>
    <w:rsid w:val="00646EE9"/>
    <w:rsid w:val="00650AB9"/>
    <w:rsid w:val="00650CBF"/>
    <w:rsid w:val="006525D2"/>
    <w:rsid w:val="006526EC"/>
    <w:rsid w:val="00655733"/>
    <w:rsid w:val="00655ACD"/>
    <w:rsid w:val="00655CEF"/>
    <w:rsid w:val="00656354"/>
    <w:rsid w:val="00656A92"/>
    <w:rsid w:val="00656DDE"/>
    <w:rsid w:val="00657B37"/>
    <w:rsid w:val="0066011D"/>
    <w:rsid w:val="006606A8"/>
    <w:rsid w:val="006607C0"/>
    <w:rsid w:val="006613A6"/>
    <w:rsid w:val="006627A2"/>
    <w:rsid w:val="006634E6"/>
    <w:rsid w:val="00663F19"/>
    <w:rsid w:val="0066477D"/>
    <w:rsid w:val="006654E3"/>
    <w:rsid w:val="006655EE"/>
    <w:rsid w:val="006673EB"/>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244"/>
    <w:rsid w:val="00683ECE"/>
    <w:rsid w:val="006842C8"/>
    <w:rsid w:val="00687C1A"/>
    <w:rsid w:val="006953E8"/>
    <w:rsid w:val="00695FC2"/>
    <w:rsid w:val="00696949"/>
    <w:rsid w:val="00696AB5"/>
    <w:rsid w:val="00697052"/>
    <w:rsid w:val="006A0004"/>
    <w:rsid w:val="006A0D20"/>
    <w:rsid w:val="006A3884"/>
    <w:rsid w:val="006A46FB"/>
    <w:rsid w:val="006A5E28"/>
    <w:rsid w:val="006A681E"/>
    <w:rsid w:val="006A697B"/>
    <w:rsid w:val="006A717E"/>
    <w:rsid w:val="006A7AFF"/>
    <w:rsid w:val="006B1816"/>
    <w:rsid w:val="006B1E03"/>
    <w:rsid w:val="006B1E43"/>
    <w:rsid w:val="006B2099"/>
    <w:rsid w:val="006B25A4"/>
    <w:rsid w:val="006B2E8A"/>
    <w:rsid w:val="006B50CF"/>
    <w:rsid w:val="006B6367"/>
    <w:rsid w:val="006C03B8"/>
    <w:rsid w:val="006C19A1"/>
    <w:rsid w:val="006C2F5B"/>
    <w:rsid w:val="006C5EC9"/>
    <w:rsid w:val="006C6059"/>
    <w:rsid w:val="006C7522"/>
    <w:rsid w:val="006C78E7"/>
    <w:rsid w:val="006D23A6"/>
    <w:rsid w:val="006D6F08"/>
    <w:rsid w:val="006D7B5E"/>
    <w:rsid w:val="006D7D51"/>
    <w:rsid w:val="006E062C"/>
    <w:rsid w:val="006E1C82"/>
    <w:rsid w:val="006E28B7"/>
    <w:rsid w:val="006E2A9B"/>
    <w:rsid w:val="006E3310"/>
    <w:rsid w:val="006E4E39"/>
    <w:rsid w:val="006E565E"/>
    <w:rsid w:val="006E5AC4"/>
    <w:rsid w:val="006E5C12"/>
    <w:rsid w:val="006E5DCE"/>
    <w:rsid w:val="006E673D"/>
    <w:rsid w:val="006E7CBF"/>
    <w:rsid w:val="006E7D3B"/>
    <w:rsid w:val="006F1B70"/>
    <w:rsid w:val="006F341D"/>
    <w:rsid w:val="006F3CDE"/>
    <w:rsid w:val="006F44B2"/>
    <w:rsid w:val="006F58D4"/>
    <w:rsid w:val="006F6582"/>
    <w:rsid w:val="006F7184"/>
    <w:rsid w:val="006F781D"/>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20DA"/>
    <w:rsid w:val="00743F87"/>
    <w:rsid w:val="007445A0"/>
    <w:rsid w:val="0074524B"/>
    <w:rsid w:val="00747156"/>
    <w:rsid w:val="00747D8B"/>
    <w:rsid w:val="00751078"/>
    <w:rsid w:val="00751228"/>
    <w:rsid w:val="00751EAD"/>
    <w:rsid w:val="00753005"/>
    <w:rsid w:val="0075562F"/>
    <w:rsid w:val="007571E1"/>
    <w:rsid w:val="007604B2"/>
    <w:rsid w:val="00760D0B"/>
    <w:rsid w:val="00762FB4"/>
    <w:rsid w:val="00765281"/>
    <w:rsid w:val="007656C4"/>
    <w:rsid w:val="00766BAD"/>
    <w:rsid w:val="00767857"/>
    <w:rsid w:val="007712E0"/>
    <w:rsid w:val="00771318"/>
    <w:rsid w:val="007729A2"/>
    <w:rsid w:val="00772B62"/>
    <w:rsid w:val="00773AF2"/>
    <w:rsid w:val="007755F2"/>
    <w:rsid w:val="00776971"/>
    <w:rsid w:val="00777C4D"/>
    <w:rsid w:val="007803A9"/>
    <w:rsid w:val="00780A80"/>
    <w:rsid w:val="0078177E"/>
    <w:rsid w:val="00781A58"/>
    <w:rsid w:val="0078304C"/>
    <w:rsid w:val="00783673"/>
    <w:rsid w:val="00784EF4"/>
    <w:rsid w:val="00785490"/>
    <w:rsid w:val="007860B4"/>
    <w:rsid w:val="0078669C"/>
    <w:rsid w:val="00787287"/>
    <w:rsid w:val="007913AC"/>
    <w:rsid w:val="007925EA"/>
    <w:rsid w:val="00793543"/>
    <w:rsid w:val="007939CB"/>
    <w:rsid w:val="00793CD8"/>
    <w:rsid w:val="0079525E"/>
    <w:rsid w:val="00795C92"/>
    <w:rsid w:val="00796231"/>
    <w:rsid w:val="00796FA2"/>
    <w:rsid w:val="007977D5"/>
    <w:rsid w:val="007A07DD"/>
    <w:rsid w:val="007A1CB3"/>
    <w:rsid w:val="007A306F"/>
    <w:rsid w:val="007A43A6"/>
    <w:rsid w:val="007A58A6"/>
    <w:rsid w:val="007A6E10"/>
    <w:rsid w:val="007B12FF"/>
    <w:rsid w:val="007B1CFC"/>
    <w:rsid w:val="007B3D2D"/>
    <w:rsid w:val="007B50AE"/>
    <w:rsid w:val="007B51DF"/>
    <w:rsid w:val="007B6662"/>
    <w:rsid w:val="007C05DD"/>
    <w:rsid w:val="007C3D18"/>
    <w:rsid w:val="007C53DC"/>
    <w:rsid w:val="007C60BF"/>
    <w:rsid w:val="007C6A07"/>
    <w:rsid w:val="007C75A1"/>
    <w:rsid w:val="007C77A5"/>
    <w:rsid w:val="007C7E7D"/>
    <w:rsid w:val="007D0072"/>
    <w:rsid w:val="007D04E5"/>
    <w:rsid w:val="007D4D01"/>
    <w:rsid w:val="007D5901"/>
    <w:rsid w:val="007D6515"/>
    <w:rsid w:val="007D7526"/>
    <w:rsid w:val="007E0915"/>
    <w:rsid w:val="007E1346"/>
    <w:rsid w:val="007E1729"/>
    <w:rsid w:val="007E2408"/>
    <w:rsid w:val="007E3565"/>
    <w:rsid w:val="007E41A7"/>
    <w:rsid w:val="007E4610"/>
    <w:rsid w:val="007E4715"/>
    <w:rsid w:val="007E505B"/>
    <w:rsid w:val="007E681B"/>
    <w:rsid w:val="007E7091"/>
    <w:rsid w:val="007E70B1"/>
    <w:rsid w:val="007F1DD2"/>
    <w:rsid w:val="007F490B"/>
    <w:rsid w:val="007F58D5"/>
    <w:rsid w:val="007F78FE"/>
    <w:rsid w:val="00800727"/>
    <w:rsid w:val="0080187F"/>
    <w:rsid w:val="00801DD9"/>
    <w:rsid w:val="00803FAE"/>
    <w:rsid w:val="0080410C"/>
    <w:rsid w:val="008045D0"/>
    <w:rsid w:val="0080605F"/>
    <w:rsid w:val="00807786"/>
    <w:rsid w:val="008114F5"/>
    <w:rsid w:val="00811FCB"/>
    <w:rsid w:val="00813F91"/>
    <w:rsid w:val="008158D6"/>
    <w:rsid w:val="008170C8"/>
    <w:rsid w:val="00817196"/>
    <w:rsid w:val="008179B3"/>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11FE"/>
    <w:rsid w:val="008865CD"/>
    <w:rsid w:val="00887632"/>
    <w:rsid w:val="008941E3"/>
    <w:rsid w:val="00894A88"/>
    <w:rsid w:val="00895386"/>
    <w:rsid w:val="00896F26"/>
    <w:rsid w:val="0089716D"/>
    <w:rsid w:val="00897F4E"/>
    <w:rsid w:val="008A06D1"/>
    <w:rsid w:val="008A21FF"/>
    <w:rsid w:val="008A2CE2"/>
    <w:rsid w:val="008A30AC"/>
    <w:rsid w:val="008A345E"/>
    <w:rsid w:val="008A35CE"/>
    <w:rsid w:val="008A44B8"/>
    <w:rsid w:val="008A51A8"/>
    <w:rsid w:val="008A54C7"/>
    <w:rsid w:val="008A77D8"/>
    <w:rsid w:val="008B0483"/>
    <w:rsid w:val="008B120C"/>
    <w:rsid w:val="008B1A14"/>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58C"/>
    <w:rsid w:val="008E065E"/>
    <w:rsid w:val="008E0927"/>
    <w:rsid w:val="008E1571"/>
    <w:rsid w:val="008E1909"/>
    <w:rsid w:val="008E370A"/>
    <w:rsid w:val="008E5ABD"/>
    <w:rsid w:val="008F1C4E"/>
    <w:rsid w:val="008F1EAB"/>
    <w:rsid w:val="008F33BE"/>
    <w:rsid w:val="008F33DC"/>
    <w:rsid w:val="008F42DB"/>
    <w:rsid w:val="008F477F"/>
    <w:rsid w:val="008F5103"/>
    <w:rsid w:val="00902350"/>
    <w:rsid w:val="0090336B"/>
    <w:rsid w:val="00903AE4"/>
    <w:rsid w:val="009053AA"/>
    <w:rsid w:val="00906939"/>
    <w:rsid w:val="009107B5"/>
    <w:rsid w:val="00910B7D"/>
    <w:rsid w:val="009115D1"/>
    <w:rsid w:val="00911DFB"/>
    <w:rsid w:val="0091291E"/>
    <w:rsid w:val="009139D9"/>
    <w:rsid w:val="009146AF"/>
    <w:rsid w:val="009149DD"/>
    <w:rsid w:val="00914AD8"/>
    <w:rsid w:val="00916079"/>
    <w:rsid w:val="00917CE9"/>
    <w:rsid w:val="0092075B"/>
    <w:rsid w:val="00920BF2"/>
    <w:rsid w:val="00922010"/>
    <w:rsid w:val="0092204E"/>
    <w:rsid w:val="00926768"/>
    <w:rsid w:val="0092735F"/>
    <w:rsid w:val="00927B75"/>
    <w:rsid w:val="00931BD9"/>
    <w:rsid w:val="009368F3"/>
    <w:rsid w:val="00940283"/>
    <w:rsid w:val="00941189"/>
    <w:rsid w:val="00941636"/>
    <w:rsid w:val="0094258A"/>
    <w:rsid w:val="00943742"/>
    <w:rsid w:val="00945C05"/>
    <w:rsid w:val="00946945"/>
    <w:rsid w:val="00947713"/>
    <w:rsid w:val="00950DE7"/>
    <w:rsid w:val="009513D9"/>
    <w:rsid w:val="00953622"/>
    <w:rsid w:val="00953920"/>
    <w:rsid w:val="00953D47"/>
    <w:rsid w:val="00953F43"/>
    <w:rsid w:val="00954C25"/>
    <w:rsid w:val="00955449"/>
    <w:rsid w:val="0095681E"/>
    <w:rsid w:val="009572D4"/>
    <w:rsid w:val="00957878"/>
    <w:rsid w:val="00961921"/>
    <w:rsid w:val="009633A1"/>
    <w:rsid w:val="0096430A"/>
    <w:rsid w:val="0096554B"/>
    <w:rsid w:val="0096584A"/>
    <w:rsid w:val="00966A83"/>
    <w:rsid w:val="00967237"/>
    <w:rsid w:val="00970584"/>
    <w:rsid w:val="00971F08"/>
    <w:rsid w:val="00974177"/>
    <w:rsid w:val="0097603D"/>
    <w:rsid w:val="00976949"/>
    <w:rsid w:val="00977511"/>
    <w:rsid w:val="00980477"/>
    <w:rsid w:val="009816F1"/>
    <w:rsid w:val="0098287E"/>
    <w:rsid w:val="00982F4B"/>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384"/>
    <w:rsid w:val="009B564E"/>
    <w:rsid w:val="009B613C"/>
    <w:rsid w:val="009B7E87"/>
    <w:rsid w:val="009C0169"/>
    <w:rsid w:val="009C2D28"/>
    <w:rsid w:val="009C335A"/>
    <w:rsid w:val="009C403E"/>
    <w:rsid w:val="009C4AB1"/>
    <w:rsid w:val="009D18B0"/>
    <w:rsid w:val="009D21E6"/>
    <w:rsid w:val="009D2AB0"/>
    <w:rsid w:val="009D4BAD"/>
    <w:rsid w:val="009D4FF0"/>
    <w:rsid w:val="009D5BFF"/>
    <w:rsid w:val="009D6692"/>
    <w:rsid w:val="009D6E08"/>
    <w:rsid w:val="009D703C"/>
    <w:rsid w:val="009D718F"/>
    <w:rsid w:val="009E0020"/>
    <w:rsid w:val="009E045C"/>
    <w:rsid w:val="009E068F"/>
    <w:rsid w:val="009E14E0"/>
    <w:rsid w:val="009E2C63"/>
    <w:rsid w:val="009E35DB"/>
    <w:rsid w:val="009E47A3"/>
    <w:rsid w:val="009E5B9C"/>
    <w:rsid w:val="009E62FE"/>
    <w:rsid w:val="009F000A"/>
    <w:rsid w:val="009F08F3"/>
    <w:rsid w:val="009F0A93"/>
    <w:rsid w:val="009F344F"/>
    <w:rsid w:val="009F3917"/>
    <w:rsid w:val="009F43EF"/>
    <w:rsid w:val="009F4BBC"/>
    <w:rsid w:val="00A031D8"/>
    <w:rsid w:val="00A03B08"/>
    <w:rsid w:val="00A0433B"/>
    <w:rsid w:val="00A048A8"/>
    <w:rsid w:val="00A04F49"/>
    <w:rsid w:val="00A11659"/>
    <w:rsid w:val="00A11B5D"/>
    <w:rsid w:val="00A12639"/>
    <w:rsid w:val="00A13E54"/>
    <w:rsid w:val="00A160D0"/>
    <w:rsid w:val="00A16BDB"/>
    <w:rsid w:val="00A1742D"/>
    <w:rsid w:val="00A17F63"/>
    <w:rsid w:val="00A20735"/>
    <w:rsid w:val="00A2193B"/>
    <w:rsid w:val="00A2351A"/>
    <w:rsid w:val="00A23B29"/>
    <w:rsid w:val="00A24793"/>
    <w:rsid w:val="00A264A9"/>
    <w:rsid w:val="00A26DCF"/>
    <w:rsid w:val="00A27785"/>
    <w:rsid w:val="00A27E9E"/>
    <w:rsid w:val="00A30187"/>
    <w:rsid w:val="00A30282"/>
    <w:rsid w:val="00A33FFC"/>
    <w:rsid w:val="00A3448A"/>
    <w:rsid w:val="00A36297"/>
    <w:rsid w:val="00A37943"/>
    <w:rsid w:val="00A41995"/>
    <w:rsid w:val="00A41E2B"/>
    <w:rsid w:val="00A42243"/>
    <w:rsid w:val="00A423D5"/>
    <w:rsid w:val="00A43547"/>
    <w:rsid w:val="00A437FC"/>
    <w:rsid w:val="00A44887"/>
    <w:rsid w:val="00A45B74"/>
    <w:rsid w:val="00A5265A"/>
    <w:rsid w:val="00A52E1D"/>
    <w:rsid w:val="00A61499"/>
    <w:rsid w:val="00A62A77"/>
    <w:rsid w:val="00A63483"/>
    <w:rsid w:val="00A657D7"/>
    <w:rsid w:val="00A659E2"/>
    <w:rsid w:val="00A660AC"/>
    <w:rsid w:val="00A67E6C"/>
    <w:rsid w:val="00A7063D"/>
    <w:rsid w:val="00A71004"/>
    <w:rsid w:val="00A71B99"/>
    <w:rsid w:val="00A739D0"/>
    <w:rsid w:val="00A740B1"/>
    <w:rsid w:val="00A741BC"/>
    <w:rsid w:val="00A74233"/>
    <w:rsid w:val="00A74A16"/>
    <w:rsid w:val="00A7589E"/>
    <w:rsid w:val="00A761D4"/>
    <w:rsid w:val="00A77253"/>
    <w:rsid w:val="00A77EC4"/>
    <w:rsid w:val="00A812A4"/>
    <w:rsid w:val="00A8133B"/>
    <w:rsid w:val="00A813EE"/>
    <w:rsid w:val="00A828F3"/>
    <w:rsid w:val="00A82C95"/>
    <w:rsid w:val="00A913CC"/>
    <w:rsid w:val="00A917A9"/>
    <w:rsid w:val="00A92879"/>
    <w:rsid w:val="00A93666"/>
    <w:rsid w:val="00A9442A"/>
    <w:rsid w:val="00A9455E"/>
    <w:rsid w:val="00A97F30"/>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2A7E"/>
    <w:rsid w:val="00AB4AB8"/>
    <w:rsid w:val="00AB4DBC"/>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E6E72"/>
    <w:rsid w:val="00AF1C5D"/>
    <w:rsid w:val="00AF341E"/>
    <w:rsid w:val="00AF42D7"/>
    <w:rsid w:val="00AF5D53"/>
    <w:rsid w:val="00B00127"/>
    <w:rsid w:val="00B00282"/>
    <w:rsid w:val="00B006FE"/>
    <w:rsid w:val="00B007CB"/>
    <w:rsid w:val="00B011AB"/>
    <w:rsid w:val="00B01C0E"/>
    <w:rsid w:val="00B01CBE"/>
    <w:rsid w:val="00B020FD"/>
    <w:rsid w:val="00B02AA9"/>
    <w:rsid w:val="00B02FA3"/>
    <w:rsid w:val="00B04001"/>
    <w:rsid w:val="00B04797"/>
    <w:rsid w:val="00B05084"/>
    <w:rsid w:val="00B066B0"/>
    <w:rsid w:val="00B12DFF"/>
    <w:rsid w:val="00B142F8"/>
    <w:rsid w:val="00B157F9"/>
    <w:rsid w:val="00B20256"/>
    <w:rsid w:val="00B20D09"/>
    <w:rsid w:val="00B21359"/>
    <w:rsid w:val="00B24C1A"/>
    <w:rsid w:val="00B2763F"/>
    <w:rsid w:val="00B27AAC"/>
    <w:rsid w:val="00B30929"/>
    <w:rsid w:val="00B30DE1"/>
    <w:rsid w:val="00B36E44"/>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5B5"/>
    <w:rsid w:val="00B75F1D"/>
    <w:rsid w:val="00B811C0"/>
    <w:rsid w:val="00B81974"/>
    <w:rsid w:val="00B81A6C"/>
    <w:rsid w:val="00B858F8"/>
    <w:rsid w:val="00B85C7C"/>
    <w:rsid w:val="00B85DE5"/>
    <w:rsid w:val="00B90727"/>
    <w:rsid w:val="00B90962"/>
    <w:rsid w:val="00B90F73"/>
    <w:rsid w:val="00B93B59"/>
    <w:rsid w:val="00B9406A"/>
    <w:rsid w:val="00B9471E"/>
    <w:rsid w:val="00B94B76"/>
    <w:rsid w:val="00B9615B"/>
    <w:rsid w:val="00B96390"/>
    <w:rsid w:val="00B96B56"/>
    <w:rsid w:val="00BA0DF9"/>
    <w:rsid w:val="00BA11A7"/>
    <w:rsid w:val="00BA207E"/>
    <w:rsid w:val="00BA2280"/>
    <w:rsid w:val="00BA2A08"/>
    <w:rsid w:val="00BA53D9"/>
    <w:rsid w:val="00BA56BA"/>
    <w:rsid w:val="00BA56D2"/>
    <w:rsid w:val="00BA7227"/>
    <w:rsid w:val="00BA76E0"/>
    <w:rsid w:val="00BB0257"/>
    <w:rsid w:val="00BB1157"/>
    <w:rsid w:val="00BB13F5"/>
    <w:rsid w:val="00BB1A3D"/>
    <w:rsid w:val="00BB22AB"/>
    <w:rsid w:val="00BB2A25"/>
    <w:rsid w:val="00BB51E9"/>
    <w:rsid w:val="00BB59EF"/>
    <w:rsid w:val="00BB6662"/>
    <w:rsid w:val="00BC0FDC"/>
    <w:rsid w:val="00BC3053"/>
    <w:rsid w:val="00BC49CF"/>
    <w:rsid w:val="00BC4D2E"/>
    <w:rsid w:val="00BC5177"/>
    <w:rsid w:val="00BC6124"/>
    <w:rsid w:val="00BD0B88"/>
    <w:rsid w:val="00BD149B"/>
    <w:rsid w:val="00BD41E2"/>
    <w:rsid w:val="00BD48AC"/>
    <w:rsid w:val="00BD5498"/>
    <w:rsid w:val="00BD573D"/>
    <w:rsid w:val="00BD59E3"/>
    <w:rsid w:val="00BD5B67"/>
    <w:rsid w:val="00BD5F1A"/>
    <w:rsid w:val="00BD636D"/>
    <w:rsid w:val="00BD705D"/>
    <w:rsid w:val="00BD7324"/>
    <w:rsid w:val="00BE056C"/>
    <w:rsid w:val="00BE1234"/>
    <w:rsid w:val="00BE2FA6"/>
    <w:rsid w:val="00BE333F"/>
    <w:rsid w:val="00BE3382"/>
    <w:rsid w:val="00BE3A7A"/>
    <w:rsid w:val="00BE7406"/>
    <w:rsid w:val="00BE7603"/>
    <w:rsid w:val="00BF16C1"/>
    <w:rsid w:val="00BF1A06"/>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07A7B"/>
    <w:rsid w:val="00C10478"/>
    <w:rsid w:val="00C10E41"/>
    <w:rsid w:val="00C117FF"/>
    <w:rsid w:val="00C11EFF"/>
    <w:rsid w:val="00C12107"/>
    <w:rsid w:val="00C12F9E"/>
    <w:rsid w:val="00C14D4B"/>
    <w:rsid w:val="00C154BB"/>
    <w:rsid w:val="00C24E89"/>
    <w:rsid w:val="00C279B5"/>
    <w:rsid w:val="00C27C45"/>
    <w:rsid w:val="00C3111F"/>
    <w:rsid w:val="00C32659"/>
    <w:rsid w:val="00C32FD2"/>
    <w:rsid w:val="00C332D3"/>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1D4"/>
    <w:rsid w:val="00C71E7A"/>
    <w:rsid w:val="00C72093"/>
    <w:rsid w:val="00C72EF4"/>
    <w:rsid w:val="00C744FE"/>
    <w:rsid w:val="00C75D2F"/>
    <w:rsid w:val="00C767BE"/>
    <w:rsid w:val="00C76E3C"/>
    <w:rsid w:val="00C813B3"/>
    <w:rsid w:val="00C81568"/>
    <w:rsid w:val="00C82BBF"/>
    <w:rsid w:val="00C8473C"/>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48DF"/>
    <w:rsid w:val="00CA6CC3"/>
    <w:rsid w:val="00CA71F9"/>
    <w:rsid w:val="00CB1F63"/>
    <w:rsid w:val="00CB43F2"/>
    <w:rsid w:val="00CB462F"/>
    <w:rsid w:val="00CB7170"/>
    <w:rsid w:val="00CC0117"/>
    <w:rsid w:val="00CC040E"/>
    <w:rsid w:val="00CC111F"/>
    <w:rsid w:val="00CC2011"/>
    <w:rsid w:val="00CC2D2B"/>
    <w:rsid w:val="00CC3EA0"/>
    <w:rsid w:val="00CC3F47"/>
    <w:rsid w:val="00CC5C7C"/>
    <w:rsid w:val="00CC7B45"/>
    <w:rsid w:val="00CC7E5C"/>
    <w:rsid w:val="00CD0782"/>
    <w:rsid w:val="00CD0C67"/>
    <w:rsid w:val="00CD1188"/>
    <w:rsid w:val="00CD12C1"/>
    <w:rsid w:val="00CD2ED1"/>
    <w:rsid w:val="00CD337B"/>
    <w:rsid w:val="00CD4C85"/>
    <w:rsid w:val="00CD4CD0"/>
    <w:rsid w:val="00CD687B"/>
    <w:rsid w:val="00CD7A81"/>
    <w:rsid w:val="00CE0424"/>
    <w:rsid w:val="00CE2D6A"/>
    <w:rsid w:val="00CE52CE"/>
    <w:rsid w:val="00CE6AEC"/>
    <w:rsid w:val="00CE7561"/>
    <w:rsid w:val="00CF1354"/>
    <w:rsid w:val="00CF2593"/>
    <w:rsid w:val="00CF3B1F"/>
    <w:rsid w:val="00CF3BF6"/>
    <w:rsid w:val="00CF625B"/>
    <w:rsid w:val="00CF687E"/>
    <w:rsid w:val="00D008C7"/>
    <w:rsid w:val="00D01967"/>
    <w:rsid w:val="00D02CF8"/>
    <w:rsid w:val="00D0349B"/>
    <w:rsid w:val="00D03585"/>
    <w:rsid w:val="00D03E2A"/>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2224"/>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A87"/>
    <w:rsid w:val="00D6015A"/>
    <w:rsid w:val="00D615B6"/>
    <w:rsid w:val="00D6179A"/>
    <w:rsid w:val="00D61AF5"/>
    <w:rsid w:val="00D63901"/>
    <w:rsid w:val="00D652B5"/>
    <w:rsid w:val="00D66155"/>
    <w:rsid w:val="00D66BC1"/>
    <w:rsid w:val="00D67B79"/>
    <w:rsid w:val="00D708B0"/>
    <w:rsid w:val="00D7352E"/>
    <w:rsid w:val="00D736DA"/>
    <w:rsid w:val="00D765BC"/>
    <w:rsid w:val="00D77B1D"/>
    <w:rsid w:val="00D77FE9"/>
    <w:rsid w:val="00D8021F"/>
    <w:rsid w:val="00D80383"/>
    <w:rsid w:val="00D823C6"/>
    <w:rsid w:val="00D8327F"/>
    <w:rsid w:val="00D860EB"/>
    <w:rsid w:val="00D86CA3"/>
    <w:rsid w:val="00D86DBA"/>
    <w:rsid w:val="00D871CE"/>
    <w:rsid w:val="00D9196D"/>
    <w:rsid w:val="00D92982"/>
    <w:rsid w:val="00D94F48"/>
    <w:rsid w:val="00D94F5F"/>
    <w:rsid w:val="00DA305E"/>
    <w:rsid w:val="00DA3E11"/>
    <w:rsid w:val="00DA4703"/>
    <w:rsid w:val="00DA5417"/>
    <w:rsid w:val="00DA56E8"/>
    <w:rsid w:val="00DA647C"/>
    <w:rsid w:val="00DA7351"/>
    <w:rsid w:val="00DB0A9F"/>
    <w:rsid w:val="00DB377D"/>
    <w:rsid w:val="00DB3B3C"/>
    <w:rsid w:val="00DB44DC"/>
    <w:rsid w:val="00DB4649"/>
    <w:rsid w:val="00DB785B"/>
    <w:rsid w:val="00DC0D06"/>
    <w:rsid w:val="00DC29F8"/>
    <w:rsid w:val="00DC2D36"/>
    <w:rsid w:val="00DC3D91"/>
    <w:rsid w:val="00DC53EF"/>
    <w:rsid w:val="00DC6A40"/>
    <w:rsid w:val="00DD0EBC"/>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1899"/>
    <w:rsid w:val="00E021F1"/>
    <w:rsid w:val="00E03776"/>
    <w:rsid w:val="00E04A3F"/>
    <w:rsid w:val="00E0650F"/>
    <w:rsid w:val="00E067F1"/>
    <w:rsid w:val="00E110E7"/>
    <w:rsid w:val="00E11A6C"/>
    <w:rsid w:val="00E11B20"/>
    <w:rsid w:val="00E142E7"/>
    <w:rsid w:val="00E17FA2"/>
    <w:rsid w:val="00E22330"/>
    <w:rsid w:val="00E30087"/>
    <w:rsid w:val="00E30B5A"/>
    <w:rsid w:val="00E31216"/>
    <w:rsid w:val="00E3123D"/>
    <w:rsid w:val="00E31461"/>
    <w:rsid w:val="00E31D43"/>
    <w:rsid w:val="00E31DCE"/>
    <w:rsid w:val="00E32608"/>
    <w:rsid w:val="00E33B71"/>
    <w:rsid w:val="00E34188"/>
    <w:rsid w:val="00E34B6E"/>
    <w:rsid w:val="00E35559"/>
    <w:rsid w:val="00E3723A"/>
    <w:rsid w:val="00E37860"/>
    <w:rsid w:val="00E40A18"/>
    <w:rsid w:val="00E424E5"/>
    <w:rsid w:val="00E446F1"/>
    <w:rsid w:val="00E46886"/>
    <w:rsid w:val="00E46D72"/>
    <w:rsid w:val="00E47AEF"/>
    <w:rsid w:val="00E5109E"/>
    <w:rsid w:val="00E52201"/>
    <w:rsid w:val="00E5363F"/>
    <w:rsid w:val="00E53A2D"/>
    <w:rsid w:val="00E53B75"/>
    <w:rsid w:val="00E53F47"/>
    <w:rsid w:val="00E54E3B"/>
    <w:rsid w:val="00E57565"/>
    <w:rsid w:val="00E60307"/>
    <w:rsid w:val="00E63838"/>
    <w:rsid w:val="00E6413A"/>
    <w:rsid w:val="00E64434"/>
    <w:rsid w:val="00E67C51"/>
    <w:rsid w:val="00E70791"/>
    <w:rsid w:val="00E70896"/>
    <w:rsid w:val="00E72EFC"/>
    <w:rsid w:val="00E758EC"/>
    <w:rsid w:val="00E75CB2"/>
    <w:rsid w:val="00E75EB5"/>
    <w:rsid w:val="00E81600"/>
    <w:rsid w:val="00E8178C"/>
    <w:rsid w:val="00E8234C"/>
    <w:rsid w:val="00E82A1F"/>
    <w:rsid w:val="00E82D1B"/>
    <w:rsid w:val="00E83AA9"/>
    <w:rsid w:val="00E85928"/>
    <w:rsid w:val="00E86541"/>
    <w:rsid w:val="00E86549"/>
    <w:rsid w:val="00E87822"/>
    <w:rsid w:val="00E90395"/>
    <w:rsid w:val="00E90E49"/>
    <w:rsid w:val="00E917F9"/>
    <w:rsid w:val="00E9291C"/>
    <w:rsid w:val="00E93FFE"/>
    <w:rsid w:val="00E94F8A"/>
    <w:rsid w:val="00E96EB1"/>
    <w:rsid w:val="00EA2400"/>
    <w:rsid w:val="00EA5630"/>
    <w:rsid w:val="00EA7A41"/>
    <w:rsid w:val="00EB077B"/>
    <w:rsid w:val="00EB432D"/>
    <w:rsid w:val="00EB469D"/>
    <w:rsid w:val="00EB484F"/>
    <w:rsid w:val="00EB4EA2"/>
    <w:rsid w:val="00EB5477"/>
    <w:rsid w:val="00EB5D13"/>
    <w:rsid w:val="00EB6DCE"/>
    <w:rsid w:val="00EC24D5"/>
    <w:rsid w:val="00EC27C6"/>
    <w:rsid w:val="00EC3260"/>
    <w:rsid w:val="00EC4207"/>
    <w:rsid w:val="00EC53EC"/>
    <w:rsid w:val="00EC5653"/>
    <w:rsid w:val="00EC62E5"/>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147E"/>
    <w:rsid w:val="00F0460A"/>
    <w:rsid w:val="00F0528D"/>
    <w:rsid w:val="00F06C67"/>
    <w:rsid w:val="00F06C7B"/>
    <w:rsid w:val="00F06DFD"/>
    <w:rsid w:val="00F071D1"/>
    <w:rsid w:val="00F07533"/>
    <w:rsid w:val="00F10629"/>
    <w:rsid w:val="00F12181"/>
    <w:rsid w:val="00F148A0"/>
    <w:rsid w:val="00F15DFB"/>
    <w:rsid w:val="00F15FA5"/>
    <w:rsid w:val="00F16A80"/>
    <w:rsid w:val="00F20362"/>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36F"/>
    <w:rsid w:val="00F53488"/>
    <w:rsid w:val="00F53887"/>
    <w:rsid w:val="00F55BED"/>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36D2"/>
    <w:rsid w:val="00F744F8"/>
    <w:rsid w:val="00F74BB9"/>
    <w:rsid w:val="00F75582"/>
    <w:rsid w:val="00F76692"/>
    <w:rsid w:val="00F76EFA"/>
    <w:rsid w:val="00F804BE"/>
    <w:rsid w:val="00F80814"/>
    <w:rsid w:val="00F80956"/>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1A34"/>
    <w:rsid w:val="00FA2BB3"/>
    <w:rsid w:val="00FA36B4"/>
    <w:rsid w:val="00FA44B3"/>
    <w:rsid w:val="00FA4722"/>
    <w:rsid w:val="00FA5E5F"/>
    <w:rsid w:val="00FA6B8E"/>
    <w:rsid w:val="00FA758B"/>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0F6"/>
    <w:rsid w:val="00FE37D7"/>
    <w:rsid w:val="00FE4C7B"/>
    <w:rsid w:val="00FE7336"/>
    <w:rsid w:val="00FE7396"/>
    <w:rsid w:val="00FE787C"/>
    <w:rsid w:val="00FF09A1"/>
    <w:rsid w:val="00FF3605"/>
    <w:rsid w:val="00FF45A5"/>
    <w:rsid w:val="00FF45DC"/>
    <w:rsid w:val="00FF53F7"/>
    <w:rsid w:val="00FF5C91"/>
    <w:rsid w:val="00FF7C0C"/>
    <w:rsid w:val="0999AA91"/>
    <w:rsid w:val="10ED18DB"/>
    <w:rsid w:val="1988561F"/>
    <w:rsid w:val="2F5861C9"/>
    <w:rsid w:val="31CA0CA2"/>
    <w:rsid w:val="3253289B"/>
    <w:rsid w:val="40F0A48C"/>
    <w:rsid w:val="446979E9"/>
    <w:rsid w:val="454E2966"/>
    <w:rsid w:val="54F46459"/>
    <w:rsid w:val="55B09EB0"/>
    <w:rsid w:val="584B26C1"/>
    <w:rsid w:val="6EA2B88C"/>
    <w:rsid w:val="71D97A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EA185"/>
  <w15:docId w15:val="{38625DAE-FBDF-4104-9AE9-6FBCB310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qFormat="1"/>
    <w:lsdException w:name="index heading" w:qFormat="1"/>
    <w:lsdException w:name="caption" w:unhideWhenUsed="1"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868"/>
    <w:pPr>
      <w:spacing w:after="160" w:line="259" w:lineRule="auto"/>
    </w:pPr>
    <w:rPr>
      <w:rFonts w:ascii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bCs/>
    </w:rPr>
  </w:style>
  <w:style w:type="paragraph" w:styleId="Heading7">
    <w:name w:val="heading 7"/>
    <w:basedOn w:val="H6"/>
    <w:next w:val="Normal"/>
    <w:link w:val="Heading7Char"/>
    <w:qFormat/>
    <w:pPr>
      <w:outlineLvl w:val="6"/>
    </w:pPr>
    <w:rPr>
      <w:b/>
      <w:bCs/>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658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586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ascii="Times New Roman" w:eastAsia="Malgun Gothic"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44546A" w:themeColor="text2"/>
      <w:sz w:val="18"/>
      <w:szCs w:val="18"/>
    </w:rPr>
  </w:style>
  <w:style w:type="paragraph" w:styleId="DocumentMap">
    <w:name w:val="Document Map"/>
    <w:basedOn w:val="Normal"/>
    <w:link w:val="DocumentMapChar"/>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lang w:eastAsia="en-GB"/>
    </w:rPr>
  </w:style>
  <w:style w:type="paragraph" w:styleId="ListNumber3">
    <w:name w:val="List Number 3"/>
    <w:basedOn w:val="ListNumber2"/>
    <w:qFormat/>
    <w:pPr>
      <w:numPr>
        <w:numId w:val="1"/>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pPr>
      <w:spacing w:line="276" w:lineRule="auto"/>
    </w:pPr>
    <w:rPr>
      <w:rFonts w:ascii="Tahoma" w:eastAsia="Malgun Gothic"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200" w:line="276" w:lineRule="auto"/>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76" w:lineRule="auto"/>
    </w:pPr>
    <w:rPr>
      <w:rFonts w:eastAsia="Times New Roman"/>
      <w:lang w:eastAsia="ko-KR"/>
    </w:rPr>
  </w:style>
  <w:style w:type="paragraph" w:styleId="Index1">
    <w:name w:val="index 1"/>
    <w:basedOn w:val="Normal"/>
    <w:next w:val="Normal"/>
    <w:qFormat/>
    <w:pPr>
      <w:keepLines/>
      <w:spacing w:line="276" w:lineRule="auto"/>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spacing w:before="240" w:after="60"/>
      <w:ind w:left="1701" w:hanging="1701"/>
      <w:outlineLvl w:val="0"/>
    </w:pPr>
    <w:rPr>
      <w:rFonts w:eastAsia="Times New Roman" w:cs="Arial"/>
      <w:b/>
      <w:bCs/>
      <w:kern w:val="2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Reference">
    <w:name w:val="Reference"/>
    <w:basedOn w:val="BodyText"/>
    <w:uiPriority w:val="99"/>
    <w:qFormat/>
    <w:pPr>
      <w:numPr>
        <w:numId w:val="2"/>
      </w:numPr>
    </w:pPr>
  </w:style>
  <w:style w:type="character" w:customStyle="1" w:styleId="Heading1Char">
    <w:name w:val="Heading 1 Char"/>
    <w:basedOn w:val="DefaultParagraphFont"/>
    <w:link w:val="Heading1"/>
    <w:qFormat/>
    <w:rPr>
      <w:rFonts w:ascii="Arial" w:eastAsia="Malgun Gothic" w:hAnsi="Arial"/>
      <w:sz w:val="36"/>
      <w:lang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pPr>
      <w:tabs>
        <w:tab w:val="left" w:pos="1701"/>
      </w:tabs>
      <w:overflowPunct w:val="0"/>
      <w:autoSpaceDE w:val="0"/>
      <w:autoSpaceDN w:val="0"/>
      <w:adjustRightInd w:val="0"/>
      <w:spacing w:after="120"/>
      <w:textAlignment w:val="baseline"/>
    </w:pPr>
    <w:rPr>
      <w:rFonts w:ascii="Arial" w:eastAsia="SimSun" w:hAnsi="Arial"/>
      <w:b/>
      <w:bCs/>
    </w:rPr>
  </w:style>
  <w:style w:type="character" w:customStyle="1" w:styleId="BodyTextChar">
    <w:name w:val="Body Text Char"/>
    <w:link w:val="BodyText"/>
    <w:qFormat/>
    <w:rPr>
      <w:rFonts w:ascii="Arial" w:eastAsia="MS Mincho" w:hAnsi="Arial"/>
      <w:szCs w:val="24"/>
    </w:rPr>
  </w:style>
  <w:style w:type="paragraph" w:customStyle="1" w:styleId="B5">
    <w:name w:val="B5"/>
    <w:basedOn w:val="List5"/>
    <w:link w:val="B5Char"/>
    <w:qFormat/>
  </w:style>
  <w:style w:type="paragraph" w:customStyle="1" w:styleId="EX">
    <w:name w:val="EX"/>
    <w:basedOn w:val="Normal"/>
    <w:qFormat/>
    <w:pPr>
      <w:keepLines/>
      <w:spacing w:line="276" w:lineRule="auto"/>
      <w:ind w:left="1702" w:hanging="1418"/>
    </w:pPr>
    <w:rPr>
      <w:rFonts w:eastAsia="Malgun Gothic"/>
    </w:rPr>
  </w:style>
  <w:style w:type="paragraph" w:customStyle="1" w:styleId="EW">
    <w:name w:val="EW"/>
    <w:basedOn w:val="EX"/>
    <w:qFormat/>
  </w:style>
  <w:style w:type="paragraph" w:customStyle="1" w:styleId="TAL">
    <w:name w:val="TAL"/>
    <w:basedOn w:val="Normal"/>
    <w:link w:val="TALCar"/>
    <w:qFormat/>
    <w:pPr>
      <w:keepNext/>
      <w:keepLines/>
      <w:spacing w:line="276" w:lineRule="auto"/>
    </w:pPr>
    <w:rPr>
      <w:rFonts w:ascii="Arial" w:eastAsia="Malgun Gothic"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Malgun Gothic" w:hAnsi="Arial"/>
      <w:sz w:val="32"/>
      <w:lang w:val="en-GB" w:eastAsia="en-US"/>
    </w:rPr>
  </w:style>
  <w:style w:type="paragraph" w:customStyle="1" w:styleId="ZG">
    <w:name w:val="ZG"/>
    <w:qFormat/>
    <w:pPr>
      <w:framePr w:wrap="notBeside" w:vAnchor="page" w:hAnchor="margin" w:xAlign="right" w:y="6805"/>
      <w:widowControl w:val="0"/>
      <w:spacing w:after="200" w:line="276" w:lineRule="auto"/>
      <w:jc w:val="right"/>
    </w:pPr>
    <w:rPr>
      <w:rFonts w:ascii="Arial" w:eastAsia="Malgun Gothic" w:hAnsi="Arial"/>
      <w:lang w:val="en-GB" w:eastAsia="en-US"/>
    </w:rPr>
  </w:style>
  <w:style w:type="character" w:customStyle="1" w:styleId="ZGSM">
    <w:name w:val="ZGSM"/>
    <w:qFormat/>
  </w:style>
  <w:style w:type="paragraph" w:customStyle="1" w:styleId="ZH">
    <w:name w:val="ZH"/>
    <w:qFormat/>
    <w:pPr>
      <w:framePr w:wrap="notBeside" w:vAnchor="page" w:hAnchor="margin" w:xAlign="center" w:y="6805"/>
      <w:widowControl w:val="0"/>
      <w:spacing w:after="200" w:line="276" w:lineRule="auto"/>
    </w:pPr>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Malgun Gothic"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FP">
    <w:name w:val="FP"/>
    <w:basedOn w:val="Normal"/>
    <w:qFormat/>
    <w:pPr>
      <w:spacing w:line="276" w:lineRule="auto"/>
    </w:pPr>
    <w:rPr>
      <w:rFonts w:eastAsia="Malgun Gothic"/>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B1Char1">
    <w:name w:val="B1 Char1"/>
    <w:qFormat/>
    <w:rPr>
      <w:rFonts w:ascii="Times New Roman" w:hAnsi="Times New Roman"/>
      <w:lang w:val="en-GB" w:eastAsia="en-US"/>
    </w:rPr>
  </w:style>
  <w:style w:type="character" w:customStyle="1" w:styleId="B2Char">
    <w:name w:val="B2 Char"/>
    <w:link w:val="B2"/>
    <w:qFormat/>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lang w:eastAsia="en-US"/>
    </w:rPr>
  </w:style>
  <w:style w:type="character" w:customStyle="1" w:styleId="B4Char">
    <w:name w:val="B4 Char"/>
    <w:link w:val="B4"/>
    <w:qFormat/>
    <w:rPr>
      <w:rFonts w:ascii="Times New Roman" w:eastAsia="Malgun Gothic" w:hAnsi="Times New Roman"/>
      <w:lang w:eastAsia="en-US"/>
    </w:rPr>
  </w:style>
  <w:style w:type="character" w:customStyle="1" w:styleId="B5Char">
    <w:name w:val="B5 Char"/>
    <w:link w:val="B5"/>
    <w:qFormat/>
    <w:rPr>
      <w:rFonts w:ascii="Times New Roman" w:eastAsia="Malgun Gothic" w:hAnsi="Times New Roman"/>
      <w:lang w:eastAsia="en-US"/>
    </w:rPr>
  </w:style>
  <w:style w:type="paragraph" w:customStyle="1" w:styleId="B6">
    <w:name w:val="B6"/>
    <w:basedOn w:val="B5"/>
    <w:link w:val="B6Char"/>
    <w:qFormat/>
    <w:pPr>
      <w:ind w:left="1985"/>
    </w:pPr>
  </w:style>
  <w:style w:type="character" w:customStyle="1" w:styleId="B6Char">
    <w:name w:val="B6 Char"/>
    <w:link w:val="B6"/>
    <w:qFormat/>
    <w:rPr>
      <w:rFonts w:ascii="Times New Roman" w:eastAsia="Malgun Gothic" w:hAnsi="Times New Roman"/>
      <w:lang w:eastAsia="en-US"/>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eastAsia="Malgun Gothic"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ahoma" w:eastAsia="Malgun Gothic" w:hAnsi="Tahoma" w:cs="Tahoma"/>
      <w:sz w:val="16"/>
      <w:szCs w:val="16"/>
      <w:lang w:eastAsia="en-US"/>
    </w:rPr>
  </w:style>
  <w:style w:type="character" w:customStyle="1" w:styleId="CommentTextChar">
    <w:name w:val="Comment Text Char"/>
    <w:link w:val="CommentText"/>
    <w:uiPriority w:val="99"/>
    <w:qFormat/>
    <w:rPr>
      <w:rFonts w:ascii="Times New Roman" w:eastAsia="Malgun Gothic" w:hAnsi="Times New Roman"/>
      <w:lang w:eastAsia="en-US"/>
    </w:rPr>
  </w:style>
  <w:style w:type="character" w:customStyle="1" w:styleId="CommentSubjectChar">
    <w:name w:val="Comment Subject Char"/>
    <w:basedOn w:val="CommentTextChar"/>
    <w:link w:val="CommentSubject"/>
    <w:qFormat/>
    <w:rPr>
      <w:rFonts w:ascii="Times New Roman" w:eastAsia="Malgun Gothic" w:hAnsi="Times New Roman"/>
      <w:b/>
      <w:bCs/>
      <w:lang w:eastAsia="en-US"/>
    </w:rPr>
  </w:style>
  <w:style w:type="paragraph" w:customStyle="1" w:styleId="CRCoverPage">
    <w:name w:val="CR Cover Page"/>
    <w:link w:val="CRCoverPageZchn"/>
    <w:qFormat/>
    <w:pPr>
      <w:spacing w:after="120" w:line="276" w:lineRule="auto"/>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lang w:eastAsia="en-GB"/>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basedOn w:val="DefaultParagraphFont"/>
    <w:link w:val="DocumentMap"/>
    <w:qFormat/>
    <w:rPr>
      <w:rFonts w:ascii="Tahoma" w:eastAsia="Malgun Gothic" w:hAnsi="Tahoma" w:cs="Tahoma"/>
      <w:shd w:val="clear" w:color="auto" w:fill="000080"/>
      <w:lang w:eastAsia="en-US"/>
    </w:rPr>
  </w:style>
  <w:style w:type="character" w:customStyle="1" w:styleId="NOChar">
    <w:name w:val="NO Char"/>
    <w:link w:val="NO"/>
    <w:qFormat/>
    <w:rPr>
      <w:rFonts w:ascii="Times New Roman" w:eastAsia="Malgun Gothic" w:hAnsi="Times New Roman"/>
      <w:lang w:eastAsia="en-US"/>
    </w:rPr>
  </w:style>
  <w:style w:type="character" w:customStyle="1" w:styleId="EditorsNoteChar">
    <w:name w:val="Editor's Note Char"/>
    <w:link w:val="EditorsNote"/>
    <w:qFormat/>
    <w:rPr>
      <w:rFonts w:ascii="Times New Roman" w:eastAsia="Malgun Gothic" w:hAnsi="Times New Roman"/>
      <w:color w:val="FF0000"/>
      <w:lang w:eastAsia="en-US"/>
    </w:rPr>
  </w:style>
  <w:style w:type="paragraph" w:customStyle="1" w:styleId="EmailDiscussion">
    <w:name w:val="EmailDiscussion"/>
    <w:basedOn w:val="Normal"/>
    <w:next w:val="EmailDiscussion2"/>
    <w:link w:val="EmailDiscussionChar"/>
    <w:qFormat/>
    <w:pPr>
      <w:numPr>
        <w:numId w:val="4"/>
      </w:numPr>
      <w:spacing w:before="40" w:line="276" w:lineRule="auto"/>
    </w:pPr>
    <w:rPr>
      <w:rFonts w:ascii="Arial" w:eastAsia="MS Mincho" w:hAnsi="Arial"/>
      <w:b/>
      <w:lang w:eastAsia="en-GB"/>
    </w:rPr>
  </w:style>
  <w:style w:type="paragraph" w:customStyle="1" w:styleId="EmailDiscussion2">
    <w:name w:val="EmailDiscussion2"/>
    <w:basedOn w:val="Doc-text2"/>
    <w:qFormat/>
    <w:pPr>
      <w:overflowPunct/>
      <w:autoSpaceDE/>
      <w:autoSpaceDN/>
      <w:adjustRightInd/>
      <w:textAlignment w:val="auto"/>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qFormat/>
    <w:rPr>
      <w:rFonts w:ascii="Arial" w:eastAsia="Malgun Gothic" w:hAnsi="Arial"/>
      <w:b/>
      <w:sz w:val="18"/>
      <w:lang w:eastAsia="en-US"/>
    </w:rPr>
  </w:style>
  <w:style w:type="character" w:customStyle="1" w:styleId="FooterChar">
    <w:name w:val="Footer Char"/>
    <w:basedOn w:val="DefaultParagraphFont"/>
    <w:link w:val="Footer"/>
    <w:qFormat/>
    <w:rPr>
      <w:rFonts w:ascii="Arial" w:eastAsia="Malgun Gothic" w:hAnsi="Arial"/>
      <w:b/>
      <w:i/>
      <w:sz w:val="18"/>
      <w:lang w:eastAsia="en-US"/>
    </w:rPr>
  </w:style>
  <w:style w:type="character" w:customStyle="1" w:styleId="FootnoteTextChar">
    <w:name w:val="Footnote Text Char"/>
    <w:basedOn w:val="DefaultParagraphFont"/>
    <w:link w:val="FootnoteText"/>
    <w:qFormat/>
    <w:rPr>
      <w:rFonts w:ascii="Times New Roman" w:eastAsia="Malgun Gothic" w:hAnsi="Times New Roman"/>
      <w:sz w:val="16"/>
      <w:lang w:eastAsia="en-US"/>
    </w:rPr>
  </w:style>
  <w:style w:type="paragraph" w:customStyle="1" w:styleId="Guidance">
    <w:name w:val="Guidance"/>
    <w:basedOn w:val="Normal"/>
    <w:qFormat/>
    <w:pPr>
      <w:spacing w:line="276" w:lineRule="auto"/>
    </w:pPr>
    <w:rPr>
      <w:rFonts w:eastAsia="Malgun Gothic"/>
      <w:i/>
      <w:color w:val="0000FF"/>
    </w:rPr>
  </w:style>
  <w:style w:type="character" w:customStyle="1" w:styleId="Heading2Char">
    <w:name w:val="Heading 2 Char"/>
    <w:link w:val="Heading2"/>
    <w:qFormat/>
    <w:rPr>
      <w:rFonts w:ascii="Arial" w:eastAsia="Malgun Gothic" w:hAnsi="Arial"/>
      <w:sz w:val="32"/>
      <w:lang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Heading4Char">
    <w:name w:val="Heading 4 Char"/>
    <w:link w:val="Heading4"/>
    <w:qFormat/>
    <w:rPr>
      <w:rFonts w:ascii="Arial" w:eastAsia="Malgun Gothic" w:hAnsi="Arial"/>
      <w:sz w:val="24"/>
      <w:lang w:eastAsia="en-US"/>
    </w:rPr>
  </w:style>
  <w:style w:type="character" w:customStyle="1" w:styleId="Heading5Char">
    <w:name w:val="Heading 5 Char"/>
    <w:basedOn w:val="DefaultParagraphFont"/>
    <w:link w:val="Heading5"/>
    <w:qFormat/>
    <w:rPr>
      <w:rFonts w:ascii="Arial" w:eastAsia="Malgun Gothic" w:hAnsi="Arial"/>
      <w:sz w:val="22"/>
      <w:lang w:eastAsia="en-US"/>
    </w:rPr>
  </w:style>
  <w:style w:type="character" w:customStyle="1" w:styleId="Heading6Char">
    <w:name w:val="Heading 6 Char"/>
    <w:basedOn w:val="DefaultParagraphFont"/>
    <w:link w:val="Heading6"/>
    <w:qFormat/>
    <w:rPr>
      <w:rFonts w:ascii="Arial" w:eastAsia="Malgun Gothic" w:hAnsi="Arial"/>
      <w:b/>
      <w:bCs/>
      <w:lang w:eastAsia="en-US"/>
    </w:rPr>
  </w:style>
  <w:style w:type="character" w:customStyle="1" w:styleId="Heading7Char">
    <w:name w:val="Heading 7 Char"/>
    <w:basedOn w:val="DefaultParagraphFont"/>
    <w:link w:val="Heading7"/>
    <w:qFormat/>
    <w:rPr>
      <w:rFonts w:ascii="Arial" w:eastAsia="Malgun Gothic" w:hAnsi="Arial"/>
      <w:b/>
      <w:bCs/>
      <w:lang w:eastAsia="en-US"/>
    </w:rPr>
  </w:style>
  <w:style w:type="character" w:customStyle="1" w:styleId="Heading8Char">
    <w:name w:val="Heading 8 Char"/>
    <w:basedOn w:val="DefaultParagraphFont"/>
    <w:link w:val="Heading8"/>
    <w:qFormat/>
    <w:rPr>
      <w:rFonts w:ascii="Arial" w:eastAsia="Malgun Gothic" w:hAnsi="Arial"/>
      <w:sz w:val="36"/>
      <w:lang w:eastAsia="en-US"/>
    </w:rPr>
  </w:style>
  <w:style w:type="character" w:customStyle="1" w:styleId="Heading9Char">
    <w:name w:val="Heading 9 Char"/>
    <w:basedOn w:val="DefaultParagraphFont"/>
    <w:link w:val="Heading9"/>
    <w:qFormat/>
    <w:rPr>
      <w:rFonts w:ascii="Arial" w:eastAsia="Malgun Gothic" w:hAnsi="Arial"/>
      <w:sz w:val="36"/>
      <w:lang w:eastAsia="en-US"/>
    </w:rPr>
  </w:style>
  <w:style w:type="paragraph" w:customStyle="1" w:styleId="LD">
    <w:name w:val="LD"/>
    <w:qFormat/>
    <w:pPr>
      <w:keepNext/>
      <w:keepLines/>
      <w:spacing w:after="200" w:line="180" w:lineRule="exact"/>
    </w:pPr>
    <w:rPr>
      <w:rFonts w:ascii="MS LineDraw" w:eastAsia="Malgun Gothic" w:hAnsi="MS LineDraw"/>
      <w:lang w:val="en-GB" w:eastAsia="en-US"/>
    </w:rPr>
  </w:style>
  <w:style w:type="character" w:customStyle="1" w:styleId="ListParagraphChar">
    <w:name w:val="List Paragraph Char"/>
    <w:basedOn w:val="DefaultParagraphFont"/>
    <w:link w:val="ListParagraph"/>
    <w:uiPriority w:val="34"/>
    <w:qFormat/>
    <w:locked/>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Malgun Gothic" w:hAnsi="Courier New"/>
      <w:sz w:val="16"/>
      <w:lang w:val="en-GB" w:eastAsia="en-US"/>
    </w:rPr>
  </w:style>
  <w:style w:type="character" w:customStyle="1" w:styleId="PLChar">
    <w:name w:val="PL Char"/>
    <w:link w:val="PL"/>
    <w:qFormat/>
    <w:rPr>
      <w:rFonts w:ascii="Courier New" w:eastAsia="Malgun Gothic" w:hAnsi="Courier New"/>
      <w:sz w:val="16"/>
      <w:lang w:eastAsia="en-US"/>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Malgun Gothic" w:hAnsi="Arial"/>
      <w:sz w:val="18"/>
      <w:lang w:eastAsia="en-US"/>
    </w:rPr>
  </w:style>
  <w:style w:type="character" w:customStyle="1" w:styleId="TAHCar">
    <w:name w:val="TAH Car"/>
    <w:link w:val="TAH"/>
    <w:qFormat/>
    <w:locked/>
    <w:rPr>
      <w:rFonts w:ascii="Arial" w:eastAsia="Malgun Gothic" w:hAnsi="Arial"/>
      <w:b/>
      <w:sz w:val="18"/>
      <w:lang w:eastAsia="en-US"/>
    </w:rPr>
  </w:style>
  <w:style w:type="character" w:customStyle="1" w:styleId="THChar">
    <w:name w:val="TH Char"/>
    <w:link w:val="TH"/>
    <w:qFormat/>
    <w:rPr>
      <w:rFonts w:ascii="Arial" w:eastAsia="Malgun Gothic" w:hAnsi="Arial"/>
      <w:b/>
      <w:lang w:eastAsia="en-US"/>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Malgun Gothic" w:hAnsi="Arial"/>
      <w:b/>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kern w:val="2"/>
      <w:sz w:val="22"/>
      <w:szCs w:val="22"/>
      <w:lang w:val="en-GB" w:eastAsia="en-US"/>
      <w14:ligatures w14:val="standardContextual"/>
    </w:rPr>
  </w:style>
  <w:style w:type="paragraph" w:customStyle="1" w:styleId="Agreement">
    <w:name w:val="Agreement"/>
    <w:basedOn w:val="Normal"/>
    <w:next w:val="Doc-text2"/>
    <w:uiPriority w:val="99"/>
    <w:qFormat/>
    <w:pPr>
      <w:numPr>
        <w:numId w:val="5"/>
      </w:numPr>
      <w:spacing w:before="60" w:line="276" w:lineRule="auto"/>
    </w:pPr>
    <w:rPr>
      <w:rFonts w:ascii="Arial" w:eastAsia="MS Mincho" w:hAnsi="Arial"/>
      <w:b/>
      <w:lang w:eastAsia="en-GB"/>
    </w:rPr>
  </w:style>
  <w:style w:type="character" w:customStyle="1" w:styleId="TitleChar">
    <w:name w:val="Title Char"/>
    <w:basedOn w:val="DefaultParagraphFont"/>
    <w:link w:val="Title"/>
    <w:uiPriority w:val="10"/>
    <w:qFormat/>
    <w:rPr>
      <w:rFonts w:ascii="Arial" w:hAnsi="Arial" w:cs="Arial"/>
      <w:b/>
      <w:bCs/>
      <w:kern w:val="28"/>
      <w:lang w:eastAsia="en-US"/>
    </w:rPr>
  </w:style>
  <w:style w:type="character" w:customStyle="1" w:styleId="B1Char">
    <w:name w:val="B1 Char"/>
    <w:link w:val="B1"/>
    <w:qFormat/>
    <w:rPr>
      <w:rFonts w:ascii="Times New Roman" w:eastAsia="Malgun Gothic" w:hAnsi="Times New Roman"/>
      <w:lang w:eastAsia="en-US"/>
    </w:rPr>
  </w:style>
  <w:style w:type="character" w:customStyle="1" w:styleId="normaltextrun">
    <w:name w:val="normaltextrun"/>
    <w:basedOn w:val="DefaultParagraphFont"/>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eastAsia="Malgun Gothic" w:hAnsi="Arial"/>
      <w:sz w:val="18"/>
      <w:lang w:eastAsia="en-US"/>
    </w:rPr>
  </w:style>
  <w:style w:type="paragraph" w:customStyle="1" w:styleId="tdoc-header">
    <w:name w:val="tdoc-header"/>
    <w:qFormat/>
    <w:pPr>
      <w:spacing w:after="200" w:line="276" w:lineRule="auto"/>
    </w:pPr>
    <w:rPr>
      <w:rFonts w:ascii="Arial" w:eastAsia="Malgun Gothic" w:hAnsi="Arial"/>
      <w:sz w:val="24"/>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paragraph" w:customStyle="1" w:styleId="Doc-title">
    <w:name w:val="Doc-title"/>
    <w:basedOn w:val="Normal"/>
    <w:next w:val="Doc-text2"/>
    <w:link w:val="Doc-titleChar"/>
    <w:qFormat/>
    <w:pPr>
      <w:spacing w:before="60" w:line="276" w:lineRule="auto"/>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3Char">
    <w:name w:val="B3 Char"/>
    <w:qFormat/>
    <w:rPr>
      <w:rFonts w:ascii="Times New Roman" w:hAnsi="Times New Roman"/>
      <w:lang w:val="en-GB" w:eastAsia="en-US"/>
    </w:rPr>
  </w:style>
  <w:style w:type="character" w:customStyle="1" w:styleId="ProposalChar">
    <w:name w:val="Proposal Char"/>
    <w:link w:val="Proposal"/>
    <w:qFormat/>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line="276" w:lineRule="auto"/>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pPr>
    <w:rPr>
      <w:rFonts w:ascii="Arial" w:eastAsia="Malgun Gothic" w:hAnsi="Arial" w:cs="Batang"/>
      <w:bCs/>
      <w:szCs w:val="32"/>
    </w:rPr>
  </w:style>
  <w:style w:type="character" w:customStyle="1" w:styleId="0MaintextChar">
    <w:name w:val="0 Main text Char"/>
    <w:link w:val="0Maintext"/>
    <w:qFormat/>
    <w:rPr>
      <w:rFonts w:ascii="Arial" w:eastAsia="Malgun Gothic" w:hAnsi="Arial" w:cs="Batang"/>
      <w:bCs/>
      <w:szCs w:val="32"/>
      <w:lang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eastAsia="Malgun Gothic" w:cs="Arial"/>
      <w:spacing w:val="2"/>
      <w:lang w:eastAsia="en-US"/>
    </w:rPr>
  </w:style>
  <w:style w:type="character" w:customStyle="1" w:styleId="IvDbodytextChar">
    <w:name w:val="IvD bodytext Char"/>
    <w:link w:val="IvDbodytext"/>
    <w:qFormat/>
    <w:locked/>
    <w:rPr>
      <w:rFonts w:ascii="Arial" w:eastAsia="Malgun Gothic" w:hAnsi="Arial" w:cs="Arial"/>
      <w:spacing w:val="2"/>
      <w:kern w:val="2"/>
      <w:sz w:val="21"/>
      <w:szCs w:val="22"/>
      <w:lang w:eastAsia="en-US"/>
    </w:rPr>
  </w:style>
  <w:style w:type="character" w:customStyle="1" w:styleId="NOChar1">
    <w:name w:val="NO Char1"/>
    <w:qFormat/>
    <w:locked/>
  </w:style>
  <w:style w:type="character" w:customStyle="1" w:styleId="ObservationChar">
    <w:name w:val="Observation Char"/>
    <w:link w:val="Observation"/>
    <w:qFormat/>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2D2DD3F-E91D-4635-902F-266779F9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Shiyang (Samsung)</cp:lastModifiedBy>
  <cp:revision>5</cp:revision>
  <cp:lastPrinted>2008-02-01T20:09:00Z</cp:lastPrinted>
  <dcterms:created xsi:type="dcterms:W3CDTF">2025-04-30T07:00:00Z</dcterms:created>
  <dcterms:modified xsi:type="dcterms:W3CDTF">2025-05-01T18:16:00Z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CWM6ba09e40255d11f08000595b0000595b">
    <vt:lpwstr>CWMyuQJZyWOL3iQjag9PfLBRU+fvpmFynEAUq2ZbMvDvFQe7W9THh8uVRDDgfX3UGpeFJLT5nCfdIyF/D/GQPb+cw==</vt:lpwstr>
  </property>
  <property fmtid="{D5CDD505-2E9C-101B-9397-08002B2CF9AE}" pid="6" name="CWM75753150256311f080006f5f00006f5f">
    <vt:lpwstr>CWMrBnzwibgiarE3/UD3FG6v5SQh3Jeb7JJ/tOtGJoWdlECUF6IlljKoC9n1p9Dquc8imG0aZKP/YSkKmULMXqelw==</vt:lpwstr>
  </property>
  <property fmtid="{D5CDD505-2E9C-101B-9397-08002B2CF9AE}" pid="7" name="CWMee093c80256611f08000595b0000595b">
    <vt:lpwstr>CWMyuQJZyWOL3iQjag9PfLBRU+fvpmFynEAUq2ZbMvDvFRR72QFsElixQwjhYd/c1mMJh+qYWpFV6/LucngMKrIOA==</vt:lpwstr>
  </property>
  <property fmtid="{D5CDD505-2E9C-101B-9397-08002B2CF9AE}" pid="8" name="MSIP_Label_a7295cc1-d279-42ac-ab4d-3b0f4fece050_Enabled">
    <vt:lpwstr>true</vt:lpwstr>
  </property>
  <property fmtid="{D5CDD505-2E9C-101B-9397-08002B2CF9AE}" pid="9" name="MSIP_Label_a7295cc1-d279-42ac-ab4d-3b0f4fece050_SetDate">
    <vt:lpwstr>2025-04-30T07:00:51Z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90394de2-169d-4a88-8311-94aa24650090</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KSOProductBuildVer">
    <vt:lpwstr>2052-11.8.2.12085</vt:lpwstr>
  </property>
  <property fmtid="{D5CDD505-2E9C-101B-9397-08002B2CF9AE}" pid="17" name="ICV">
    <vt:lpwstr>3B35482AB3134A5B8002A24453359AB8</vt:lpwstr>
  </property>
</Properties>
</file>