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9"/>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Content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r w:rsidR="002D6B8B" w:rsidRPr="002D6B8B">
        <w:rPr>
          <w:i/>
          <w:iCs/>
          <w:lang w:eastAsia="sv-SE"/>
        </w:rPr>
        <w:t>RRCReconfigurationComplete</w:t>
      </w:r>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a9"/>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to take into accounts UE behaviour when confirming the assumption e.g., whether option A and option B result in different UE behavior</w:t>
            </w:r>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9"/>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바탕"/>
                <w:b/>
                <w:bCs/>
                <w:szCs w:val="24"/>
                <w:lang w:val="en-US" w:eastAsia="en-GB"/>
              </w:rPr>
            </w:pPr>
            <w:r w:rsidRPr="009F78BA">
              <w:rPr>
                <w:rFonts w:eastAsia="바탕"/>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9"/>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9"/>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hint="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w:t>
            </w:r>
            <w:r w:rsidRPr="00EB571A">
              <w:rPr>
                <w:rFonts w:ascii="Arial" w:eastAsiaTheme="minorEastAsia" w:hAnsi="Arial" w:cs="Arial"/>
                <w:sz w:val="20"/>
                <w:szCs w:val="20"/>
                <w:lang w:eastAsia="ko-KR"/>
              </w:rPr>
              <w:t>mi-persistent and aperiodic CSI reporting of applicable functionality is activated following legacy CSI framework:</w:t>
            </w:r>
          </w:p>
          <w:p w14:paraId="24D42CAA" w14:textId="77777777" w:rsidR="00A01A42" w:rsidRPr="00EB571A" w:rsidRDefault="00A01A42" w:rsidP="00E2302A">
            <w:pPr>
              <w:pStyle w:val="a7"/>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a7"/>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w:t>
            </w:r>
            <w:r w:rsidRPr="00EB571A">
              <w:rPr>
                <w:rFonts w:eastAsiaTheme="minorEastAsia" w:cs="Arial"/>
                <w:lang w:eastAsia="ko-KR"/>
              </w:rPr>
              <w:t>8</w:t>
            </w:r>
          </w:p>
          <w:p w14:paraId="1F3E069E" w14:textId="765C0FD5"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When a functionality configured by the network to be reported via UAI, becomes from non-applicable to applicable, the UE can reports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hint="eastAsia"/>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hint="eastAsia"/>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hint="eastAsia"/>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hint="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(i)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hint="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77777777" w:rsidR="0077227D" w:rsidRDefault="0077227D">
            <w:pPr>
              <w:jc w:val="center"/>
              <w:rPr>
                <w:lang w:eastAsia="sv-SE"/>
              </w:rPr>
            </w:pPr>
          </w:p>
        </w:tc>
        <w:tc>
          <w:tcPr>
            <w:tcW w:w="8011" w:type="dxa"/>
            <w:vAlign w:val="center"/>
          </w:tcPr>
          <w:p w14:paraId="69AF4698" w14:textId="77777777" w:rsidR="0077227D" w:rsidRDefault="0077227D">
            <w:pPr>
              <w:jc w:val="center"/>
              <w:rPr>
                <w:lang w:eastAsia="sv-SE"/>
              </w:rPr>
            </w:pPr>
          </w:p>
        </w:tc>
      </w:tr>
      <w:tr w:rsidR="0077227D" w14:paraId="101F2E47" w14:textId="77777777" w:rsidTr="0077227D">
        <w:tc>
          <w:tcPr>
            <w:tcW w:w="1614" w:type="dxa"/>
            <w:vAlign w:val="center"/>
          </w:tcPr>
          <w:p w14:paraId="5F8DFD73" w14:textId="77777777" w:rsidR="0077227D" w:rsidRDefault="0077227D">
            <w:pPr>
              <w:jc w:val="center"/>
              <w:rPr>
                <w:lang w:eastAsia="sv-SE"/>
              </w:rPr>
            </w:pPr>
          </w:p>
        </w:tc>
        <w:tc>
          <w:tcPr>
            <w:tcW w:w="8011" w:type="dxa"/>
            <w:vAlign w:val="center"/>
          </w:tcPr>
          <w:p w14:paraId="0E73EB86" w14:textId="77777777" w:rsidR="0077227D" w:rsidRDefault="0077227D">
            <w:pPr>
              <w:jc w:val="center"/>
              <w:rPr>
                <w:lang w:eastAsia="sv-SE"/>
              </w:rPr>
            </w:pPr>
          </w:p>
        </w:tc>
      </w:tr>
      <w:tr w:rsidR="0077227D" w14:paraId="01344A6A" w14:textId="77777777" w:rsidTr="0077227D">
        <w:tc>
          <w:tcPr>
            <w:tcW w:w="1614" w:type="dxa"/>
            <w:vAlign w:val="center"/>
          </w:tcPr>
          <w:p w14:paraId="173F0EEC" w14:textId="77777777" w:rsidR="0077227D" w:rsidRDefault="0077227D">
            <w:pPr>
              <w:jc w:val="center"/>
              <w:rPr>
                <w:lang w:eastAsia="sv-SE"/>
              </w:rPr>
            </w:pPr>
          </w:p>
        </w:tc>
        <w:tc>
          <w:tcPr>
            <w:tcW w:w="8011" w:type="dxa"/>
            <w:vAlign w:val="center"/>
          </w:tcPr>
          <w:p w14:paraId="5CAA02A5" w14:textId="77777777" w:rsidR="0077227D" w:rsidRDefault="0077227D">
            <w:pPr>
              <w:jc w:val="center"/>
              <w:rPr>
                <w:lang w:eastAsia="sv-SE"/>
              </w:rPr>
            </w:pPr>
          </w:p>
        </w:tc>
      </w:tr>
      <w:tr w:rsidR="0077227D" w14:paraId="5BC53796" w14:textId="77777777" w:rsidTr="0077227D">
        <w:tc>
          <w:tcPr>
            <w:tcW w:w="1614" w:type="dxa"/>
            <w:vAlign w:val="center"/>
          </w:tcPr>
          <w:p w14:paraId="4E176926" w14:textId="77777777" w:rsidR="0077227D" w:rsidRDefault="0077227D">
            <w:pPr>
              <w:jc w:val="center"/>
              <w:rPr>
                <w:lang w:eastAsia="sv-SE"/>
              </w:rPr>
            </w:pPr>
          </w:p>
        </w:tc>
        <w:tc>
          <w:tcPr>
            <w:tcW w:w="8011" w:type="dxa"/>
            <w:vAlign w:val="center"/>
          </w:tcPr>
          <w:p w14:paraId="2064F2D9" w14:textId="77777777" w:rsidR="0077227D" w:rsidRDefault="0077227D">
            <w:pPr>
              <w:jc w:val="center"/>
              <w:rPr>
                <w:lang w:eastAsia="sv-SE"/>
              </w:rPr>
            </w:pPr>
          </w:p>
        </w:tc>
      </w:tr>
      <w:tr w:rsidR="0077227D" w14:paraId="10E206FE" w14:textId="77777777" w:rsidTr="0077227D">
        <w:tc>
          <w:tcPr>
            <w:tcW w:w="1614" w:type="dxa"/>
            <w:vAlign w:val="center"/>
          </w:tcPr>
          <w:p w14:paraId="37F25DA5" w14:textId="77777777" w:rsidR="0077227D" w:rsidRDefault="0077227D">
            <w:pPr>
              <w:jc w:val="center"/>
              <w:rPr>
                <w:lang w:eastAsia="sv-SE"/>
              </w:rPr>
            </w:pPr>
          </w:p>
        </w:tc>
        <w:tc>
          <w:tcPr>
            <w:tcW w:w="8011" w:type="dxa"/>
            <w:vAlign w:val="center"/>
          </w:tcPr>
          <w:p w14:paraId="479A98BB" w14:textId="77777777" w:rsidR="0077227D" w:rsidRDefault="0077227D">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55C1A" w14:textId="77777777" w:rsidR="00137971" w:rsidRDefault="00137971">
      <w:pPr>
        <w:spacing w:after="0"/>
      </w:pPr>
      <w:r>
        <w:separator/>
      </w:r>
    </w:p>
  </w:endnote>
  <w:endnote w:type="continuationSeparator" w:id="0">
    <w:p w14:paraId="1BB976CF" w14:textId="77777777" w:rsidR="00137971" w:rsidRDefault="00137971">
      <w:pPr>
        <w:spacing w:after="0"/>
      </w:pPr>
      <w:r>
        <w:continuationSeparator/>
      </w:r>
    </w:p>
  </w:endnote>
  <w:endnote w:type="continuationNotice" w:id="1">
    <w:p w14:paraId="32A9B5CC" w14:textId="77777777" w:rsidR="00137971" w:rsidRDefault="001379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5</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5</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A249" w14:textId="77777777" w:rsidR="00137971" w:rsidRDefault="00137971">
      <w:pPr>
        <w:spacing w:after="0"/>
      </w:pPr>
      <w:r>
        <w:separator/>
      </w:r>
    </w:p>
  </w:footnote>
  <w:footnote w:type="continuationSeparator" w:id="0">
    <w:p w14:paraId="4F649092" w14:textId="77777777" w:rsidR="00137971" w:rsidRDefault="00137971">
      <w:pPr>
        <w:spacing w:after="0"/>
      </w:pPr>
      <w:r>
        <w:continuationSeparator/>
      </w:r>
    </w:p>
  </w:footnote>
  <w:footnote w:type="continuationNotice" w:id="1">
    <w:p w14:paraId="26564140" w14:textId="77777777" w:rsidR="00137971" w:rsidRDefault="001379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577981059">
    <w:abstractNumId w:val="1"/>
  </w:num>
  <w:num w:numId="2" w16cid:durableId="1879734718">
    <w:abstractNumId w:val="12"/>
  </w:num>
  <w:num w:numId="3" w16cid:durableId="1319842470">
    <w:abstractNumId w:val="14"/>
  </w:num>
  <w:num w:numId="4" w16cid:durableId="2136950202">
    <w:abstractNumId w:val="6"/>
  </w:num>
  <w:num w:numId="5" w16cid:durableId="1168714596">
    <w:abstractNumId w:val="4"/>
  </w:num>
  <w:num w:numId="6" w16cid:durableId="1350645569">
    <w:abstractNumId w:val="10"/>
  </w:num>
  <w:num w:numId="7" w16cid:durableId="1069159871">
    <w:abstractNumId w:val="7"/>
  </w:num>
  <w:num w:numId="8" w16cid:durableId="1585071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019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0914944">
    <w:abstractNumId w:val="9"/>
  </w:num>
  <w:num w:numId="11" w16cid:durableId="1891767588">
    <w:abstractNumId w:val="17"/>
  </w:num>
  <w:num w:numId="12" w16cid:durableId="1164121842">
    <w:abstractNumId w:val="0"/>
  </w:num>
  <w:num w:numId="13" w16cid:durableId="1199465425">
    <w:abstractNumId w:val="5"/>
  </w:num>
  <w:num w:numId="14" w16cid:durableId="1376393688">
    <w:abstractNumId w:val="16"/>
  </w:num>
  <w:num w:numId="15" w16cid:durableId="2108306154">
    <w:abstractNumId w:val="8"/>
  </w:num>
  <w:num w:numId="16" w16cid:durableId="1849562479">
    <w:abstractNumId w:val="15"/>
  </w:num>
  <w:num w:numId="17" w16cid:durableId="1077557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226657">
    <w:abstractNumId w:val="3"/>
  </w:num>
  <w:num w:numId="19" w16cid:durableId="688026843">
    <w:abstractNumId w:val="11"/>
  </w:num>
  <w:num w:numId="20" w16cid:durableId="1665207169">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54D7"/>
    <w:rsid w:val="00095F01"/>
    <w:rsid w:val="00096BA3"/>
    <w:rsid w:val="000A0223"/>
    <w:rsid w:val="000A22DB"/>
    <w:rsid w:val="000A2503"/>
    <w:rsid w:val="000A2F75"/>
    <w:rsid w:val="000A41B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6ADC"/>
    <w:rsid w:val="00126F75"/>
    <w:rsid w:val="001316FA"/>
    <w:rsid w:val="00131FE2"/>
    <w:rsid w:val="0013326F"/>
    <w:rsid w:val="0013328F"/>
    <w:rsid w:val="00134085"/>
    <w:rsid w:val="00134905"/>
    <w:rsid w:val="00136B4E"/>
    <w:rsid w:val="00137971"/>
    <w:rsid w:val="00137BC4"/>
    <w:rsid w:val="001415EA"/>
    <w:rsid w:val="00142C66"/>
    <w:rsid w:val="00143787"/>
    <w:rsid w:val="00143EF1"/>
    <w:rsid w:val="0014491F"/>
    <w:rsid w:val="00145102"/>
    <w:rsid w:val="00146F34"/>
    <w:rsid w:val="00150446"/>
    <w:rsid w:val="00151090"/>
    <w:rsid w:val="001524D5"/>
    <w:rsid w:val="0015458B"/>
    <w:rsid w:val="00154799"/>
    <w:rsid w:val="00155464"/>
    <w:rsid w:val="001559CE"/>
    <w:rsid w:val="00156370"/>
    <w:rsid w:val="00156AE4"/>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637"/>
    <w:rsid w:val="00192E02"/>
    <w:rsid w:val="001931FC"/>
    <w:rsid w:val="001933EA"/>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D3B"/>
    <w:rsid w:val="00243E94"/>
    <w:rsid w:val="002442DE"/>
    <w:rsid w:val="00244AD0"/>
    <w:rsid w:val="00244C54"/>
    <w:rsid w:val="00245DF4"/>
    <w:rsid w:val="00245ECC"/>
    <w:rsid w:val="00245F8D"/>
    <w:rsid w:val="00246383"/>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1DC"/>
    <w:rsid w:val="004F4C31"/>
    <w:rsid w:val="004F7E2D"/>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7CC"/>
    <w:rsid w:val="005D0C23"/>
    <w:rsid w:val="005D2441"/>
    <w:rsid w:val="005D2F62"/>
    <w:rsid w:val="005D307A"/>
    <w:rsid w:val="005D3700"/>
    <w:rsid w:val="005D3FEA"/>
    <w:rsid w:val="005D5E1E"/>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1B79"/>
    <w:rsid w:val="00822A85"/>
    <w:rsid w:val="00822F9A"/>
    <w:rsid w:val="008245C5"/>
    <w:rsid w:val="00824A3C"/>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65A"/>
    <w:rsid w:val="008D6B6E"/>
    <w:rsid w:val="008D7850"/>
    <w:rsid w:val="008D7ACA"/>
    <w:rsid w:val="008D7B66"/>
    <w:rsid w:val="008E0384"/>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539A"/>
    <w:rsid w:val="009373D7"/>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A7C"/>
    <w:rsid w:val="00AF6061"/>
    <w:rsid w:val="00AF611E"/>
    <w:rsid w:val="00AF645E"/>
    <w:rsid w:val="00AF6981"/>
    <w:rsid w:val="00AF7662"/>
    <w:rsid w:val="00B014AA"/>
    <w:rsid w:val="00B026FE"/>
    <w:rsid w:val="00B03D29"/>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메모 텍스트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af1">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2565</Words>
  <Characters>14623</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Soo Kim (LGE)</cp:lastModifiedBy>
  <cp:revision>4</cp:revision>
  <dcterms:created xsi:type="dcterms:W3CDTF">2025-04-27T03:54:00Z</dcterms:created>
  <dcterms:modified xsi:type="dcterms:W3CDTF">2025-04-27T04:41:00Z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