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[POST129][</w:t>
      </w:r>
      <w:proofErr w:type="gramStart"/>
      <w:r w:rsidRPr="00AD227B">
        <w:rPr>
          <w:rFonts w:ascii="Arial" w:eastAsia="MS Mincho" w:hAnsi="Arial"/>
          <w:b/>
          <w:szCs w:val="24"/>
          <w:lang w:eastAsia="en-GB"/>
        </w:rPr>
        <w:t>102][</w:t>
      </w:r>
      <w:proofErr w:type="gramEnd"/>
      <w:r w:rsidRPr="00AD227B">
        <w:rPr>
          <w:rFonts w:ascii="Arial" w:eastAsia="MS Mincho" w:hAnsi="Arial"/>
          <w:b/>
          <w:szCs w:val="24"/>
          <w:lang w:eastAsia="en-GB"/>
        </w:rPr>
        <w:t xml:space="preserve">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take into account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>are taken into account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proofErr w:type="spellStart"/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proofErr w:type="spellEnd"/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</w:t>
            </w:r>
            <w:r>
              <w:rPr>
                <w:bCs/>
                <w:lang w:val="en-US"/>
              </w:rPr>
              <w:t xml:space="preserve">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2D7EF67B" w14:textId="0EC91CBC" w:rsidR="00A01D9B" w:rsidRPr="00D45311" w:rsidRDefault="00A01D9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37DF9C01" w14:textId="5C1BDF5F" w:rsidR="00E87C65" w:rsidRPr="00D45311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4E01F267" w14:textId="1CFDB546" w:rsidR="00490F5B" w:rsidRPr="00D45311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RAN1 did provide parameter list, </w:t>
            </w:r>
            <w:proofErr w:type="spellStart"/>
            <w:r>
              <w:rPr>
                <w:bCs/>
                <w:lang w:val="en-US"/>
              </w:rPr>
              <w:t>tdoc</w:t>
            </w:r>
            <w:proofErr w:type="spellEnd"/>
            <w:r>
              <w:rPr>
                <w:bCs/>
                <w:lang w:val="en-US"/>
              </w:rPr>
              <w:t xml:space="preserve"> number is reflected on the running CR cover page.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264057AB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 xml:space="preserve">e. However, </w:t>
            </w:r>
            <w:r w:rsidR="00E06D49">
              <w:rPr>
                <w:bCs/>
                <w:lang w:val="en-US"/>
              </w:rPr>
              <w:t>5.2.2.5 does not</w:t>
            </w:r>
            <w:r w:rsidR="006B7A30">
              <w:rPr>
                <w:bCs/>
                <w:lang w:val="en-US"/>
              </w:rPr>
              <w:t xml:space="preserve"> capture the cell is considered as barred</w:t>
            </w:r>
            <w:r w:rsidR="00A60CA3">
              <w:rPr>
                <w:bCs/>
                <w:lang w:val="en-US"/>
              </w:rPr>
              <w:t>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78B9D978" w14:textId="2E20D04B" w:rsidR="00A60CA3" w:rsidRPr="00D45311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32B7C7C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ss-PBCH-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BlockPower</w:t>
            </w:r>
            <w:proofErr w:type="spellEnd"/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</w:t>
            </w:r>
            <w:proofErr w:type="spellStart"/>
            <w:r w:rsidRPr="00800448">
              <w:rPr>
                <w:rFonts w:eastAsia="DengXian"/>
                <w:bCs/>
                <w:color w:val="FF0000"/>
              </w:rPr>
              <w:t>frequencyInfoUL</w:t>
            </w:r>
            <w:proofErr w:type="spellEnd"/>
            <w:r w:rsidRPr="00800448">
              <w:rPr>
                <w:rFonts w:eastAsia="DengXian"/>
                <w:bCs/>
                <w:color w:val="FF0000"/>
              </w:rPr>
              <w:t>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 xml:space="preserve">ng structure is not set in stone by it. Especially first version can be taken more like indicative as long as the functionality is what is </w:t>
            </w:r>
            <w:proofErr w:type="spellStart"/>
            <w:proofErr w:type="gramStart"/>
            <w:r w:rsidR="00C236D5">
              <w:rPr>
                <w:bCs/>
                <w:lang w:val="en-US"/>
              </w:rPr>
              <w:t>suppose</w:t>
            </w:r>
            <w:proofErr w:type="gramEnd"/>
            <w:r w:rsidR="00C236D5">
              <w:rPr>
                <w:bCs/>
                <w:lang w:val="en-US"/>
              </w:rPr>
              <w:t xml:space="preserve"> to</w:t>
            </w:r>
            <w:proofErr w:type="spellEnd"/>
            <w:r w:rsidR="00C236D5">
              <w:rPr>
                <w:bCs/>
                <w:lang w:val="en-US"/>
              </w:rPr>
              <w:t xml:space="preserve">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</w:t>
            </w:r>
            <w:proofErr w:type="spellStart"/>
            <w:proofErr w:type="gramEnd"/>
            <w:r w:rsidRPr="009B34F7">
              <w:rPr>
                <w:bCs/>
                <w:lang w:val="en-US"/>
              </w:rPr>
              <w:t>frequencyInfoUL</w:t>
            </w:r>
            <w:proofErr w:type="spellEnd"/>
            <w:r w:rsidRPr="009B34F7">
              <w:rPr>
                <w:bCs/>
                <w:lang w:val="en-US"/>
              </w:rPr>
              <w:t>]</w:t>
            </w:r>
            <w:r>
              <w:rPr>
                <w:bCs/>
                <w:lang w:val="en-US"/>
              </w:rPr>
              <w:t xml:space="preserve">, it is not clear if it is really needed or feasible. RRC has IE by that </w:t>
            </w:r>
            <w:proofErr w:type="gramStart"/>
            <w:r>
              <w:rPr>
                <w:bCs/>
                <w:lang w:val="en-US"/>
              </w:rPr>
              <w:t>name</w:t>
            </w:r>
            <w:proofErr w:type="gramEnd"/>
            <w:r>
              <w:rPr>
                <w:bCs/>
                <w:lang w:val="en-US"/>
              </w:rPr>
              <w:t xml:space="preserve"> and this seems to be quite different in content</w:t>
            </w:r>
            <w:r w:rsidR="001E4B24">
              <w:rPr>
                <w:bCs/>
                <w:lang w:val="en-US"/>
              </w:rPr>
              <w:t xml:space="preserve">. It may be that it makes sense to make separate IE for this type of parameters but maybe </w:t>
            </w:r>
            <w:r w:rsidR="001E4B24">
              <w:rPr>
                <w:bCs/>
                <w:lang w:val="en-US"/>
              </w:rPr>
              <w:lastRenderedPageBreak/>
              <w:t>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2016743F" w14:textId="28D045F9" w:rsidR="006D5A8E" w:rsidRPr="00D45311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87491FF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1B11BA8E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281" w:type="dxa"/>
          </w:tcPr>
          <w:p w14:paraId="122EA80A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2BA6323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37A0669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281" w:type="dxa"/>
          </w:tcPr>
          <w:p w14:paraId="5B54DC09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4445A45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D47DD6F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281" w:type="dxa"/>
          </w:tcPr>
          <w:p w14:paraId="7906D964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1E86" w14:textId="77777777" w:rsidR="00C41A0B" w:rsidRDefault="00C41A0B">
      <w:pPr>
        <w:spacing w:after="0"/>
      </w:pPr>
      <w:r>
        <w:separator/>
      </w:r>
    </w:p>
  </w:endnote>
  <w:endnote w:type="continuationSeparator" w:id="0">
    <w:p w14:paraId="22072AA6" w14:textId="77777777" w:rsidR="00C41A0B" w:rsidRDefault="00C41A0B">
      <w:pPr>
        <w:spacing w:after="0"/>
      </w:pPr>
      <w:r>
        <w:continuationSeparator/>
      </w:r>
    </w:p>
  </w:endnote>
  <w:endnote w:type="continuationNotice" w:id="1">
    <w:p w14:paraId="689A8DE5" w14:textId="77777777" w:rsidR="00C41A0B" w:rsidRDefault="00C41A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D5E4" w14:textId="77777777" w:rsidR="00C41A0B" w:rsidRDefault="00C41A0B">
      <w:pPr>
        <w:spacing w:after="0"/>
      </w:pPr>
      <w:r>
        <w:separator/>
      </w:r>
    </w:p>
  </w:footnote>
  <w:footnote w:type="continuationSeparator" w:id="0">
    <w:p w14:paraId="6FA37197" w14:textId="77777777" w:rsidR="00C41A0B" w:rsidRDefault="00C41A0B">
      <w:pPr>
        <w:spacing w:after="0"/>
      </w:pPr>
      <w:r>
        <w:continuationSeparator/>
      </w:r>
    </w:p>
  </w:footnote>
  <w:footnote w:type="continuationNotice" w:id="1">
    <w:p w14:paraId="5FEF7B0E" w14:textId="77777777" w:rsidR="00C41A0B" w:rsidRDefault="00C41A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745801548">
    <w:abstractNumId w:val="16"/>
  </w:num>
  <w:num w:numId="2" w16cid:durableId="1266763942">
    <w:abstractNumId w:val="13"/>
  </w:num>
  <w:num w:numId="3" w16cid:durableId="889998047">
    <w:abstractNumId w:val="18"/>
  </w:num>
  <w:num w:numId="4" w16cid:durableId="899562734">
    <w:abstractNumId w:val="25"/>
  </w:num>
  <w:num w:numId="5" w16cid:durableId="1704674243">
    <w:abstractNumId w:val="19"/>
  </w:num>
  <w:num w:numId="6" w16cid:durableId="1145315304">
    <w:abstractNumId w:val="4"/>
  </w:num>
  <w:num w:numId="7" w16cid:durableId="1830368012">
    <w:abstractNumId w:val="23"/>
  </w:num>
  <w:num w:numId="8" w16cid:durableId="1547985055">
    <w:abstractNumId w:val="24"/>
  </w:num>
  <w:num w:numId="9" w16cid:durableId="1611009872">
    <w:abstractNumId w:val="5"/>
  </w:num>
  <w:num w:numId="10" w16cid:durableId="966012115">
    <w:abstractNumId w:val="14"/>
  </w:num>
  <w:num w:numId="11" w16cid:durableId="1791971986">
    <w:abstractNumId w:val="7"/>
  </w:num>
  <w:num w:numId="12" w16cid:durableId="1451053650">
    <w:abstractNumId w:val="0"/>
  </w:num>
  <w:num w:numId="13" w16cid:durableId="599528200">
    <w:abstractNumId w:val="26"/>
  </w:num>
  <w:num w:numId="14" w16cid:durableId="1206333626">
    <w:abstractNumId w:val="22"/>
  </w:num>
  <w:num w:numId="15" w16cid:durableId="420030534">
    <w:abstractNumId w:val="9"/>
  </w:num>
  <w:num w:numId="16" w16cid:durableId="2051227458">
    <w:abstractNumId w:val="15"/>
  </w:num>
  <w:num w:numId="17" w16cid:durableId="434908388">
    <w:abstractNumId w:val="12"/>
  </w:num>
  <w:num w:numId="18" w16cid:durableId="2045865412">
    <w:abstractNumId w:val="21"/>
  </w:num>
  <w:num w:numId="19" w16cid:durableId="493378457">
    <w:abstractNumId w:val="2"/>
  </w:num>
  <w:num w:numId="20" w16cid:durableId="854996183">
    <w:abstractNumId w:val="6"/>
  </w:num>
  <w:num w:numId="21" w16cid:durableId="1403681594">
    <w:abstractNumId w:val="10"/>
  </w:num>
  <w:num w:numId="22" w16cid:durableId="2134665512">
    <w:abstractNumId w:val="20"/>
  </w:num>
  <w:num w:numId="23" w16cid:durableId="1446465834">
    <w:abstractNumId w:val="17"/>
  </w:num>
  <w:num w:numId="24" w16cid:durableId="1533302399">
    <w:abstractNumId w:val="8"/>
  </w:num>
  <w:num w:numId="25" w16cid:durableId="926303756">
    <w:abstractNumId w:val="11"/>
  </w:num>
  <w:num w:numId="26" w16cid:durableId="1859082304">
    <w:abstractNumId w:val="1"/>
  </w:num>
  <w:num w:numId="27" w16cid:durableId="9959128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6CC6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B0E4C"/>
    <w:rsid w:val="006B0E6F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3617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FC4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1091"/>
    <w:rsid w:val="00A915F7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09F8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docId w15:val="{DDDAF76B-9ACF-4185-856E-2C21E9C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ER_Rapp Post129_HL</cp:lastModifiedBy>
  <cp:revision>2</cp:revision>
  <dcterms:created xsi:type="dcterms:W3CDTF">2025-03-13T15:09:00Z</dcterms:created>
  <dcterms:modified xsi:type="dcterms:W3CDTF">2025-03-13T15:09:00Z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</Properties>
</file>