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f1"/>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607F10">
            <w:pPr>
              <w:pStyle w:val="TAL"/>
              <w:rPr>
                <w:lang w:eastAsia="zh-CN"/>
              </w:rPr>
            </w:pPr>
            <w:hyperlink r:id="rId12" w:history="1">
              <w:r w:rsidR="00726E00" w:rsidRPr="002A2649">
                <w:rPr>
                  <w:rStyle w:val="af2"/>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2845D6" w:rsidRDefault="002845D6" w:rsidP="002845D6">
            <w:pPr>
              <w:pStyle w:val="TAL"/>
              <w:rPr>
                <w:lang w:eastAsia="zh-CN"/>
              </w:rPr>
            </w:pPr>
          </w:p>
        </w:tc>
      </w:tr>
      <w:tr w:rsidR="002845D6"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2845D6" w:rsidRDefault="002845D6" w:rsidP="002845D6">
            <w:pPr>
              <w:pStyle w:val="TAL"/>
              <w:rPr>
                <w:lang w:eastAsia="zh-CN"/>
              </w:rPr>
            </w:pPr>
          </w:p>
        </w:tc>
      </w:tr>
      <w:tr w:rsidR="002845D6"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2845D6" w:rsidRDefault="002845D6" w:rsidP="002845D6">
            <w:pPr>
              <w:pStyle w:val="TAL"/>
              <w:rPr>
                <w:lang w:eastAsia="zh-CN"/>
              </w:rPr>
            </w:pPr>
          </w:p>
        </w:tc>
      </w:tr>
      <w:tr w:rsidR="002845D6"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2845D6" w:rsidRDefault="002845D6" w:rsidP="002845D6">
            <w:pPr>
              <w:pStyle w:val="TAL"/>
              <w:rPr>
                <w:lang w:eastAsia="zh-CN"/>
              </w:rPr>
            </w:pPr>
          </w:p>
        </w:tc>
      </w:tr>
      <w:tr w:rsidR="002845D6"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2845D6" w:rsidRDefault="002845D6" w:rsidP="002845D6">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f1"/>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f4"/>
              <w:numPr>
                <w:ilvl w:val="0"/>
                <w:numId w:val="36"/>
              </w:numPr>
            </w:pPr>
            <w:r>
              <w:lastRenderedPageBreak/>
              <w:t>Whether any new measurement, as Xiaomi mentioned</w:t>
            </w:r>
          </w:p>
          <w:p w14:paraId="333444AC" w14:textId="77777777" w:rsidR="00D926E9" w:rsidRDefault="00D926E9" w:rsidP="00D926E9">
            <w:pPr>
              <w:pStyle w:val="af4"/>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f4"/>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f4"/>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w:t>
            </w:r>
            <w:proofErr w:type="spellStart"/>
            <w:r>
              <w:t>AoD</w:t>
            </w:r>
            <w:proofErr w:type="spellEnd"/>
            <w:r>
              <w:t xml:space="preserve">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w:t>
            </w:r>
            <w:proofErr w:type="spellStart"/>
            <w:r>
              <w:t>AoD</w:t>
            </w:r>
            <w:proofErr w:type="spellEnd"/>
            <w:r>
              <w:t>,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w:t>
            </w:r>
            <w:r>
              <w:rPr>
                <w:lang w:eastAsia="zh-CN"/>
              </w:rPr>
              <w:lastRenderedPageBreak/>
              <w:t>AIML predictions in addition to measurements. In that case, we should try to enhance existing methods unless critical issues with this approach are identified.</w:t>
            </w:r>
          </w:p>
        </w:tc>
      </w:tr>
      <w:tr w:rsidR="00296328" w14:paraId="2A2BB103" w14:textId="77777777" w:rsidTr="0048589B">
        <w:trPr>
          <w:trHeight w:val="449"/>
        </w:trPr>
        <w:tc>
          <w:tcPr>
            <w:tcW w:w="1781" w:type="dxa"/>
          </w:tcPr>
          <w:p w14:paraId="4F47820D" w14:textId="3DE4D031" w:rsidR="00296328" w:rsidRDefault="00296328" w:rsidP="00296328">
            <w:pPr>
              <w:rPr>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w:t>
            </w:r>
            <w:proofErr w:type="spellStart"/>
            <w:r>
              <w:rPr>
                <w:lang w:eastAsia="zh-CN"/>
              </w:rPr>
              <w:t>AoD</w:t>
            </w:r>
            <w:proofErr w:type="spellEnd"/>
            <w:r>
              <w:rPr>
                <w:lang w:eastAsia="zh-CN"/>
              </w:rPr>
              <w:t>), and therefore it would be a cleaner design to introduce a new method. Re-using existing methods may risk overloading the current methods, e.g., DL-TDOA and DL-</w:t>
            </w:r>
            <w:proofErr w:type="spellStart"/>
            <w:r>
              <w:rPr>
                <w:lang w:eastAsia="zh-CN"/>
              </w:rPr>
              <w:t>AoD</w:t>
            </w:r>
            <w:proofErr w:type="spellEnd"/>
            <w:r>
              <w:rPr>
                <w:lang w:eastAsia="zh-CN"/>
              </w:rPr>
              <w:t>.</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0048589B">
        <w:trPr>
          <w:trHeight w:val="449"/>
        </w:trPr>
        <w:tc>
          <w:tcPr>
            <w:tcW w:w="1781" w:type="dxa"/>
          </w:tcPr>
          <w:p w14:paraId="24A50754" w14:textId="425AE36F" w:rsidR="001073E2" w:rsidRDefault="001073E2" w:rsidP="00296328">
            <w:pPr>
              <w:rPr>
                <w:rFonts w:hint="eastAsia"/>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 xml:space="preserve">there is </w:t>
            </w:r>
            <w:r>
              <w:rPr>
                <w:lang w:eastAsia="zh-CN"/>
              </w:rPr>
              <w:t>new</w:t>
            </w:r>
            <w:r>
              <w:rPr>
                <w:lang w:eastAsia="zh-CN"/>
              </w:rPr>
              <w:t xml:space="preserve"> measurement type</w:t>
            </w:r>
            <w:r>
              <w:rPr>
                <w:lang w:eastAsia="zh-CN"/>
              </w:rPr>
              <w:t>;</w:t>
            </w:r>
          </w:p>
          <w:p w14:paraId="6A16D4C4" w14:textId="08CDDCC8" w:rsidR="001073E2" w:rsidRPr="002A0E0D" w:rsidRDefault="002A0E0D" w:rsidP="00296328">
            <w:pPr>
              <w:rPr>
                <w:rFonts w:hint="eastAsia"/>
                <w:lang w:eastAsia="zh-CN"/>
              </w:rPr>
            </w:pPr>
            <w:r>
              <w:rPr>
                <w:rFonts w:hint="eastAsia"/>
                <w:lang w:eastAsia="zh-CN"/>
              </w:rPr>
              <w:t>T</w:t>
            </w:r>
            <w:r>
              <w:rPr>
                <w:lang w:eastAsia="zh-CN"/>
              </w:rPr>
              <w:t>he dependency with non-AI based positioning method.</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f1"/>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t>Agreement</w:t>
            </w:r>
          </w:p>
          <w:p w14:paraId="038B9708" w14:textId="77777777" w:rsidR="00786757" w:rsidRPr="00A53E20" w:rsidRDefault="00786757" w:rsidP="00786757">
            <w:r w:rsidRPr="00A53E20">
              <w:lastRenderedPageBreak/>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lastRenderedPageBreak/>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lastRenderedPageBreak/>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a6"/>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a6"/>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r>
              <w:rPr>
                <w:rFonts w:hint="eastAsia"/>
                <w:lang w:eastAsia="zh-CN"/>
              </w:rPr>
              <w:t>I</w:t>
            </w:r>
            <w:r>
              <w:rPr>
                <w:lang w:eastAsia="zh-CN"/>
              </w:rPr>
              <w:t xml:space="preserve">t can be seen that RAN1 assumes that legacy UE-based DL-TDOA is re-used, and all assistance information from that can be provided. </w:t>
            </w:r>
            <w:proofErr w:type="gramStart"/>
            <w:r>
              <w:rPr>
                <w:lang w:eastAsia="zh-CN"/>
              </w:rPr>
              <w:t>So</w:t>
            </w:r>
            <w:proofErr w:type="gramEnd"/>
            <w:r>
              <w:rPr>
                <w:lang w:eastAsia="zh-CN"/>
              </w:rPr>
              <w:t xml:space="preserve"> it is more reasonable to enhance legacy positioning methods to support AI-based positioning, instead of defining a new one and copying all the information there.</w:t>
            </w:r>
          </w:p>
        </w:tc>
      </w:tr>
      <w:tr w:rsidR="00261C8C" w14:paraId="55DF9110" w14:textId="77777777">
        <w:tc>
          <w:tcPr>
            <w:tcW w:w="1529" w:type="dxa"/>
          </w:tcPr>
          <w:p w14:paraId="79BA18C2" w14:textId="1BA4F18F" w:rsidR="00261C8C" w:rsidRDefault="00261C8C" w:rsidP="00261C8C">
            <w:pPr>
              <w:rPr>
                <w:lang w:eastAsia="zh-CN"/>
              </w:rPr>
            </w:pPr>
            <w:r>
              <w:rPr>
                <w:rFonts w:hint="eastAsia"/>
                <w:lang w:eastAsia="zh-CN"/>
              </w:rPr>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a6"/>
              <w:rPr>
                <w:lang w:eastAsia="zh-CN"/>
              </w:rPr>
            </w:pPr>
            <w:r>
              <w:t>Based on our replies in Question 1</w:t>
            </w:r>
          </w:p>
        </w:tc>
      </w:tr>
      <w:tr w:rsidR="00A93E1F" w14:paraId="7F4B7BEC" w14:textId="77777777">
        <w:tc>
          <w:tcPr>
            <w:tcW w:w="1529" w:type="dxa"/>
          </w:tcPr>
          <w:p w14:paraId="02AE30B8" w14:textId="5A16BDA0" w:rsidR="00A93E1F" w:rsidRDefault="00A93E1F" w:rsidP="00261C8C">
            <w:pPr>
              <w:rPr>
                <w:rFonts w:hint="eastAsia"/>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rFonts w:hint="eastAsia"/>
                <w:lang w:eastAsia="zh-CN"/>
              </w:rPr>
            </w:pPr>
            <w:r>
              <w:rPr>
                <w:rFonts w:hint="eastAsia"/>
                <w:lang w:eastAsia="zh-CN"/>
              </w:rPr>
              <w:t>B</w:t>
            </w:r>
          </w:p>
        </w:tc>
        <w:tc>
          <w:tcPr>
            <w:tcW w:w="6525" w:type="dxa"/>
          </w:tcPr>
          <w:p w14:paraId="7621872B" w14:textId="3359B2FB" w:rsidR="00A93E1F" w:rsidRDefault="00A93E1F" w:rsidP="00261C8C">
            <w:pPr>
              <w:pStyle w:val="a6"/>
            </w:pPr>
            <w:r>
              <w:t>A new method</w:t>
            </w:r>
            <w:r>
              <w:t xml:space="preserve"> is more future proof.</w:t>
            </w:r>
          </w:p>
        </w:tc>
      </w:tr>
    </w:tbl>
    <w:p w14:paraId="335CDB19" w14:textId="6BEBDD8F"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proofErr w:type="spellStart"/>
      <w:r>
        <w:t>Signaling</w:t>
      </w:r>
      <w:proofErr w:type="spellEnd"/>
      <w:r>
        <w:t xml:space="preserve">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f1"/>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f1"/>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lastRenderedPageBreak/>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00027DF0">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00027DF0">
        <w:tc>
          <w:tcPr>
            <w:tcW w:w="1512" w:type="dxa"/>
          </w:tcPr>
          <w:p w14:paraId="3EF0DFC8" w14:textId="2FFEE5DE" w:rsidR="00951C09" w:rsidRDefault="00951C09" w:rsidP="006168AD">
            <w:pPr>
              <w:rPr>
                <w:rFonts w:hint="eastAsia"/>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w:t>
            </w:r>
            <w:r>
              <w:rPr>
                <w:lang w:eastAsia="zh-CN"/>
              </w:rPr>
              <w:lastRenderedPageBreak/>
              <w:t xml:space="preserve">implicitly know which </w:t>
            </w:r>
            <w:r>
              <w:rPr>
                <w:lang w:eastAsia="zh-CN"/>
              </w:rPr>
              <w:t>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f1"/>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f4"/>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f4"/>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f4"/>
              <w:numPr>
                <w:ilvl w:val="0"/>
                <w:numId w:val="38"/>
              </w:numPr>
            </w:pPr>
            <w:r>
              <w:lastRenderedPageBreak/>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lastRenderedPageBreak/>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w:t>
            </w:r>
            <w:proofErr w:type="spellStart"/>
            <w:r>
              <w:t>fall-back</w:t>
            </w:r>
            <w:proofErr w:type="spellEnd"/>
            <w:r>
              <w:t xml:space="preserve">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proofErr w:type="gramStart"/>
            <w:r>
              <w:rPr>
                <w:lang w:eastAsia="zh-CN"/>
              </w:rPr>
              <w:t>However</w:t>
            </w:r>
            <w:proofErr w:type="gramEnd"/>
            <w:r>
              <w:rPr>
                <w:lang w:eastAsia="zh-CN"/>
              </w:rPr>
              <w:t xml:space="preserve"> there is a fixed QoS (including latency) from LCS client. LCS client does not care whether the UE is using AI or not, it just cares that UE should response the required estimated location on time. </w:t>
            </w:r>
            <w:proofErr w:type="gramStart"/>
            <w:r>
              <w:rPr>
                <w:lang w:eastAsia="zh-CN"/>
              </w:rPr>
              <w:t>So</w:t>
            </w:r>
            <w:proofErr w:type="gramEnd"/>
            <w:r>
              <w:rPr>
                <w:lang w:eastAsia="zh-CN"/>
              </w:rPr>
              <w:t xml:space="preserve">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lastRenderedPageBreak/>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00AC43D2">
        <w:tc>
          <w:tcPr>
            <w:tcW w:w="1508" w:type="dxa"/>
          </w:tcPr>
          <w:p w14:paraId="241952E8" w14:textId="320232FE" w:rsidR="00133F74" w:rsidRDefault="00133F74" w:rsidP="00133F74">
            <w:pPr>
              <w:rPr>
                <w:lang w:eastAsia="zh-CN"/>
              </w:rPr>
            </w:pPr>
            <w:r>
              <w:rPr>
                <w:rFonts w:hint="eastAsia"/>
                <w:lang w:eastAsia="zh-CN"/>
              </w:rPr>
              <w:lastRenderedPageBreak/>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00AC43D2">
        <w:tc>
          <w:tcPr>
            <w:tcW w:w="1508" w:type="dxa"/>
          </w:tcPr>
          <w:p w14:paraId="047B2CB0" w14:textId="3B710BA2" w:rsidR="00AE644E" w:rsidRDefault="00AE644E" w:rsidP="00AE644E">
            <w:pPr>
              <w:rPr>
                <w:rFonts w:hint="eastAsia"/>
                <w:lang w:eastAsia="zh-CN"/>
              </w:rPr>
            </w:pPr>
            <w:r>
              <w:rPr>
                <w:rFonts w:hint="eastAsia"/>
                <w:lang w:eastAsia="zh-CN"/>
              </w:rPr>
              <w:t>O</w:t>
            </w:r>
            <w:r>
              <w:rPr>
                <w:lang w:eastAsia="zh-CN"/>
              </w:rPr>
              <w:t>PPO</w:t>
            </w:r>
          </w:p>
        </w:tc>
        <w:tc>
          <w:tcPr>
            <w:tcW w:w="1527" w:type="dxa"/>
          </w:tcPr>
          <w:p w14:paraId="046E00E2" w14:textId="69AE7A06" w:rsidR="00AE644E" w:rsidRDefault="00AE644E" w:rsidP="00AE644E">
            <w:pPr>
              <w:rPr>
                <w:rFonts w:hint="eastAsia"/>
                <w:lang w:eastAsia="zh-CN"/>
              </w:rPr>
            </w:pPr>
            <w:r>
              <w:t>Disagree</w:t>
            </w:r>
          </w:p>
        </w:tc>
        <w:tc>
          <w:tcPr>
            <w:tcW w:w="6320" w:type="dxa"/>
          </w:tcPr>
          <w:p w14:paraId="0B248046" w14:textId="658C28DF" w:rsidR="00AE644E" w:rsidRDefault="00AE644E" w:rsidP="00AE644E">
            <w:pPr>
              <w:rPr>
                <w:rFonts w:hint="eastAsia"/>
                <w:lang w:eastAsia="zh-CN"/>
              </w:rPr>
            </w:pPr>
            <w:r>
              <w:rPr>
                <w:lang w:val="en-GB" w:eastAsia="zh-CN"/>
              </w:rPr>
              <w:t>Rely on error reporting can be sufficient.</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f1"/>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lastRenderedPageBreak/>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message or a failure message is received. This is aligned with the principle of BM case where the functionality management is under NW control.</w:t>
            </w:r>
          </w:p>
        </w:tc>
      </w:tr>
      <w:tr w:rsidR="00A17E76" w14:paraId="56EB5BDF" w14:textId="77777777" w:rsidTr="007F0784">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tep 5 is more preferable as this step triggers the UE to provide the Location.</w:t>
            </w:r>
          </w:p>
        </w:tc>
      </w:tr>
      <w:tr w:rsidR="00AE644E" w14:paraId="0380061A" w14:textId="77777777" w:rsidTr="007F0784">
        <w:trPr>
          <w:trHeight w:val="428"/>
        </w:trPr>
        <w:tc>
          <w:tcPr>
            <w:tcW w:w="1944" w:type="dxa"/>
          </w:tcPr>
          <w:p w14:paraId="44080B8B" w14:textId="46DA9542" w:rsidR="00AE644E" w:rsidRDefault="00AE644E" w:rsidP="00A17E76">
            <w:pPr>
              <w:rPr>
                <w:rFonts w:hint="eastAsia"/>
                <w:lang w:eastAsia="zh-CN"/>
              </w:rPr>
            </w:pPr>
            <w:r>
              <w:rPr>
                <w:rFonts w:hint="eastAsia"/>
                <w:lang w:eastAsia="zh-CN"/>
              </w:rPr>
              <w:t>O</w:t>
            </w:r>
            <w:r>
              <w:rPr>
                <w:lang w:eastAsia="zh-CN"/>
              </w:rPr>
              <w:t>PPO</w:t>
            </w:r>
          </w:p>
        </w:tc>
        <w:tc>
          <w:tcPr>
            <w:tcW w:w="8299" w:type="dxa"/>
          </w:tcPr>
          <w:p w14:paraId="03AF9F54" w14:textId="45FDA575" w:rsidR="00AE644E" w:rsidRDefault="00AE644E" w:rsidP="00A17E76">
            <w:pPr>
              <w:rPr>
                <w:rFonts w:hint="eastAsia"/>
                <w:lang w:eastAsia="zh-CN"/>
              </w:rPr>
            </w:pPr>
            <w:r>
              <w:rPr>
                <w:rFonts w:hint="eastAsia"/>
                <w:lang w:eastAsia="zh-CN"/>
              </w:rPr>
              <w:t>S</w:t>
            </w:r>
            <w:r>
              <w:rPr>
                <w:lang w:eastAsia="zh-CN"/>
              </w:rPr>
              <w:t>ee answer in Q4</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5C846399" w:rsidR="00593AE8" w:rsidRPr="00DE611B" w:rsidRDefault="00593AE8">
            <w:r>
              <w:rPr>
                <w:rFonts w:hint="eastAsia"/>
              </w:rPr>
              <w:t>v</w:t>
            </w:r>
            <w:r>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15D61E93" w:rsidR="00B65FEA" w:rsidRPr="006162F7" w:rsidRDefault="00B65FEA" w:rsidP="00B65FEA">
            <w:r>
              <w:t>If a LMF allows/requests multiple positioning methods, the request is normally a request for "hybrid positioning".</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w:t>
            </w:r>
            <w:proofErr w:type="spellStart"/>
            <w:r>
              <w:rPr>
                <w:lang w:eastAsia="zh-CN"/>
              </w:rPr>
              <w:t>AoD</w:t>
            </w:r>
            <w:proofErr w:type="spellEnd"/>
            <w:r>
              <w:rPr>
                <w:lang w:eastAsia="zh-CN"/>
              </w:rPr>
              <w:t xml:space="preserve"> can be the fallback option.</w:t>
            </w:r>
          </w:p>
        </w:tc>
      </w:tr>
      <w:tr w:rsidR="00860FBF" w14:paraId="39F54302" w14:textId="77777777">
        <w:trPr>
          <w:trHeight w:val="428"/>
        </w:trPr>
        <w:tc>
          <w:tcPr>
            <w:tcW w:w="1944" w:type="dxa"/>
          </w:tcPr>
          <w:p w14:paraId="4EEE7051" w14:textId="13B5EAC7" w:rsidR="00860FBF" w:rsidRDefault="00860FBF" w:rsidP="00860FB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299" w:type="dxa"/>
          </w:tcPr>
          <w:p w14:paraId="2C57A8D8" w14:textId="44FC8585" w:rsidR="00860FBF" w:rsidRDefault="00860FBF" w:rsidP="00860FBF">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CC1AE8" w14:paraId="21F71682" w14:textId="77777777">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w:t>
            </w:r>
            <w:proofErr w:type="spellStart"/>
            <w:r>
              <w:rPr>
                <w:lang w:eastAsia="zh-CN"/>
              </w:rPr>
              <w:t>AoD</w:t>
            </w:r>
            <w:proofErr w:type="spellEnd"/>
            <w:r>
              <w:rPr>
                <w:rFonts w:hint="eastAsia"/>
                <w:lang w:eastAsia="zh-CN"/>
              </w:rPr>
              <w:t xml:space="preserve">. </w:t>
            </w:r>
          </w:p>
        </w:tc>
      </w:tr>
      <w:tr w:rsidR="00AE644E" w14:paraId="26D78B02" w14:textId="77777777">
        <w:trPr>
          <w:trHeight w:val="428"/>
        </w:trPr>
        <w:tc>
          <w:tcPr>
            <w:tcW w:w="1944" w:type="dxa"/>
          </w:tcPr>
          <w:p w14:paraId="49D040AC" w14:textId="39CFBD34" w:rsidR="00AE644E" w:rsidRDefault="00AE644E" w:rsidP="00CC1AE8">
            <w:pPr>
              <w:rPr>
                <w:rFonts w:hint="eastAsia"/>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rFonts w:hint="eastAsia"/>
                <w:lang w:eastAsia="zh-CN"/>
              </w:rPr>
            </w:pPr>
            <w:r>
              <w:rPr>
                <w:rFonts w:hint="eastAsia"/>
                <w:lang w:eastAsia="zh-CN"/>
              </w:rPr>
              <w:t>S</w:t>
            </w:r>
            <w:r>
              <w:rPr>
                <w:lang w:eastAsia="zh-CN"/>
              </w:rPr>
              <w:t>ee answer in Q4</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 xml:space="preserve">If a UE supports both AI and legacy positioning, AI will be an upgraded version compared to legacy positioning. </w:t>
            </w:r>
            <w:proofErr w:type="gramStart"/>
            <w:r>
              <w:rPr>
                <w:lang w:eastAsia="zh-CN"/>
              </w:rPr>
              <w:t>So</w:t>
            </w:r>
            <w:proofErr w:type="gramEnd"/>
            <w:r>
              <w:rPr>
                <w:lang w:eastAsia="zh-CN"/>
              </w:rPr>
              <w:t xml:space="preserve">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trPr>
          <w:trHeight w:val="428"/>
        </w:trPr>
        <w:tc>
          <w:tcPr>
            <w:tcW w:w="1944" w:type="dxa"/>
          </w:tcPr>
          <w:p w14:paraId="78EAC6C3" w14:textId="49BB3DF7" w:rsidR="005E73FF" w:rsidRDefault="005E73FF" w:rsidP="005E73FF">
            <w:pPr>
              <w:rPr>
                <w:lang w:eastAsia="zh-CN"/>
              </w:rPr>
            </w:pPr>
            <w:r>
              <w:rPr>
                <w:rFonts w:hint="eastAsia"/>
                <w:lang w:eastAsia="zh-CN"/>
              </w:rPr>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Suggest to discuss and conclude fallback first and see if additional discussion is needed.</w:t>
            </w:r>
          </w:p>
        </w:tc>
      </w:tr>
      <w:tr w:rsidR="00077063" w14:paraId="0FA62606" w14:textId="77777777">
        <w:trPr>
          <w:trHeight w:val="428"/>
        </w:trPr>
        <w:tc>
          <w:tcPr>
            <w:tcW w:w="1944" w:type="dxa"/>
          </w:tcPr>
          <w:p w14:paraId="6CF37E11" w14:textId="1EAD8F48" w:rsidR="00077063" w:rsidRDefault="00077063" w:rsidP="00077063">
            <w:pPr>
              <w:rPr>
                <w:rFonts w:hint="eastAsia"/>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rFonts w:hint="eastAsia"/>
                <w:lang w:eastAsia="zh-CN"/>
              </w:rPr>
            </w:pPr>
            <w:r>
              <w:t>Not support. Rely on LMF reconfiguration</w:t>
            </w:r>
            <w:r>
              <w:rPr>
                <w:lang w:val="en-GB" w:eastAsia="zh-CN"/>
              </w:rPr>
              <w:t xml:space="preserve"> can be sufficient</w:t>
            </w:r>
            <w:r>
              <w:rPr>
                <w:lang w:val="en-GB" w:eastAsia="zh-CN"/>
              </w:rPr>
              <w:t>.</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f1"/>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lastRenderedPageBreak/>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w:t>
            </w:r>
            <w:proofErr w:type="gramStart"/>
            <w:r w:rsidR="003A3CD6">
              <w:rPr>
                <w:rFonts w:ascii="Times New Roman" w:eastAsia="宋体" w:hAnsi="Times New Roman" w:cs="Times New Roman"/>
                <w:sz w:val="20"/>
                <w:szCs w:val="20"/>
                <w:lang w:val="en-GB" w:eastAsia="zh-CN"/>
              </w:rPr>
              <w:t xml:space="preserve">is </w:t>
            </w:r>
            <w:r>
              <w:rPr>
                <w:rFonts w:ascii="Times New Roman" w:eastAsia="宋体" w:hAnsi="Times New Roman" w:cs="Times New Roman"/>
                <w:sz w:val="20"/>
                <w:szCs w:val="20"/>
                <w:lang w:val="en-GB" w:eastAsia="zh-CN"/>
              </w:rPr>
              <w:t xml:space="preserve"> no</w:t>
            </w:r>
            <w:proofErr w:type="gramEnd"/>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lastRenderedPageBreak/>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00CD623B">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proofErr w:type="gramStart"/>
            <w:r w:rsidRPr="00CC7AA3">
              <w:rPr>
                <w:snapToGrid w:val="0"/>
              </w:rPr>
              <w:t>” ,</w:t>
            </w:r>
            <w:proofErr w:type="gramEnd"/>
            <w:r w:rsidRPr="00CC7AA3">
              <w:rPr>
                <w:snapToGrid w:val="0"/>
              </w:rPr>
              <w:t xml:space="preserve">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00CD623B">
        <w:tc>
          <w:tcPr>
            <w:tcW w:w="1511" w:type="dxa"/>
          </w:tcPr>
          <w:p w14:paraId="3EF06121" w14:textId="0282F76B" w:rsidR="00C20EA3" w:rsidRDefault="00C20EA3" w:rsidP="00C20EA3">
            <w:pPr>
              <w:rPr>
                <w:rFonts w:hint="eastAsia"/>
                <w:lang w:eastAsia="zh-CN"/>
              </w:rPr>
            </w:pPr>
            <w:r>
              <w:rPr>
                <w:rFonts w:hint="eastAsia"/>
                <w:lang w:eastAsia="zh-CN"/>
              </w:rPr>
              <w:t>O</w:t>
            </w:r>
            <w:r>
              <w:rPr>
                <w:lang w:eastAsia="zh-CN"/>
              </w:rPr>
              <w:t>PPO</w:t>
            </w:r>
          </w:p>
        </w:tc>
        <w:tc>
          <w:tcPr>
            <w:tcW w:w="1527" w:type="dxa"/>
          </w:tcPr>
          <w:p w14:paraId="26CB1365" w14:textId="0EA4535F" w:rsidR="00C20EA3" w:rsidRDefault="00C20EA3" w:rsidP="00C20EA3">
            <w:pPr>
              <w:rPr>
                <w:rFonts w:hint="eastAsia"/>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f1"/>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f1"/>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lastRenderedPageBreak/>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00FA568F">
        <w:tc>
          <w:tcPr>
            <w:tcW w:w="1512" w:type="dxa"/>
          </w:tcPr>
          <w:p w14:paraId="304C0522" w14:textId="611B953C" w:rsidR="00037DCE" w:rsidRDefault="00037DCE" w:rsidP="00037DCE">
            <w:pPr>
              <w:rPr>
                <w:lang w:eastAsia="zh-CN"/>
              </w:rPr>
            </w:pPr>
            <w:r>
              <w:rPr>
                <w:rFonts w:hint="eastAsia"/>
                <w:lang w:eastAsia="zh-CN"/>
              </w:rPr>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00FA568F">
        <w:tc>
          <w:tcPr>
            <w:tcW w:w="1512" w:type="dxa"/>
          </w:tcPr>
          <w:p w14:paraId="5329916B" w14:textId="5ABF106C" w:rsidR="00D57BFF" w:rsidRDefault="00D57BFF" w:rsidP="00037DCE">
            <w:pPr>
              <w:rPr>
                <w:rFonts w:hint="eastAsia"/>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rFonts w:hint="eastAsia"/>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f1"/>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lastRenderedPageBreak/>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w:t>
      </w:r>
      <w:proofErr w:type="gramStart"/>
      <w:r w:rsidR="00A42332">
        <w:rPr>
          <w:lang w:val="en-GB" w:eastAsia="zh-CN"/>
        </w:rPr>
        <w:t>e.g.</w:t>
      </w:r>
      <w:proofErr w:type="gramEnd"/>
      <w:r w:rsidR="00A42332">
        <w:rPr>
          <w:lang w:val="en-GB" w:eastAsia="zh-CN"/>
        </w:rPr>
        <w:t xml:space="preserve">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f1"/>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proofErr w:type="spellStart"/>
      <w:r w:rsidR="0077295B">
        <w:rPr>
          <w:b/>
          <w:bCs/>
          <w:u w:val="single"/>
        </w:rPr>
        <w:t>RequestCapability</w:t>
      </w:r>
      <w:proofErr w:type="spellEnd"/>
      <w:r w:rsidR="0077295B">
        <w:rPr>
          <w:b/>
          <w:bCs/>
          <w:u w:val="single"/>
        </w:rPr>
        <w:t>)</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f1"/>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f4"/>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lastRenderedPageBreak/>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f4"/>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lastRenderedPageBreak/>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w:t>
            </w:r>
            <w:r>
              <w:lastRenderedPageBreak/>
              <w:t xml:space="preserve">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lastRenderedPageBreak/>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proofErr w:type="gramStart"/>
            <w:r>
              <w:rPr>
                <w:lang w:eastAsia="zh-CN"/>
              </w:rPr>
              <w:t>Also</w:t>
            </w:r>
            <w:proofErr w:type="gramEnd"/>
            <w:r>
              <w:rPr>
                <w:lang w:eastAsia="zh-CN"/>
              </w:rPr>
              <w:t xml:space="preserve"> </w:t>
            </w:r>
            <w:r w:rsidR="0020525F">
              <w:rPr>
                <w:lang w:eastAsia="zh-CN"/>
              </w:rPr>
              <w:t>if AI is a new method, when LMF sends AI-</w:t>
            </w:r>
            <w:proofErr w:type="spellStart"/>
            <w:r w:rsidR="0020525F">
              <w:rPr>
                <w:lang w:eastAsia="zh-CN"/>
              </w:rPr>
              <w:t>RequestCapabilities</w:t>
            </w:r>
            <w:proofErr w:type="spellEnd"/>
            <w:r w:rsidR="0020525F">
              <w:rPr>
                <w:lang w:eastAsia="zh-CN"/>
              </w:rPr>
              <w:t xml:space="preserve">, it means LMF wants to activate AI method. </w:t>
            </w:r>
            <w:proofErr w:type="gramStart"/>
            <w:r w:rsidR="0020525F">
              <w:rPr>
                <w:lang w:eastAsia="zh-CN"/>
              </w:rPr>
              <w:t>So</w:t>
            </w:r>
            <w:proofErr w:type="gramEnd"/>
            <w:r w:rsidR="0020525F">
              <w:rPr>
                <w:lang w:eastAsia="zh-CN"/>
              </w:rPr>
              <w:t xml:space="preserve">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27" w:type="dxa"/>
          </w:tcPr>
          <w:p w14:paraId="40A5084D" w14:textId="0069D781" w:rsidR="00922D65" w:rsidRDefault="00922D65" w:rsidP="00922D65">
            <w:pPr>
              <w:rPr>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a6"/>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to discuss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a6"/>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rFonts w:hint="eastAsia"/>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rFonts w:hint="eastAsia"/>
                <w:lang w:eastAsia="zh-CN"/>
              </w:rPr>
            </w:pPr>
            <w:r>
              <w:rPr>
                <w:rFonts w:hint="eastAsia"/>
                <w:lang w:eastAsia="zh-CN"/>
              </w:rPr>
              <w:t>Disagree</w:t>
            </w:r>
          </w:p>
        </w:tc>
        <w:tc>
          <w:tcPr>
            <w:tcW w:w="6319" w:type="dxa"/>
          </w:tcPr>
          <w:p w14:paraId="120180BB" w14:textId="7D2EB9F3" w:rsidR="00D57BFF" w:rsidRDefault="00D57BFF" w:rsidP="00557D41">
            <w:pPr>
              <w:pStyle w:val="a6"/>
              <w:rPr>
                <w:rFonts w:hint="eastAsia"/>
                <w:lang w:eastAsia="zh-CN"/>
              </w:rPr>
            </w:pPr>
            <w:r>
              <w:rPr>
                <w:rFonts w:hint="eastAsia"/>
                <w:lang w:eastAsia="zh-CN"/>
              </w:rPr>
              <w:t>T</w:t>
            </w:r>
            <w:r>
              <w:rPr>
                <w:lang w:eastAsia="zh-CN"/>
              </w:rPr>
              <w:t>he motivation is not clear, it still works without LMF control.</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lastRenderedPageBreak/>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f1"/>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f1"/>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lastRenderedPageBreak/>
              <w:t>v</w:t>
            </w:r>
            <w:r>
              <w:t>ivo</w:t>
            </w:r>
          </w:p>
        </w:tc>
        <w:tc>
          <w:tcPr>
            <w:tcW w:w="1301" w:type="dxa"/>
          </w:tcPr>
          <w:p w14:paraId="00E04A87" w14:textId="7E4B87E2" w:rsidR="008D66EB" w:rsidRDefault="008D66EB">
            <w:proofErr w:type="gramStart"/>
            <w:r>
              <w:rPr>
                <w:lang w:eastAsia="zh-CN"/>
              </w:rPr>
              <w:t>Yes</w:t>
            </w:r>
            <w:proofErr w:type="gramEnd"/>
            <w:r>
              <w:rPr>
                <w:lang w:eastAsia="zh-CN"/>
              </w:rPr>
              <w:t xml:space="preserve">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tc>
          <w:tcPr>
            <w:tcW w:w="1529" w:type="dxa"/>
          </w:tcPr>
          <w:p w14:paraId="54C0321B" w14:textId="62BA2B8A" w:rsidR="00CC4A72" w:rsidRDefault="00CC4A72" w:rsidP="00B97198">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14:paraId="09EBC207" w14:textId="77777777">
        <w:tc>
          <w:tcPr>
            <w:tcW w:w="1529" w:type="dxa"/>
          </w:tcPr>
          <w:p w14:paraId="2403E47A" w14:textId="410F1476" w:rsidR="00C812A7" w:rsidRDefault="00C812A7" w:rsidP="00C812A7">
            <w:r>
              <w:rPr>
                <w:rFonts w:hint="eastAsia"/>
                <w:lang w:eastAsia="zh-CN"/>
              </w:rPr>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t>C</w:t>
      </w:r>
      <w:r w:rsidRPr="005E393F">
        <w:t>onsistency between training and inference</w:t>
      </w:r>
    </w:p>
    <w:p w14:paraId="4CD657DA" w14:textId="127F3FED" w:rsidR="0031465F" w:rsidRPr="00562B5C" w:rsidRDefault="00117CA0" w:rsidP="00013748">
      <w:pPr>
        <w:pStyle w:val="af4"/>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f4"/>
        <w:widowControl w:val="0"/>
        <w:tabs>
          <w:tab w:val="left" w:pos="0"/>
          <w:tab w:val="left" w:pos="720"/>
          <w:tab w:val="left" w:pos="1440"/>
        </w:tabs>
        <w:suppressAutoHyphens/>
        <w:spacing w:after="80" w:line="240" w:lineRule="auto"/>
        <w:contextualSpacing w:val="0"/>
      </w:pPr>
      <w:r w:rsidRPr="00A53E20">
        <w:t xml:space="preserve"> </w:t>
      </w:r>
    </w:p>
    <w:tbl>
      <w:tblPr>
        <w:tblStyle w:val="af1"/>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lastRenderedPageBreak/>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f4"/>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f4"/>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f1"/>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00B37000">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00B37000">
        <w:tc>
          <w:tcPr>
            <w:tcW w:w="1529" w:type="dxa"/>
          </w:tcPr>
          <w:p w14:paraId="0343004C" w14:textId="13D2F58C" w:rsidR="00DB2699" w:rsidRDefault="00DB2699" w:rsidP="00DB2699">
            <w:pPr>
              <w:rPr>
                <w:rFonts w:hint="eastAsia"/>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rFonts w:hint="eastAsia"/>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bl>
    <w:p w14:paraId="596BF1E7" w14:textId="77777777" w:rsidR="009C5E7A" w:rsidRDefault="009C5E7A" w:rsidP="00EB1ACF">
      <w:pPr>
        <w:pStyle w:val="af4"/>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lastRenderedPageBreak/>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tc>
          <w:tcPr>
            <w:tcW w:w="1529" w:type="dxa"/>
          </w:tcPr>
          <w:p w14:paraId="45A0812F" w14:textId="7B3E4AFD" w:rsidR="00377231" w:rsidRDefault="00377231" w:rsidP="0037723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tc>
          <w:tcPr>
            <w:tcW w:w="1529" w:type="dxa"/>
          </w:tcPr>
          <w:p w14:paraId="3E69153B" w14:textId="3AB6CE91" w:rsidR="00AD0C6C" w:rsidRDefault="00AD0C6C" w:rsidP="002A3F9E">
            <w:pPr>
              <w:rPr>
                <w:rFonts w:hint="eastAsia"/>
                <w:lang w:eastAsia="zh-CN"/>
              </w:rPr>
            </w:pPr>
            <w:r>
              <w:rPr>
                <w:rFonts w:hint="eastAsia"/>
                <w:lang w:eastAsia="zh-CN"/>
              </w:rPr>
              <w:t>O</w:t>
            </w:r>
            <w:r>
              <w:rPr>
                <w:lang w:eastAsia="zh-CN"/>
              </w:rPr>
              <w:t>PPO</w:t>
            </w:r>
          </w:p>
        </w:tc>
        <w:tc>
          <w:tcPr>
            <w:tcW w:w="1301" w:type="dxa"/>
          </w:tcPr>
          <w:p w14:paraId="606058B7" w14:textId="7FB71249" w:rsidR="00AD0C6C" w:rsidRDefault="00AD0C6C" w:rsidP="002A3F9E">
            <w:r>
              <w:t xml:space="preserve">Option </w:t>
            </w:r>
            <w:r>
              <w:t>B/</w:t>
            </w:r>
            <w:r>
              <w:t>C</w:t>
            </w:r>
          </w:p>
        </w:tc>
        <w:tc>
          <w:tcPr>
            <w:tcW w:w="6525" w:type="dxa"/>
          </w:tcPr>
          <w:p w14:paraId="6B384DFA" w14:textId="77777777" w:rsidR="00AD0C6C" w:rsidRDefault="00AD0C6C" w:rsidP="002A3F9E"/>
        </w:tc>
      </w:tr>
    </w:tbl>
    <w:p w14:paraId="049E50CC" w14:textId="11D2525C" w:rsidR="00FA45AC" w:rsidRDefault="007E2A14" w:rsidP="0012729B">
      <w:pPr>
        <w:pStyle w:val="3"/>
        <w:numPr>
          <w:ilvl w:val="2"/>
          <w:numId w:val="3"/>
        </w:numPr>
        <w:ind w:left="709"/>
      </w:pPr>
      <w:r>
        <w:lastRenderedPageBreak/>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f1"/>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lastRenderedPageBreak/>
        <w:t>Annex RAN1 agreements</w:t>
      </w:r>
    </w:p>
    <w:tbl>
      <w:tblPr>
        <w:tblStyle w:val="af1"/>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w:t>
            </w:r>
            <w:proofErr w:type="spellStart"/>
            <w:r w:rsidRPr="008C36BB">
              <w:rPr>
                <w:rFonts w:eastAsia="Batang"/>
                <w:szCs w:val="24"/>
                <w:lang w:val="en-GB" w:eastAsia="x-none"/>
              </w:rPr>
              <w:t>signaling</w:t>
            </w:r>
            <w:proofErr w:type="spellEnd"/>
            <w:r w:rsidRPr="008C36BB">
              <w:rPr>
                <w:rFonts w:eastAsia="Batang"/>
                <w:szCs w:val="24"/>
                <w:lang w:val="en-GB" w:eastAsia="x-none"/>
              </w:rPr>
              <w:t xml:space="preserve">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lastRenderedPageBreak/>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w:t>
            </w:r>
            <w:r w:rsidRPr="005D7FB2">
              <w:rPr>
                <w:rFonts w:ascii="Times" w:eastAsia="Batang" w:hAnsi="Times"/>
                <w:szCs w:val="24"/>
                <w:lang w:eastAsia="x-none"/>
              </w:rPr>
              <w:lastRenderedPageBreak/>
              <w:t xml:space="preserve">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lastRenderedPageBreak/>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lastRenderedPageBreak/>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k to gNB via </w:t>
            </w:r>
            <w:proofErr w:type="spellStart"/>
            <w:r w:rsidRPr="003D59C8">
              <w:rPr>
                <w:rFonts w:ascii="Times" w:eastAsia="Batang" w:hAnsi="Times"/>
                <w:szCs w:val="24"/>
                <w:lang w:eastAsia="x-none"/>
              </w:rPr>
              <w:t>NRPPa</w:t>
            </w:r>
            <w:proofErr w:type="spellEnd"/>
            <w:r w:rsidRPr="003D59C8">
              <w:rPr>
                <w:rFonts w:ascii="Times" w:eastAsia="Batang" w:hAnsi="Times"/>
                <w:szCs w:val="24"/>
                <w:lang w:eastAsia="x-none"/>
              </w:rPr>
              <w:t>.</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w:t>
            </w:r>
            <w:proofErr w:type="spellStart"/>
            <w:r w:rsidRPr="00DA38BF">
              <w:rPr>
                <w:rFonts w:ascii="Times" w:eastAsia="Batang" w:hAnsi="Times"/>
                <w:szCs w:val="24"/>
                <w:lang w:val="en-GB" w:eastAsia="x-none"/>
              </w:rPr>
              <w:t>AoD</w:t>
            </w:r>
            <w:proofErr w:type="spellEnd"/>
            <w:r w:rsidRPr="00DA38BF">
              <w:rPr>
                <w:rFonts w:ascii="Times" w:eastAsia="Batang" w:hAnsi="Times"/>
                <w:szCs w:val="24"/>
                <w:lang w:val="en-GB" w:eastAsia="x-none"/>
              </w:rPr>
              <w:t>,</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w:t>
            </w:r>
            <w:proofErr w:type="spellStart"/>
            <w:r w:rsidRPr="00DA38BF">
              <w:rPr>
                <w:rFonts w:ascii="Times" w:eastAsia="Batang" w:hAnsi="Times"/>
                <w:szCs w:val="24"/>
                <w:highlight w:val="yellow"/>
                <w:lang w:val="en-GB"/>
              </w:rPr>
              <w:t>AoD</w:t>
            </w:r>
            <w:proofErr w:type="spellEnd"/>
            <w:r w:rsidRPr="00DA38BF">
              <w:rPr>
                <w:rFonts w:ascii="Times" w:eastAsia="Batang" w:hAnsi="Times"/>
                <w:szCs w:val="24"/>
                <w:highlight w:val="yellow"/>
                <w:lang w:val="en-GB"/>
              </w:rPr>
              <w:t xml:space="preserve">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w:t>
                  </w:r>
                  <w:proofErr w:type="gramStart"/>
                  <w:r w:rsidRPr="00DA38BF">
                    <w:rPr>
                      <w:rFonts w:ascii="Times" w:eastAsia="Times New Roman" w:hAnsi="Times" w:cs="等线"/>
                      <w:b/>
                      <w:bCs/>
                      <w:color w:val="000000"/>
                      <w:lang w:val="en-GB"/>
                    </w:rPr>
                    <w:t>based  DL</w:t>
                  </w:r>
                  <w:proofErr w:type="gramEnd"/>
                  <w:r w:rsidRPr="00DA38BF">
                    <w:rPr>
                      <w:rFonts w:ascii="Times" w:eastAsia="Times New Roman" w:hAnsi="Times" w:cs="等线"/>
                      <w:b/>
                      <w:bCs/>
                      <w:color w:val="000000"/>
                      <w:lang w:val="en-GB"/>
                    </w:rPr>
                    <w:t>-</w:t>
                  </w:r>
                  <w:proofErr w:type="spellStart"/>
                  <w:r w:rsidRPr="00DA38BF">
                    <w:rPr>
                      <w:rFonts w:ascii="Times" w:eastAsia="Times New Roman" w:hAnsi="Times" w:cs="等线"/>
                      <w:b/>
                      <w:bCs/>
                      <w:color w:val="000000"/>
                      <w:lang w:val="en-GB"/>
                    </w:rPr>
                    <w:t>AoD</w:t>
                  </w:r>
                  <w:proofErr w:type="spellEnd"/>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lastRenderedPageBreak/>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k to gNB via </w:t>
            </w:r>
            <w:proofErr w:type="spellStart"/>
            <w:r w:rsidRPr="00860E3B">
              <w:rPr>
                <w:rFonts w:ascii="Times" w:eastAsia="Batang" w:hAnsi="Times"/>
                <w:szCs w:val="24"/>
                <w:lang w:val="en-GB"/>
              </w:rPr>
              <w:t>NRPPa</w:t>
            </w:r>
            <w:proofErr w:type="spellEnd"/>
            <w:r w:rsidRPr="00860E3B">
              <w:rPr>
                <w:rFonts w:ascii="Times" w:eastAsia="Batang" w:hAnsi="Times"/>
                <w:szCs w:val="24"/>
                <w:lang w:val="en-GB"/>
              </w:rPr>
              <w:t>.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w:t>
            </w:r>
            <w:r w:rsidRPr="00860E3B">
              <w:rPr>
                <w:rFonts w:ascii="Times" w:eastAsia="Batang" w:hAnsi="Times"/>
                <w:szCs w:val="24"/>
                <w:lang w:val="en-GB" w:eastAsia="x-none"/>
              </w:rPr>
              <w:lastRenderedPageBreak/>
              <w:t>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92E3" w14:textId="77777777" w:rsidR="00607F10" w:rsidRDefault="00607F10" w:rsidP="00741033">
      <w:pPr>
        <w:spacing w:after="0" w:line="240" w:lineRule="auto"/>
      </w:pPr>
      <w:r>
        <w:separator/>
      </w:r>
    </w:p>
  </w:endnote>
  <w:endnote w:type="continuationSeparator" w:id="0">
    <w:p w14:paraId="22A02452" w14:textId="77777777" w:rsidR="00607F10" w:rsidRDefault="00607F10" w:rsidP="00741033">
      <w:pPr>
        <w:spacing w:after="0" w:line="240" w:lineRule="auto"/>
      </w:pPr>
      <w:r>
        <w:continuationSeparator/>
      </w:r>
    </w:p>
  </w:endnote>
  <w:endnote w:type="continuationNotice" w:id="1">
    <w:p w14:paraId="73A69A38" w14:textId="77777777" w:rsidR="00607F10" w:rsidRDefault="00607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DA7A" w14:textId="77777777" w:rsidR="00607F10" w:rsidRDefault="00607F10" w:rsidP="00741033">
      <w:pPr>
        <w:spacing w:after="0" w:line="240" w:lineRule="auto"/>
      </w:pPr>
      <w:r>
        <w:separator/>
      </w:r>
    </w:p>
  </w:footnote>
  <w:footnote w:type="continuationSeparator" w:id="0">
    <w:p w14:paraId="745461BC" w14:textId="77777777" w:rsidR="00607F10" w:rsidRDefault="00607F10" w:rsidP="00741033">
      <w:pPr>
        <w:spacing w:after="0" w:line="240" w:lineRule="auto"/>
      </w:pPr>
      <w:r>
        <w:continuationSeparator/>
      </w:r>
    </w:p>
  </w:footnote>
  <w:footnote w:type="continuationNotice" w:id="1">
    <w:p w14:paraId="12D10F69" w14:textId="77777777" w:rsidR="00607F10" w:rsidRDefault="00607F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2"/>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1"/>
  </w:num>
  <w:num w:numId="34">
    <w:abstractNumId w:val="6"/>
  </w:num>
  <w:num w:numId="35">
    <w:abstractNumId w:val="32"/>
  </w:num>
  <w:num w:numId="36">
    <w:abstractNumId w:val="14"/>
  </w:num>
  <w:num w:numId="37">
    <w:abstractNumId w:val="43"/>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 w:numId="4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0D7E"/>
    <w:rsid w:val="000E1E15"/>
    <w:rsid w:val="000E2052"/>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57D41"/>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1AE8"/>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E0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5"/>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F31E2E"/>
    <w:pPr>
      <w:spacing w:after="0" w:line="240" w:lineRule="auto"/>
    </w:pPr>
    <w:rPr>
      <w:rFonts w:ascii="Times New Roman" w:eastAsia="宋体"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47D87EC-DAE3-4AEA-A346-3A6EDFCA26CC}">
  <ds:schemaRefs>
    <ds:schemaRef ds:uri="http://schemas.openxmlformats.org/officeDocument/2006/bibliography"/>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942</TotalTime>
  <Pages>36</Pages>
  <Words>12609</Words>
  <Characters>71875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Jiangsheng Fan-OPPO</cp:lastModifiedBy>
  <cp:revision>92</cp:revision>
  <dcterms:created xsi:type="dcterms:W3CDTF">2024-12-19T09:23:00Z</dcterms:created>
  <dcterms:modified xsi:type="dcterms:W3CDTF">2024-12-26T07:27:00Z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