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B34D8A">
            <w:pPr>
              <w:pStyle w:val="TAL"/>
              <w:rPr>
                <w:lang w:eastAsia="zh-CN"/>
              </w:rPr>
            </w:pPr>
            <w:hyperlink r:id="rId12" w:history="1">
              <w:r w:rsidR="00726E00" w:rsidRPr="002A2649">
                <w:rPr>
                  <w:rStyle w:val="Hyperlink"/>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rFonts w:hint="eastAsia"/>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ListParagraph"/>
              <w:numPr>
                <w:ilvl w:val="0"/>
                <w:numId w:val="36"/>
              </w:numPr>
            </w:pPr>
            <w:r>
              <w:lastRenderedPageBreak/>
              <w:t>Whether any new measurement, as Xiaomi mentioned</w:t>
            </w:r>
          </w:p>
          <w:p w14:paraId="333444AC" w14:textId="77777777" w:rsidR="00D926E9" w:rsidRDefault="00D926E9" w:rsidP="00D926E9">
            <w:pPr>
              <w:pStyle w:val="ListParagraph"/>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ListParagraph"/>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ListParagraph"/>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xml:space="preserve">) in the legacy positioning method may become </w:t>
            </w:r>
            <w:r>
              <w:rPr>
                <w:lang w:eastAsia="zh-CN"/>
              </w:rPr>
              <w:t>unnecessary</w:t>
            </w:r>
            <w:r>
              <w:rPr>
                <w:lang w:eastAsia="zh-CN"/>
              </w:rPr>
              <w:t xml:space="preserve">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437F04" w14:paraId="695D385F" w14:textId="77777777" w:rsidTr="0048589B">
        <w:trPr>
          <w:trHeight w:val="449"/>
        </w:trPr>
        <w:tc>
          <w:tcPr>
            <w:tcW w:w="1781" w:type="dxa"/>
          </w:tcPr>
          <w:p w14:paraId="424FD428" w14:textId="77777777" w:rsidR="00437F04" w:rsidRDefault="00437F04"/>
        </w:tc>
        <w:tc>
          <w:tcPr>
            <w:tcW w:w="7602" w:type="dxa"/>
          </w:tcPr>
          <w:p w14:paraId="0B8ADD6C" w14:textId="77777777" w:rsidR="00437F04" w:rsidRPr="006162F7" w:rsidRDefault="00437F04"/>
        </w:tc>
      </w:tr>
    </w:tbl>
    <w:p w14:paraId="7B41DE81" w14:textId="77777777"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lastRenderedPageBreak/>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lastRenderedPageBreak/>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9B6956" w14:paraId="753A6811" w14:textId="77777777">
        <w:tc>
          <w:tcPr>
            <w:tcW w:w="1529" w:type="dxa"/>
          </w:tcPr>
          <w:p w14:paraId="7322FC7B" w14:textId="77777777" w:rsidR="009B6956" w:rsidRDefault="009B6956" w:rsidP="009B6956"/>
        </w:tc>
        <w:tc>
          <w:tcPr>
            <w:tcW w:w="1301" w:type="dxa"/>
          </w:tcPr>
          <w:p w14:paraId="203CE370" w14:textId="77777777" w:rsidR="009B6956" w:rsidRPr="006162F7" w:rsidRDefault="009B6956" w:rsidP="009B6956"/>
        </w:tc>
        <w:tc>
          <w:tcPr>
            <w:tcW w:w="6525" w:type="dxa"/>
          </w:tcPr>
          <w:p w14:paraId="5AEDF0C4" w14:textId="77777777" w:rsidR="009B6956" w:rsidRPr="006162F7" w:rsidRDefault="009B6956" w:rsidP="009B6956"/>
        </w:tc>
      </w:tr>
    </w:tbl>
    <w:p w14:paraId="335CDB19" w14:textId="6BEBDD8F"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FFS which does not need RAN1 input</w:t>
      </w:r>
    </w:p>
    <w:p w14:paraId="3A701C12" w14:textId="77777777" w:rsidR="007071F7" w:rsidRDefault="007071F7" w:rsidP="00860E3B">
      <w:pPr>
        <w:pStyle w:val="Heading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lastRenderedPageBreak/>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ListParagraph"/>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TableGrid"/>
        <w:tblW w:w="9355" w:type="dxa"/>
        <w:tblLook w:val="04A0" w:firstRow="1" w:lastRow="0" w:firstColumn="1" w:lastColumn="0" w:noHBand="0" w:noVBand="1"/>
      </w:tblPr>
      <w:tblGrid>
        <w:gridCol w:w="1512"/>
        <w:gridCol w:w="1527"/>
        <w:gridCol w:w="6316"/>
      </w:tblGrid>
      <w:tr w:rsidR="007071F7" w14:paraId="53C8AF1A" w14:textId="77777777">
        <w:tc>
          <w:tcPr>
            <w:tcW w:w="1529" w:type="dxa"/>
          </w:tcPr>
          <w:p w14:paraId="4D614F42" w14:textId="77777777" w:rsidR="007071F7" w:rsidRPr="006162F7" w:rsidRDefault="007071F7">
            <w:pPr>
              <w:jc w:val="both"/>
              <w:rPr>
                <w:b/>
                <w:bCs/>
              </w:rPr>
            </w:pPr>
            <w:r w:rsidRPr="006162F7">
              <w:rPr>
                <w:b/>
                <w:bCs/>
              </w:rPr>
              <w:t>Company</w:t>
            </w:r>
          </w:p>
        </w:tc>
        <w:tc>
          <w:tcPr>
            <w:tcW w:w="1301"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525" w:type="dxa"/>
          </w:tcPr>
          <w:p w14:paraId="5DBDC202" w14:textId="77777777" w:rsidR="007071F7" w:rsidRPr="006162F7" w:rsidRDefault="007071F7">
            <w:pPr>
              <w:jc w:val="both"/>
              <w:rPr>
                <w:b/>
                <w:bCs/>
              </w:rPr>
            </w:pPr>
            <w:r w:rsidRPr="006162F7">
              <w:rPr>
                <w:b/>
                <w:bCs/>
              </w:rPr>
              <w:t>Remark</w:t>
            </w:r>
          </w:p>
        </w:tc>
      </w:tr>
      <w:tr w:rsidR="007071F7" w14:paraId="383CF1D0" w14:textId="77777777">
        <w:tc>
          <w:tcPr>
            <w:tcW w:w="1529" w:type="dxa"/>
          </w:tcPr>
          <w:p w14:paraId="54F25342" w14:textId="2D66DD0A" w:rsidR="007071F7" w:rsidRDefault="00D5595B">
            <w:pPr>
              <w:rPr>
                <w:lang w:eastAsia="zh-CN"/>
              </w:rPr>
            </w:pPr>
            <w:r>
              <w:rPr>
                <w:rFonts w:hint="eastAsia"/>
                <w:lang w:eastAsia="zh-CN"/>
              </w:rPr>
              <w:t>X</w:t>
            </w:r>
            <w:r>
              <w:rPr>
                <w:lang w:eastAsia="zh-CN"/>
              </w:rPr>
              <w:t>iaomi</w:t>
            </w:r>
          </w:p>
        </w:tc>
        <w:tc>
          <w:tcPr>
            <w:tcW w:w="1301"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525"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tc>
          <w:tcPr>
            <w:tcW w:w="1529" w:type="dxa"/>
          </w:tcPr>
          <w:p w14:paraId="15158AD6" w14:textId="747E05A5" w:rsidR="007071F7" w:rsidRDefault="007450F0">
            <w:r>
              <w:t>Apple</w:t>
            </w:r>
          </w:p>
        </w:tc>
        <w:tc>
          <w:tcPr>
            <w:tcW w:w="1301"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525"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tc>
          <w:tcPr>
            <w:tcW w:w="1529" w:type="dxa"/>
          </w:tcPr>
          <w:p w14:paraId="0FC34D86" w14:textId="03776959" w:rsidR="007071F7" w:rsidRDefault="00FA4DD1">
            <w:r>
              <w:t>Fraunhofer</w:t>
            </w:r>
          </w:p>
        </w:tc>
        <w:tc>
          <w:tcPr>
            <w:tcW w:w="1301" w:type="dxa"/>
          </w:tcPr>
          <w:p w14:paraId="5281BCCF" w14:textId="623EA87A" w:rsidR="007071F7" w:rsidRPr="006162F7" w:rsidRDefault="00FA4DD1">
            <w:r>
              <w:t>Agree</w:t>
            </w:r>
          </w:p>
        </w:tc>
        <w:tc>
          <w:tcPr>
            <w:tcW w:w="6525"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tc>
          <w:tcPr>
            <w:tcW w:w="1529" w:type="dxa"/>
          </w:tcPr>
          <w:p w14:paraId="7C87FF28" w14:textId="6A8F8E13" w:rsidR="009B6956" w:rsidRDefault="009B6956">
            <w:r>
              <w:rPr>
                <w:rFonts w:hint="eastAsia"/>
              </w:rPr>
              <w:t>v</w:t>
            </w:r>
            <w:r>
              <w:t>ivo</w:t>
            </w:r>
          </w:p>
        </w:tc>
        <w:tc>
          <w:tcPr>
            <w:tcW w:w="1301" w:type="dxa"/>
          </w:tcPr>
          <w:p w14:paraId="08548ABC" w14:textId="539F09D9" w:rsidR="009B6956" w:rsidRDefault="009B6956">
            <w:r>
              <w:rPr>
                <w:lang w:eastAsia="zh-CN"/>
              </w:rPr>
              <w:t xml:space="preserve">Agree, </w:t>
            </w:r>
            <w:r>
              <w:rPr>
                <w:lang w:eastAsia="zh-CN"/>
              </w:rPr>
              <w:t xml:space="preserve">with </w:t>
            </w:r>
            <w:r>
              <w:rPr>
                <w:lang w:eastAsia="zh-CN"/>
              </w:rPr>
              <w:t xml:space="preserve">comment </w:t>
            </w:r>
            <w:r>
              <w:rPr>
                <w:lang w:eastAsia="zh-CN"/>
              </w:rPr>
              <w:t>on</w:t>
            </w:r>
            <w:r>
              <w:rPr>
                <w:lang w:eastAsia="zh-CN"/>
              </w:rPr>
              <w:t xml:space="preserve"> second bullet</w:t>
            </w:r>
          </w:p>
        </w:tc>
        <w:tc>
          <w:tcPr>
            <w:tcW w:w="6525"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 xml:space="preserve">h an indication is added for reusing the legacy ones. </w:t>
            </w:r>
            <w:r>
              <w:rPr>
                <w:lang w:eastAsia="zh-CN"/>
              </w:rPr>
              <w:t>S</w:t>
            </w:r>
            <w:r>
              <w:rPr>
                <w:lang w:eastAsia="zh-CN"/>
              </w:rPr>
              <w:t>uch indication should be able to indicate</w:t>
            </w:r>
            <w:r>
              <w:rPr>
                <w:lang w:eastAsia="zh-CN"/>
              </w:rPr>
              <w:t xml:space="preserve"> whether</w:t>
            </w:r>
            <w:r>
              <w:rPr>
                <w:lang w:eastAsia="zh-CN"/>
              </w:rPr>
              <w:t xml:space="preserve"> the method is for AI/ML only or for both AI and non-AI.</w:t>
            </w:r>
          </w:p>
        </w:tc>
      </w:tr>
      <w:tr w:rsidR="007071F7" w14:paraId="7E83DC31" w14:textId="77777777">
        <w:tc>
          <w:tcPr>
            <w:tcW w:w="1529" w:type="dxa"/>
          </w:tcPr>
          <w:p w14:paraId="264B159F" w14:textId="77777777" w:rsidR="007071F7" w:rsidRDefault="007071F7"/>
        </w:tc>
        <w:tc>
          <w:tcPr>
            <w:tcW w:w="1301" w:type="dxa"/>
          </w:tcPr>
          <w:p w14:paraId="29894CF4" w14:textId="77777777" w:rsidR="007071F7" w:rsidRPr="006162F7" w:rsidRDefault="007071F7"/>
        </w:tc>
        <w:tc>
          <w:tcPr>
            <w:tcW w:w="6525" w:type="dxa"/>
          </w:tcPr>
          <w:p w14:paraId="1359FE77" w14:textId="77777777" w:rsidR="007071F7" w:rsidRPr="006162F7" w:rsidRDefault="007071F7"/>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08"/>
        <w:gridCol w:w="1527"/>
        <w:gridCol w:w="6320"/>
      </w:tblGrid>
      <w:tr w:rsidR="006162F7" w14:paraId="0ED80E48" w14:textId="77777777">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tc>
          <w:tcPr>
            <w:tcW w:w="1529" w:type="dxa"/>
          </w:tcPr>
          <w:p w14:paraId="11A8895F" w14:textId="707D5285" w:rsidR="006162F7" w:rsidRDefault="00160A22">
            <w:pPr>
              <w:rPr>
                <w:lang w:eastAsia="zh-CN"/>
              </w:rPr>
            </w:pPr>
            <w:r>
              <w:rPr>
                <w:rFonts w:hint="eastAsia"/>
                <w:lang w:eastAsia="zh-CN"/>
              </w:rPr>
              <w:lastRenderedPageBreak/>
              <w:t>X</w:t>
            </w:r>
            <w:r>
              <w:rPr>
                <w:lang w:eastAsia="zh-CN"/>
              </w:rPr>
              <w:t>iaomi</w:t>
            </w:r>
          </w:p>
        </w:tc>
        <w:tc>
          <w:tcPr>
            <w:tcW w:w="1301" w:type="dxa"/>
          </w:tcPr>
          <w:p w14:paraId="09AAB13F" w14:textId="0EE93FF5" w:rsidR="006162F7" w:rsidRDefault="00160A22">
            <w:pPr>
              <w:rPr>
                <w:lang w:eastAsia="zh-CN"/>
              </w:rPr>
            </w:pPr>
            <w:r>
              <w:rPr>
                <w:rFonts w:hint="eastAsia"/>
                <w:lang w:eastAsia="zh-CN"/>
              </w:rPr>
              <w:t>A</w:t>
            </w:r>
            <w:r>
              <w:rPr>
                <w:lang w:eastAsia="zh-CN"/>
              </w:rPr>
              <w:t>gree</w:t>
            </w:r>
          </w:p>
        </w:tc>
        <w:tc>
          <w:tcPr>
            <w:tcW w:w="6525"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tc>
          <w:tcPr>
            <w:tcW w:w="1529" w:type="dxa"/>
          </w:tcPr>
          <w:p w14:paraId="4787C27A" w14:textId="0CA43125" w:rsidR="006162F7" w:rsidRDefault="00B4290B">
            <w:r>
              <w:t>Apple</w:t>
            </w:r>
          </w:p>
        </w:tc>
        <w:tc>
          <w:tcPr>
            <w:tcW w:w="1301" w:type="dxa"/>
          </w:tcPr>
          <w:p w14:paraId="3E3CABAC" w14:textId="61047156" w:rsidR="006162F7" w:rsidRDefault="00B4290B">
            <w:r>
              <w:t xml:space="preserve">Disagree </w:t>
            </w:r>
          </w:p>
        </w:tc>
        <w:tc>
          <w:tcPr>
            <w:tcW w:w="6525"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ListParagraph"/>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ListParagraph"/>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ListParagraph"/>
              <w:numPr>
                <w:ilvl w:val="0"/>
                <w:numId w:val="38"/>
              </w:numPr>
            </w:pPr>
            <w:r>
              <w:t xml:space="preserve">On the issue of time gap raised by Xiaomi, we think that is the reason why we introduce applicable functionality reporting. </w:t>
            </w:r>
          </w:p>
        </w:tc>
      </w:tr>
      <w:tr w:rsidR="006162F7" w14:paraId="3FFA621D" w14:textId="77777777">
        <w:tc>
          <w:tcPr>
            <w:tcW w:w="1529" w:type="dxa"/>
          </w:tcPr>
          <w:p w14:paraId="33DC2A60" w14:textId="78FFA366" w:rsidR="006162F7" w:rsidRDefault="00DE611B">
            <w:r>
              <w:t>Fraunhofer</w:t>
            </w:r>
          </w:p>
        </w:tc>
        <w:tc>
          <w:tcPr>
            <w:tcW w:w="1301" w:type="dxa"/>
          </w:tcPr>
          <w:p w14:paraId="205270A1" w14:textId="68C19AE1" w:rsidR="006162F7" w:rsidRPr="006162F7" w:rsidRDefault="00DE611B">
            <w:r>
              <w:t>Agree</w:t>
            </w:r>
          </w:p>
        </w:tc>
        <w:tc>
          <w:tcPr>
            <w:tcW w:w="6525"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tc>
          <w:tcPr>
            <w:tcW w:w="1529" w:type="dxa"/>
          </w:tcPr>
          <w:p w14:paraId="30E80CFB" w14:textId="594E9BD4" w:rsidR="001D2465" w:rsidRDefault="001D2465">
            <w:r>
              <w:rPr>
                <w:rFonts w:hint="eastAsia"/>
              </w:rPr>
              <w:t>v</w:t>
            </w:r>
            <w:r>
              <w:t>ivo</w:t>
            </w:r>
          </w:p>
        </w:tc>
        <w:tc>
          <w:tcPr>
            <w:tcW w:w="1301" w:type="dxa"/>
          </w:tcPr>
          <w:p w14:paraId="5146D01A" w14:textId="1CD7F2FA" w:rsidR="001D2465" w:rsidRDefault="001D2465">
            <w:r>
              <w:t>Disagree</w:t>
            </w:r>
          </w:p>
        </w:tc>
        <w:tc>
          <w:tcPr>
            <w:tcW w:w="6525"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6162F7" w14:paraId="20ABFB15" w14:textId="77777777">
        <w:tc>
          <w:tcPr>
            <w:tcW w:w="1529" w:type="dxa"/>
          </w:tcPr>
          <w:p w14:paraId="0392C70F" w14:textId="77777777" w:rsidR="006162F7" w:rsidRDefault="006162F7"/>
        </w:tc>
        <w:tc>
          <w:tcPr>
            <w:tcW w:w="1301" w:type="dxa"/>
          </w:tcPr>
          <w:p w14:paraId="30EB39BB" w14:textId="77777777" w:rsidR="006162F7" w:rsidRPr="006162F7" w:rsidRDefault="006162F7"/>
        </w:tc>
        <w:tc>
          <w:tcPr>
            <w:tcW w:w="6525" w:type="dxa"/>
          </w:tcPr>
          <w:p w14:paraId="4B128603" w14:textId="77777777" w:rsidR="006162F7" w:rsidRPr="006162F7" w:rsidRDefault="006162F7"/>
        </w:tc>
      </w:tr>
    </w:tbl>
    <w:p w14:paraId="529FAE76" w14:textId="77777777"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lastRenderedPageBreak/>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7F0784" w14:paraId="48449D50" w14:textId="77777777" w:rsidTr="007F0784">
        <w:trPr>
          <w:trHeight w:val="428"/>
        </w:trPr>
        <w:tc>
          <w:tcPr>
            <w:tcW w:w="1944" w:type="dxa"/>
          </w:tcPr>
          <w:p w14:paraId="3AAE3A43" w14:textId="77777777" w:rsidR="007F0784" w:rsidRDefault="007F0784"/>
        </w:tc>
        <w:tc>
          <w:tcPr>
            <w:tcW w:w="8299" w:type="dxa"/>
          </w:tcPr>
          <w:p w14:paraId="50618553" w14:textId="77777777" w:rsidR="007F0784" w:rsidRPr="006162F7" w:rsidRDefault="007F0784"/>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5C846399" w:rsidR="00593AE8" w:rsidRPr="00DE611B" w:rsidRDefault="00593AE8">
            <w:r>
              <w:rPr>
                <w:rFonts w:hint="eastAsia"/>
              </w:rPr>
              <w:t>v</w:t>
            </w:r>
            <w:r>
              <w:t>ivo</w:t>
            </w:r>
          </w:p>
        </w:tc>
        <w:tc>
          <w:tcPr>
            <w:tcW w:w="8299" w:type="dxa"/>
          </w:tcPr>
          <w:p w14:paraId="1219BF1A" w14:textId="043A37D7" w:rsidR="00593AE8" w:rsidRDefault="00BE11CC">
            <w:r>
              <w:rPr>
                <w:lang w:eastAsia="zh-CN"/>
              </w:rPr>
              <w:t xml:space="preserve">Since fallback </w:t>
            </w:r>
            <w:r>
              <w:rPr>
                <w:lang w:eastAsia="zh-CN"/>
              </w:rPr>
              <w:t xml:space="preserve">can be supported </w:t>
            </w:r>
            <w:r>
              <w:rPr>
                <w:lang w:eastAsia="zh-CN"/>
              </w:rPr>
              <w:t xml:space="preserve">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CC19D8" w14:paraId="09090F50" w14:textId="77777777">
        <w:trPr>
          <w:trHeight w:val="428"/>
        </w:trPr>
        <w:tc>
          <w:tcPr>
            <w:tcW w:w="1944" w:type="dxa"/>
          </w:tcPr>
          <w:p w14:paraId="4E8F0899" w14:textId="77777777" w:rsidR="00CC19D8" w:rsidRDefault="00CC19D8"/>
        </w:tc>
        <w:tc>
          <w:tcPr>
            <w:tcW w:w="8299" w:type="dxa"/>
          </w:tcPr>
          <w:p w14:paraId="6049C4A0" w14:textId="77777777" w:rsidR="00CC19D8" w:rsidRPr="006162F7" w:rsidRDefault="00CC19D8"/>
        </w:tc>
      </w:tr>
    </w:tbl>
    <w:p w14:paraId="1C9EBC24" w14:textId="77777777" w:rsidR="00CC19D8"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w:t>
      </w:r>
      <w:r w:rsidR="00643998">
        <w:rPr>
          <w:lang w:eastAsia="zh-CN"/>
        </w:rPr>
        <w:lastRenderedPageBreak/>
        <w:t xml:space="preserve">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w:t>
            </w:r>
            <w:r>
              <w:rPr>
                <w:lang w:eastAsia="zh-CN"/>
              </w:rPr>
              <w:t xml:space="preserve">o discussion/decision is made on switching from non-AI to AI. </w:t>
            </w:r>
            <w:r>
              <w:rPr>
                <w:lang w:eastAsia="zh-CN"/>
              </w:rPr>
              <w:t>We think</w:t>
            </w:r>
            <w:r>
              <w:rPr>
                <w:lang w:eastAsia="zh-CN"/>
              </w:rPr>
              <w:t xml:space="preserve">, the AI/ML positioning should be employed by UE under LMF control. See that obtaining positioning information can be a short-time process, </w:t>
            </w:r>
            <w:r>
              <w:rPr>
                <w:lang w:eastAsia="zh-CN"/>
              </w:rPr>
              <w:t>it may not be necessary</w:t>
            </w:r>
            <w:r>
              <w:rPr>
                <w:lang w:eastAsia="zh-CN"/>
              </w:rPr>
              <w:t xml:space="preserve">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w:t>
            </w:r>
            <w:r>
              <w:rPr>
                <w:lang w:eastAsia="zh-CN"/>
              </w:rPr>
              <w:t xml:space="preserve">achieve potential </w:t>
            </w:r>
            <w:r>
              <w:rPr>
                <w:lang w:eastAsia="zh-CN"/>
              </w:rPr>
              <w:t>“switch” scheme.</w:t>
            </w:r>
          </w:p>
        </w:tc>
      </w:tr>
      <w:tr w:rsidR="00A26A9C" w14:paraId="077FDB7E" w14:textId="77777777">
        <w:trPr>
          <w:trHeight w:val="428"/>
        </w:trPr>
        <w:tc>
          <w:tcPr>
            <w:tcW w:w="1944" w:type="dxa"/>
          </w:tcPr>
          <w:p w14:paraId="24B80BEB" w14:textId="77777777" w:rsidR="00A26A9C" w:rsidRDefault="00A26A9C"/>
        </w:tc>
        <w:tc>
          <w:tcPr>
            <w:tcW w:w="8299" w:type="dxa"/>
          </w:tcPr>
          <w:p w14:paraId="43AE0EF0" w14:textId="77777777" w:rsidR="00A26A9C" w:rsidRPr="006162F7" w:rsidRDefault="00A26A9C"/>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w:t>
            </w:r>
            <w:r>
              <w:rPr>
                <w:lang w:eastAsia="zh-CN"/>
              </w:rPr>
              <w:t>additional or new</w:t>
            </w:r>
            <w:r>
              <w:rPr>
                <w:lang w:eastAsia="zh-CN"/>
              </w:rPr>
              <w:t xml:space="preserve">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ListParagraph"/>
              <w:numPr>
                <w:ilvl w:val="0"/>
                <w:numId w:val="45"/>
              </w:numPr>
              <w:jc w:val="both"/>
              <w:rPr>
                <w:rFonts w:ascii="Times New Roman" w:eastAsia="宋体" w:hAnsi="Times New Roman" w:cs="Times New Roman"/>
                <w:i/>
                <w:iCs/>
                <w:sz w:val="20"/>
                <w:szCs w:val="20"/>
                <w:lang w:val="en-GB" w:eastAsia="zh-CN"/>
              </w:rPr>
            </w:pPr>
            <w:proofErr w:type="spellStart"/>
            <w:r w:rsidRPr="00E63BD4">
              <w:rPr>
                <w:rFonts w:ascii="Times New Roman" w:eastAsia="宋体"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ListParagraph"/>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w:t>
            </w:r>
            <w:proofErr w:type="gramStart"/>
            <w:r w:rsidR="003A3CD6">
              <w:rPr>
                <w:rFonts w:ascii="Times New Roman" w:eastAsia="宋体" w:hAnsi="Times New Roman" w:cs="Times New Roman"/>
                <w:sz w:val="20"/>
                <w:szCs w:val="20"/>
                <w:lang w:val="en-GB" w:eastAsia="zh-CN"/>
              </w:rPr>
              <w:t xml:space="preserve">is </w:t>
            </w:r>
            <w:r>
              <w:rPr>
                <w:rFonts w:ascii="Times New Roman" w:eastAsia="宋体" w:hAnsi="Times New Roman" w:cs="Times New Roman"/>
                <w:sz w:val="20"/>
                <w:szCs w:val="20"/>
                <w:lang w:val="en-GB" w:eastAsia="zh-CN"/>
              </w:rPr>
              <w:t xml:space="preserve"> no</w:t>
            </w:r>
            <w:proofErr w:type="gramEnd"/>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ListParagraph"/>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ListParagraph"/>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ListParagraph"/>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宋体" w:hAnsi="Times New Roman" w:cs="Times New Roman"/>
                <w:i/>
                <w:iCs/>
                <w:sz w:val="20"/>
                <w:szCs w:val="20"/>
                <w:lang w:val="en-GB" w:eastAsia="zh-CN"/>
              </w:rPr>
              <w:t>Providelocationinformation</w:t>
            </w:r>
            <w:proofErr w:type="spellEnd"/>
            <w:r w:rsidRPr="00E63BD4">
              <w:rPr>
                <w:rFonts w:ascii="Times New Roman" w:eastAsia="宋体" w:hAnsi="Times New Roman" w:cs="Times New Roman"/>
                <w:i/>
                <w:iCs/>
                <w:sz w:val="20"/>
                <w:szCs w:val="20"/>
                <w:lang w:val="en-GB" w:eastAsia="zh-CN"/>
              </w:rPr>
              <w:t xml:space="preserve"> message with error cause</w:t>
            </w:r>
            <w:r>
              <w:rPr>
                <w:rFonts w:ascii="Times New Roman" w:eastAsia="宋体" w:hAnsi="Times New Roman" w:cs="Times New Roman"/>
                <w:sz w:val="20"/>
                <w:szCs w:val="20"/>
                <w:lang w:val="en-GB" w:eastAsia="zh-CN"/>
              </w:rPr>
              <w:t xml:space="preserve">”, the first and foremost error should be </w:t>
            </w:r>
            <w:proofErr w:type="spellStart"/>
            <w:r w:rsidRPr="00870C47">
              <w:rPr>
                <w:rFonts w:ascii="Times New Roman" w:eastAsia="宋体" w:hAnsi="Times New Roman" w:cs="Times New Roman"/>
                <w:i/>
                <w:iCs/>
                <w:sz w:val="20"/>
                <w:szCs w:val="20"/>
                <w:lang w:val="en-GB" w:eastAsia="zh-CN"/>
              </w:rPr>
              <w:t>FunctionalityNotApplicable</w:t>
            </w:r>
            <w:proofErr w:type="spellEnd"/>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ListParagraph"/>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lastRenderedPageBreak/>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4F3599" w14:paraId="7B395FEF" w14:textId="77777777" w:rsidTr="00CD623B">
        <w:tc>
          <w:tcPr>
            <w:tcW w:w="1511" w:type="dxa"/>
          </w:tcPr>
          <w:p w14:paraId="173C2B09" w14:textId="77777777" w:rsidR="004F3599" w:rsidRDefault="004F3599"/>
        </w:tc>
        <w:tc>
          <w:tcPr>
            <w:tcW w:w="1527" w:type="dxa"/>
          </w:tcPr>
          <w:p w14:paraId="7A4BB629" w14:textId="77777777" w:rsidR="004F3599" w:rsidRPr="006162F7" w:rsidRDefault="004F3599"/>
        </w:tc>
        <w:tc>
          <w:tcPr>
            <w:tcW w:w="6317" w:type="dxa"/>
          </w:tcPr>
          <w:p w14:paraId="45983516" w14:textId="77777777" w:rsidR="004F3599" w:rsidRPr="006162F7" w:rsidRDefault="004F3599"/>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TableGrid"/>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2"/>
        <w:gridCol w:w="1527"/>
        <w:gridCol w:w="6316"/>
      </w:tblGrid>
      <w:tr w:rsidR="00981D06" w:rsidRPr="006162F7" w14:paraId="7D157A5B" w14:textId="77777777">
        <w:tc>
          <w:tcPr>
            <w:tcW w:w="1529" w:type="dxa"/>
          </w:tcPr>
          <w:p w14:paraId="454C33DF" w14:textId="77777777" w:rsidR="00981D06" w:rsidRPr="006162F7" w:rsidRDefault="00981D06">
            <w:pPr>
              <w:jc w:val="both"/>
              <w:rPr>
                <w:b/>
                <w:bCs/>
              </w:rPr>
            </w:pPr>
            <w:r w:rsidRPr="006162F7">
              <w:rPr>
                <w:b/>
                <w:bCs/>
              </w:rPr>
              <w:t>Company</w:t>
            </w:r>
          </w:p>
        </w:tc>
        <w:tc>
          <w:tcPr>
            <w:tcW w:w="1301" w:type="dxa"/>
          </w:tcPr>
          <w:p w14:paraId="176EDE23" w14:textId="1C46A27C" w:rsidR="00981D06" w:rsidRPr="006162F7" w:rsidRDefault="00981D06">
            <w:pPr>
              <w:jc w:val="both"/>
              <w:rPr>
                <w:b/>
                <w:bCs/>
              </w:rPr>
            </w:pPr>
            <w:r>
              <w:rPr>
                <w:b/>
                <w:bCs/>
              </w:rPr>
              <w:t>Agree/Disagree</w:t>
            </w:r>
          </w:p>
        </w:tc>
        <w:tc>
          <w:tcPr>
            <w:tcW w:w="6525" w:type="dxa"/>
          </w:tcPr>
          <w:p w14:paraId="134C9C51" w14:textId="77777777" w:rsidR="00981D06" w:rsidRPr="006162F7" w:rsidRDefault="00981D06">
            <w:pPr>
              <w:jc w:val="both"/>
              <w:rPr>
                <w:b/>
                <w:bCs/>
              </w:rPr>
            </w:pPr>
            <w:r w:rsidRPr="006162F7">
              <w:rPr>
                <w:b/>
                <w:bCs/>
              </w:rPr>
              <w:t>Remark</w:t>
            </w:r>
          </w:p>
        </w:tc>
      </w:tr>
      <w:tr w:rsidR="00981D06" w14:paraId="6B4F365F" w14:textId="77777777">
        <w:tc>
          <w:tcPr>
            <w:tcW w:w="1529" w:type="dxa"/>
          </w:tcPr>
          <w:p w14:paraId="3C03F855" w14:textId="48184771" w:rsidR="00981D06" w:rsidRDefault="003D3187">
            <w:pPr>
              <w:rPr>
                <w:lang w:eastAsia="zh-CN"/>
              </w:rPr>
            </w:pPr>
            <w:r>
              <w:rPr>
                <w:rFonts w:hint="eastAsia"/>
                <w:lang w:eastAsia="zh-CN"/>
              </w:rPr>
              <w:t>X</w:t>
            </w:r>
            <w:r>
              <w:rPr>
                <w:lang w:eastAsia="zh-CN"/>
              </w:rPr>
              <w:t>iaomi</w:t>
            </w:r>
          </w:p>
        </w:tc>
        <w:tc>
          <w:tcPr>
            <w:tcW w:w="1301" w:type="dxa"/>
          </w:tcPr>
          <w:p w14:paraId="7F5AB7B5" w14:textId="08C6D3CF" w:rsidR="00981D06" w:rsidRDefault="003D3187">
            <w:pPr>
              <w:rPr>
                <w:lang w:eastAsia="zh-CN"/>
              </w:rPr>
            </w:pPr>
            <w:r>
              <w:rPr>
                <w:rFonts w:hint="eastAsia"/>
                <w:lang w:eastAsia="zh-CN"/>
              </w:rPr>
              <w:t>A</w:t>
            </w:r>
            <w:r>
              <w:rPr>
                <w:lang w:eastAsia="zh-CN"/>
              </w:rPr>
              <w:t>gree</w:t>
            </w:r>
          </w:p>
        </w:tc>
        <w:tc>
          <w:tcPr>
            <w:tcW w:w="6525" w:type="dxa"/>
          </w:tcPr>
          <w:p w14:paraId="56468AFF" w14:textId="05BDDE3D" w:rsidR="00981D06" w:rsidRDefault="00981D06">
            <w:pPr>
              <w:rPr>
                <w:lang w:eastAsia="zh-CN"/>
              </w:rPr>
            </w:pPr>
          </w:p>
        </w:tc>
      </w:tr>
      <w:tr w:rsidR="00981D06" w14:paraId="4AC42D45" w14:textId="77777777">
        <w:tc>
          <w:tcPr>
            <w:tcW w:w="1529" w:type="dxa"/>
          </w:tcPr>
          <w:p w14:paraId="58E5BD44" w14:textId="603D2BD7" w:rsidR="00981D06" w:rsidRDefault="00246B1B">
            <w:r>
              <w:t>Apple</w:t>
            </w:r>
          </w:p>
        </w:tc>
        <w:tc>
          <w:tcPr>
            <w:tcW w:w="1301" w:type="dxa"/>
          </w:tcPr>
          <w:p w14:paraId="009AC322" w14:textId="0B2033F5" w:rsidR="00981D06" w:rsidRDefault="00246B1B">
            <w:r>
              <w:t>Agree</w:t>
            </w:r>
          </w:p>
        </w:tc>
        <w:tc>
          <w:tcPr>
            <w:tcW w:w="6525" w:type="dxa"/>
          </w:tcPr>
          <w:p w14:paraId="4C3C9245" w14:textId="77777777" w:rsidR="00981D06" w:rsidRDefault="00981D06"/>
        </w:tc>
      </w:tr>
      <w:tr w:rsidR="00981D06" w:rsidRPr="006162F7" w14:paraId="717E8FF8" w14:textId="77777777">
        <w:tc>
          <w:tcPr>
            <w:tcW w:w="1529" w:type="dxa"/>
          </w:tcPr>
          <w:p w14:paraId="63098AF4" w14:textId="1B11BFBD" w:rsidR="00981D06" w:rsidRDefault="005B3F34">
            <w:r>
              <w:t>Fraunhofer</w:t>
            </w:r>
          </w:p>
        </w:tc>
        <w:tc>
          <w:tcPr>
            <w:tcW w:w="1301" w:type="dxa"/>
          </w:tcPr>
          <w:p w14:paraId="00249926" w14:textId="559E2797" w:rsidR="00981D06" w:rsidRPr="006162F7" w:rsidRDefault="005B3F34">
            <w:r>
              <w:t>Agree</w:t>
            </w:r>
          </w:p>
        </w:tc>
        <w:tc>
          <w:tcPr>
            <w:tcW w:w="6525" w:type="dxa"/>
          </w:tcPr>
          <w:p w14:paraId="1713E681" w14:textId="77777777" w:rsidR="00981D06" w:rsidRPr="006162F7" w:rsidRDefault="00981D06"/>
        </w:tc>
      </w:tr>
      <w:tr w:rsidR="00BB6903" w:rsidRPr="006162F7" w14:paraId="277FC9E7" w14:textId="77777777">
        <w:tc>
          <w:tcPr>
            <w:tcW w:w="1529" w:type="dxa"/>
          </w:tcPr>
          <w:p w14:paraId="26D56981" w14:textId="771D9380" w:rsidR="00BB6903" w:rsidRDefault="00BB6903">
            <w:r>
              <w:rPr>
                <w:rFonts w:hint="eastAsia"/>
              </w:rPr>
              <w:t>v</w:t>
            </w:r>
            <w:r>
              <w:t>ivo</w:t>
            </w:r>
          </w:p>
        </w:tc>
        <w:tc>
          <w:tcPr>
            <w:tcW w:w="1301" w:type="dxa"/>
          </w:tcPr>
          <w:p w14:paraId="643D2F96" w14:textId="6D9CF9DF" w:rsidR="00BB6903" w:rsidRDefault="00085855">
            <w:r>
              <w:rPr>
                <w:lang w:eastAsia="zh-CN"/>
              </w:rPr>
              <w:t>See comment</w:t>
            </w:r>
          </w:p>
        </w:tc>
        <w:tc>
          <w:tcPr>
            <w:tcW w:w="6525"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981D06" w:rsidRPr="006162F7" w14:paraId="161D37B7" w14:textId="77777777">
        <w:tc>
          <w:tcPr>
            <w:tcW w:w="1529" w:type="dxa"/>
          </w:tcPr>
          <w:p w14:paraId="1F6612A4" w14:textId="77777777" w:rsidR="00981D06" w:rsidRDefault="00981D06"/>
        </w:tc>
        <w:tc>
          <w:tcPr>
            <w:tcW w:w="1301" w:type="dxa"/>
          </w:tcPr>
          <w:p w14:paraId="29E5D8B3" w14:textId="77777777" w:rsidR="00981D06" w:rsidRPr="006162F7" w:rsidRDefault="00981D06"/>
        </w:tc>
        <w:tc>
          <w:tcPr>
            <w:tcW w:w="6525" w:type="dxa"/>
          </w:tcPr>
          <w:p w14:paraId="71B70A90" w14:textId="77777777" w:rsidR="00981D06" w:rsidRPr="006162F7" w:rsidRDefault="00981D06"/>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lastRenderedPageBreak/>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w:t>
      </w:r>
      <w:proofErr w:type="gramStart"/>
      <w:r w:rsidR="00A42332">
        <w:rPr>
          <w:lang w:val="en-GB" w:eastAsia="zh-CN"/>
        </w:rPr>
        <w:t>e.g.</w:t>
      </w:r>
      <w:proofErr w:type="gramEnd"/>
      <w:r w:rsidR="00A42332">
        <w:rPr>
          <w:lang w:val="en-GB" w:eastAsia="zh-CN"/>
        </w:rPr>
        <w:t xml:space="preserve">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09"/>
        <w:gridCol w:w="1527"/>
        <w:gridCol w:w="6319"/>
      </w:tblGrid>
      <w:tr w:rsidR="0039787F" w:rsidRPr="006162F7" w14:paraId="03A30337" w14:textId="77777777">
        <w:tc>
          <w:tcPr>
            <w:tcW w:w="1529" w:type="dxa"/>
          </w:tcPr>
          <w:p w14:paraId="6BB64571" w14:textId="77777777" w:rsidR="0039787F" w:rsidRPr="006162F7" w:rsidRDefault="0039787F">
            <w:pPr>
              <w:jc w:val="both"/>
              <w:rPr>
                <w:b/>
                <w:bCs/>
              </w:rPr>
            </w:pPr>
            <w:r w:rsidRPr="006162F7">
              <w:rPr>
                <w:b/>
                <w:bCs/>
              </w:rPr>
              <w:t>Company</w:t>
            </w:r>
          </w:p>
        </w:tc>
        <w:tc>
          <w:tcPr>
            <w:tcW w:w="1301" w:type="dxa"/>
          </w:tcPr>
          <w:p w14:paraId="4A92F65D" w14:textId="77777777" w:rsidR="0039787F" w:rsidRPr="006162F7" w:rsidRDefault="0039787F">
            <w:pPr>
              <w:jc w:val="both"/>
              <w:rPr>
                <w:b/>
                <w:bCs/>
              </w:rPr>
            </w:pPr>
            <w:r>
              <w:rPr>
                <w:b/>
                <w:bCs/>
              </w:rPr>
              <w:t>Agree/Disagree</w:t>
            </w:r>
          </w:p>
        </w:tc>
        <w:tc>
          <w:tcPr>
            <w:tcW w:w="6525" w:type="dxa"/>
          </w:tcPr>
          <w:p w14:paraId="0302206F" w14:textId="77777777" w:rsidR="0039787F" w:rsidRPr="006162F7" w:rsidRDefault="0039787F">
            <w:pPr>
              <w:jc w:val="both"/>
              <w:rPr>
                <w:b/>
                <w:bCs/>
              </w:rPr>
            </w:pPr>
            <w:r w:rsidRPr="006162F7">
              <w:rPr>
                <w:b/>
                <w:bCs/>
              </w:rPr>
              <w:t>Remark</w:t>
            </w:r>
          </w:p>
        </w:tc>
      </w:tr>
      <w:tr w:rsidR="0039787F" w14:paraId="5483984B" w14:textId="77777777">
        <w:tc>
          <w:tcPr>
            <w:tcW w:w="1529" w:type="dxa"/>
          </w:tcPr>
          <w:p w14:paraId="1FBF1400" w14:textId="25D8C262" w:rsidR="0039787F" w:rsidRDefault="00B55B3B">
            <w:pPr>
              <w:rPr>
                <w:lang w:eastAsia="zh-CN"/>
              </w:rPr>
            </w:pPr>
            <w:r>
              <w:rPr>
                <w:rFonts w:hint="eastAsia"/>
                <w:lang w:eastAsia="zh-CN"/>
              </w:rPr>
              <w:lastRenderedPageBreak/>
              <w:t>X</w:t>
            </w:r>
            <w:r>
              <w:rPr>
                <w:lang w:eastAsia="zh-CN"/>
              </w:rPr>
              <w:t>iaomi</w:t>
            </w:r>
          </w:p>
        </w:tc>
        <w:tc>
          <w:tcPr>
            <w:tcW w:w="1301" w:type="dxa"/>
          </w:tcPr>
          <w:p w14:paraId="006F0542" w14:textId="3FCE553F" w:rsidR="0039787F" w:rsidRDefault="00B55B3B">
            <w:pPr>
              <w:rPr>
                <w:lang w:eastAsia="zh-CN"/>
              </w:rPr>
            </w:pPr>
            <w:r>
              <w:rPr>
                <w:rFonts w:hint="eastAsia"/>
                <w:lang w:eastAsia="zh-CN"/>
              </w:rPr>
              <w:t>D</w:t>
            </w:r>
            <w:r>
              <w:rPr>
                <w:lang w:eastAsia="zh-CN"/>
              </w:rPr>
              <w:t>isagree</w:t>
            </w:r>
          </w:p>
        </w:tc>
        <w:tc>
          <w:tcPr>
            <w:tcW w:w="6525"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tc>
          <w:tcPr>
            <w:tcW w:w="1529" w:type="dxa"/>
          </w:tcPr>
          <w:p w14:paraId="57765501" w14:textId="00811F31" w:rsidR="0039787F" w:rsidRDefault="0033562E">
            <w:r>
              <w:t>Apple</w:t>
            </w:r>
          </w:p>
        </w:tc>
        <w:tc>
          <w:tcPr>
            <w:tcW w:w="1301" w:type="dxa"/>
          </w:tcPr>
          <w:p w14:paraId="71A7E672" w14:textId="5743B5C1" w:rsidR="0039787F" w:rsidRDefault="0033562E">
            <w:r>
              <w:t>Disagree</w:t>
            </w:r>
          </w:p>
        </w:tc>
        <w:tc>
          <w:tcPr>
            <w:tcW w:w="6525"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ListParagraph"/>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ListParagraph"/>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tc>
          <w:tcPr>
            <w:tcW w:w="1529" w:type="dxa"/>
          </w:tcPr>
          <w:p w14:paraId="2B1F2FD0" w14:textId="2F025C09" w:rsidR="0039787F" w:rsidRDefault="009A109C">
            <w:r>
              <w:t>Fraunhofer</w:t>
            </w:r>
          </w:p>
        </w:tc>
        <w:tc>
          <w:tcPr>
            <w:tcW w:w="1301" w:type="dxa"/>
          </w:tcPr>
          <w:p w14:paraId="6679F9FB" w14:textId="267A4680" w:rsidR="0039787F" w:rsidRPr="006162F7" w:rsidRDefault="00613702">
            <w:r>
              <w:t>Needs clarification</w:t>
            </w:r>
          </w:p>
        </w:tc>
        <w:tc>
          <w:tcPr>
            <w:tcW w:w="6525"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w:t>
            </w:r>
            <w:r w:rsidR="003051CF">
              <w:lastRenderedPageBreak/>
              <w:t xml:space="preserve">suitable fallback approach if one of the AI/ML functionalities (or models) are not applicable in the area. </w:t>
            </w:r>
          </w:p>
        </w:tc>
      </w:tr>
      <w:tr w:rsidR="00085855" w:rsidRPr="006162F7" w14:paraId="562DF230" w14:textId="77777777">
        <w:tc>
          <w:tcPr>
            <w:tcW w:w="1529" w:type="dxa"/>
          </w:tcPr>
          <w:p w14:paraId="440B2FDF" w14:textId="13F7D87D" w:rsidR="00085855" w:rsidRDefault="00085855">
            <w:r>
              <w:rPr>
                <w:rFonts w:hint="eastAsia"/>
              </w:rPr>
              <w:lastRenderedPageBreak/>
              <w:t>v</w:t>
            </w:r>
            <w:r>
              <w:t>ivo</w:t>
            </w:r>
          </w:p>
        </w:tc>
        <w:tc>
          <w:tcPr>
            <w:tcW w:w="1301" w:type="dxa"/>
          </w:tcPr>
          <w:p w14:paraId="7C385CA5" w14:textId="19636942" w:rsidR="00085855" w:rsidRDefault="00085855">
            <w:r>
              <w:rPr>
                <w:lang w:eastAsia="zh-CN"/>
              </w:rPr>
              <w:t>D</w:t>
            </w:r>
            <w:r>
              <w:rPr>
                <w:lang w:eastAsia="zh-CN"/>
              </w:rPr>
              <w:t>isagree</w:t>
            </w:r>
          </w:p>
        </w:tc>
        <w:tc>
          <w:tcPr>
            <w:tcW w:w="6525"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39787F" w:rsidRPr="006162F7" w14:paraId="737F6B89" w14:textId="77777777">
        <w:tc>
          <w:tcPr>
            <w:tcW w:w="1529" w:type="dxa"/>
          </w:tcPr>
          <w:p w14:paraId="6F7DFB5C" w14:textId="77777777" w:rsidR="0039787F" w:rsidRDefault="0039787F"/>
        </w:tc>
        <w:tc>
          <w:tcPr>
            <w:tcW w:w="1301" w:type="dxa"/>
          </w:tcPr>
          <w:p w14:paraId="4F20FBD8" w14:textId="77777777" w:rsidR="0039787F" w:rsidRPr="006162F7" w:rsidRDefault="0039787F"/>
        </w:tc>
        <w:tc>
          <w:tcPr>
            <w:tcW w:w="6525" w:type="dxa"/>
          </w:tcPr>
          <w:p w14:paraId="3F6A7E63" w14:textId="77777777" w:rsidR="0039787F" w:rsidRPr="006162F7" w:rsidRDefault="0039787F"/>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uestions to ask to RAN1 for resolving FFS waiting on RAN1 progress</w:t>
      </w:r>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lastRenderedPageBreak/>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proofErr w:type="gramStart"/>
            <w:r>
              <w:rPr>
                <w:lang w:eastAsia="zh-CN"/>
              </w:rPr>
              <w:t>Yes</w:t>
            </w:r>
            <w:proofErr w:type="gramEnd"/>
            <w:r>
              <w:rPr>
                <w:lang w:eastAsia="zh-CN"/>
              </w:rPr>
              <w:t xml:space="preserve"> with </w:t>
            </w:r>
            <w:r>
              <w:rPr>
                <w:lang w:eastAsia="zh-CN"/>
              </w:rPr>
              <w:t xml:space="preserve">some </w:t>
            </w:r>
            <w:r>
              <w:rPr>
                <w:lang w:eastAsia="zh-CN"/>
              </w:rPr>
              <w:t>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w:t>
            </w:r>
            <w:r w:rsidR="004B789E" w:rsidRPr="004B789E">
              <w:rPr>
                <w:b/>
                <w:bCs/>
                <w:strike/>
                <w:u w:val="single"/>
              </w:rPr>
              <w:t>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2F060C" w14:paraId="772A56AE" w14:textId="77777777">
        <w:tc>
          <w:tcPr>
            <w:tcW w:w="1529" w:type="dxa"/>
          </w:tcPr>
          <w:p w14:paraId="68854E07" w14:textId="77777777" w:rsidR="002F060C" w:rsidRDefault="002F060C"/>
        </w:tc>
        <w:tc>
          <w:tcPr>
            <w:tcW w:w="1301" w:type="dxa"/>
          </w:tcPr>
          <w:p w14:paraId="5D0F60CC" w14:textId="77777777" w:rsidR="002F060C" w:rsidRPr="006162F7" w:rsidRDefault="002F060C"/>
        </w:tc>
        <w:tc>
          <w:tcPr>
            <w:tcW w:w="6525" w:type="dxa"/>
          </w:tcPr>
          <w:p w14:paraId="32014E6C" w14:textId="77777777" w:rsidR="002F060C" w:rsidRPr="006162F7" w:rsidRDefault="002F060C"/>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lastRenderedPageBreak/>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B1ACF" w:rsidRPr="006162F7" w14:paraId="01A28FD2" w14:textId="77777777" w:rsidTr="00B37000">
        <w:tc>
          <w:tcPr>
            <w:tcW w:w="1529" w:type="dxa"/>
          </w:tcPr>
          <w:p w14:paraId="36D6931E" w14:textId="77777777" w:rsidR="00EB1ACF" w:rsidRDefault="00EB1ACF"/>
        </w:tc>
        <w:tc>
          <w:tcPr>
            <w:tcW w:w="1306" w:type="dxa"/>
          </w:tcPr>
          <w:p w14:paraId="60D6BF5C" w14:textId="77777777" w:rsidR="00EB1ACF" w:rsidRPr="006162F7" w:rsidRDefault="00EB1ACF"/>
        </w:tc>
        <w:tc>
          <w:tcPr>
            <w:tcW w:w="6520" w:type="dxa"/>
          </w:tcPr>
          <w:p w14:paraId="297827FB" w14:textId="77777777" w:rsidR="00EB1ACF" w:rsidRPr="006162F7" w:rsidRDefault="00EB1ACF"/>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lastRenderedPageBreak/>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rFonts w:hint="eastAsia"/>
                <w:lang w:eastAsia="zh-CN"/>
              </w:rPr>
            </w:pPr>
            <w:r>
              <w:rPr>
                <w:rFonts w:hint="eastAsia"/>
                <w:lang w:eastAsia="zh-CN"/>
              </w:rPr>
              <w:t>v</w:t>
            </w:r>
            <w:r>
              <w:rPr>
                <w:lang w:eastAsia="zh-CN"/>
              </w:rPr>
              <w:t>ivo</w:t>
            </w:r>
          </w:p>
        </w:tc>
        <w:tc>
          <w:tcPr>
            <w:tcW w:w="1301" w:type="dxa"/>
          </w:tcPr>
          <w:p w14:paraId="5D76DD29" w14:textId="12A11DFF" w:rsidR="00746144" w:rsidRDefault="004B789E">
            <w:pPr>
              <w:rPr>
                <w:rFonts w:hint="eastAsia"/>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77777777" w:rsidR="00746144" w:rsidRDefault="00746144"/>
        </w:tc>
        <w:tc>
          <w:tcPr>
            <w:tcW w:w="1301" w:type="dxa"/>
          </w:tcPr>
          <w:p w14:paraId="6B25C4BD" w14:textId="77777777" w:rsidR="00746144" w:rsidRDefault="00746144"/>
        </w:tc>
        <w:tc>
          <w:tcPr>
            <w:tcW w:w="6525" w:type="dxa"/>
          </w:tcPr>
          <w:p w14:paraId="22F987EA" w14:textId="77777777" w:rsidR="00746144" w:rsidRDefault="00746144"/>
        </w:tc>
      </w:tr>
      <w:tr w:rsidR="00746144" w:rsidRPr="006162F7" w14:paraId="40D97B88" w14:textId="77777777">
        <w:tc>
          <w:tcPr>
            <w:tcW w:w="1529" w:type="dxa"/>
          </w:tcPr>
          <w:p w14:paraId="7C1043BB" w14:textId="77777777" w:rsidR="00746144" w:rsidRDefault="00746144"/>
        </w:tc>
        <w:tc>
          <w:tcPr>
            <w:tcW w:w="1301" w:type="dxa"/>
          </w:tcPr>
          <w:p w14:paraId="170352A6" w14:textId="77777777" w:rsidR="00746144" w:rsidRPr="006162F7" w:rsidRDefault="00746144"/>
        </w:tc>
        <w:tc>
          <w:tcPr>
            <w:tcW w:w="6525" w:type="dxa"/>
          </w:tcPr>
          <w:p w14:paraId="75866B90" w14:textId="77777777" w:rsidR="00746144" w:rsidRPr="006162F7" w:rsidRDefault="00746144"/>
        </w:tc>
      </w:tr>
      <w:tr w:rsidR="00746144" w:rsidRPr="006162F7" w14:paraId="6DAE1E17" w14:textId="77777777">
        <w:tc>
          <w:tcPr>
            <w:tcW w:w="1529" w:type="dxa"/>
          </w:tcPr>
          <w:p w14:paraId="7264F2EF" w14:textId="77777777" w:rsidR="00746144" w:rsidRDefault="00746144"/>
        </w:tc>
        <w:tc>
          <w:tcPr>
            <w:tcW w:w="1301" w:type="dxa"/>
          </w:tcPr>
          <w:p w14:paraId="25C8B58F" w14:textId="77777777" w:rsidR="00746144" w:rsidRPr="006162F7" w:rsidRDefault="00746144"/>
        </w:tc>
        <w:tc>
          <w:tcPr>
            <w:tcW w:w="6525" w:type="dxa"/>
          </w:tcPr>
          <w:p w14:paraId="1FE9F6CF" w14:textId="77777777" w:rsidR="00746144" w:rsidRPr="006162F7" w:rsidRDefault="00746144"/>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w:t>
            </w:r>
            <w:r>
              <w:rPr>
                <w:lang w:eastAsia="zh-CN"/>
              </w:rPr>
              <w:lastRenderedPageBreak/>
              <w:t xml:space="preserve">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lastRenderedPageBreak/>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1D0C19" w:rsidRPr="006162F7" w14:paraId="423F6BB3" w14:textId="77777777">
        <w:tc>
          <w:tcPr>
            <w:tcW w:w="1529" w:type="dxa"/>
          </w:tcPr>
          <w:p w14:paraId="2A9D4138" w14:textId="77777777" w:rsidR="001D0C19" w:rsidRDefault="001D0C19"/>
        </w:tc>
        <w:tc>
          <w:tcPr>
            <w:tcW w:w="1301" w:type="dxa"/>
          </w:tcPr>
          <w:p w14:paraId="6DDBC6BA" w14:textId="77777777" w:rsidR="001D0C19" w:rsidRPr="006162F7" w:rsidRDefault="001D0C19"/>
        </w:tc>
        <w:tc>
          <w:tcPr>
            <w:tcW w:w="6525" w:type="dxa"/>
          </w:tcPr>
          <w:p w14:paraId="2363AF0E" w14:textId="77777777" w:rsidR="001D0C19" w:rsidRPr="006162F7" w:rsidRDefault="001D0C19"/>
        </w:tc>
      </w:tr>
    </w:tbl>
    <w:p w14:paraId="049E50CC" w14:textId="11D2525C" w:rsidR="00FA45AC" w:rsidRDefault="007E2A14" w:rsidP="0012729B">
      <w:pPr>
        <w:pStyle w:val="Heading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497F11">
            <w:pPr>
              <w:jc w:val="both"/>
              <w:rPr>
                <w:b/>
                <w:bCs/>
              </w:rPr>
            </w:pPr>
            <w:r w:rsidRPr="006162F7">
              <w:rPr>
                <w:b/>
                <w:bCs/>
              </w:rPr>
              <w:t>Company</w:t>
            </w:r>
          </w:p>
        </w:tc>
        <w:tc>
          <w:tcPr>
            <w:tcW w:w="6525" w:type="dxa"/>
          </w:tcPr>
          <w:p w14:paraId="61B5BA80" w14:textId="77777777" w:rsidR="00CD0CD4" w:rsidRPr="006162F7" w:rsidRDefault="00CD0CD4" w:rsidP="00497F11">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497F11">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CD0CD4" w14:paraId="4D31416C" w14:textId="77777777" w:rsidTr="00013748">
        <w:tc>
          <w:tcPr>
            <w:tcW w:w="1529" w:type="dxa"/>
          </w:tcPr>
          <w:p w14:paraId="273BE38E" w14:textId="77777777" w:rsidR="00CD0CD4" w:rsidRDefault="00CD0CD4" w:rsidP="00497F11"/>
        </w:tc>
        <w:tc>
          <w:tcPr>
            <w:tcW w:w="6525" w:type="dxa"/>
          </w:tcPr>
          <w:p w14:paraId="68D1A198" w14:textId="77777777" w:rsidR="00CD0CD4" w:rsidRDefault="00CD0CD4" w:rsidP="00497F11"/>
        </w:tc>
      </w:tr>
      <w:tr w:rsidR="00CD0CD4" w:rsidRPr="006162F7" w14:paraId="5275D7FB" w14:textId="77777777" w:rsidTr="00013748">
        <w:tc>
          <w:tcPr>
            <w:tcW w:w="1529" w:type="dxa"/>
          </w:tcPr>
          <w:p w14:paraId="75A7BA14" w14:textId="77777777" w:rsidR="00CD0CD4" w:rsidRDefault="00CD0CD4" w:rsidP="00497F11"/>
        </w:tc>
        <w:tc>
          <w:tcPr>
            <w:tcW w:w="6525" w:type="dxa"/>
          </w:tcPr>
          <w:p w14:paraId="46AF69AC" w14:textId="77777777" w:rsidR="00CD0CD4" w:rsidRPr="006162F7" w:rsidRDefault="00CD0CD4" w:rsidP="00497F11"/>
        </w:tc>
      </w:tr>
      <w:tr w:rsidR="00CD0CD4" w:rsidRPr="006162F7" w14:paraId="63304756" w14:textId="77777777" w:rsidTr="00013748">
        <w:tc>
          <w:tcPr>
            <w:tcW w:w="1529" w:type="dxa"/>
          </w:tcPr>
          <w:p w14:paraId="0DEB92A0" w14:textId="77777777" w:rsidR="00CD0CD4" w:rsidRDefault="00CD0CD4" w:rsidP="00497F11"/>
        </w:tc>
        <w:tc>
          <w:tcPr>
            <w:tcW w:w="6525" w:type="dxa"/>
          </w:tcPr>
          <w:p w14:paraId="3145F0B6" w14:textId="77777777" w:rsidR="00CD0CD4" w:rsidRPr="006162F7" w:rsidRDefault="00CD0CD4" w:rsidP="00497F11"/>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t>Annex RAN1 agreements</w:t>
      </w:r>
    </w:p>
    <w:tbl>
      <w:tblPr>
        <w:tblStyle w:val="TableGrid"/>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lastRenderedPageBreak/>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lastRenderedPageBreak/>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lastRenderedPageBreak/>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lastRenderedPageBreak/>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lastRenderedPageBreak/>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等线"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lastRenderedPageBreak/>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w:t>
                  </w:r>
                  <w:proofErr w:type="gramStart"/>
                  <w:r w:rsidRPr="00DA38BF">
                    <w:rPr>
                      <w:rFonts w:ascii="Times" w:eastAsia="Times New Roman" w:hAnsi="Times" w:cs="等线"/>
                      <w:b/>
                      <w:bCs/>
                      <w:color w:val="000000"/>
                      <w:lang w:val="en-GB"/>
                    </w:rPr>
                    <w:t>based  DL</w:t>
                  </w:r>
                  <w:proofErr w:type="gramEnd"/>
                  <w:r w:rsidRPr="00DA38BF">
                    <w:rPr>
                      <w:rFonts w:ascii="Times" w:eastAsia="Times New Roman" w:hAnsi="Times" w:cs="等线"/>
                      <w:b/>
                      <w:bCs/>
                      <w:color w:val="000000"/>
                      <w:lang w:val="en-GB"/>
                    </w:rPr>
                    <w:t>-AoD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lastRenderedPageBreak/>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lastRenderedPageBreak/>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820E" w14:textId="77777777" w:rsidR="00B34D8A" w:rsidRDefault="00B34D8A" w:rsidP="00741033">
      <w:pPr>
        <w:spacing w:after="0" w:line="240" w:lineRule="auto"/>
      </w:pPr>
      <w:r>
        <w:separator/>
      </w:r>
    </w:p>
  </w:endnote>
  <w:endnote w:type="continuationSeparator" w:id="0">
    <w:p w14:paraId="5725D382" w14:textId="77777777" w:rsidR="00B34D8A" w:rsidRDefault="00B34D8A" w:rsidP="00741033">
      <w:pPr>
        <w:spacing w:after="0" w:line="240" w:lineRule="auto"/>
      </w:pPr>
      <w:r>
        <w:continuationSeparator/>
      </w:r>
    </w:p>
  </w:endnote>
  <w:endnote w:type="continuationNotice" w:id="1">
    <w:p w14:paraId="0B27AFDB" w14:textId="77777777" w:rsidR="00B34D8A" w:rsidRDefault="00B34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CC37" w14:textId="77777777" w:rsidR="00B34D8A" w:rsidRDefault="00B34D8A" w:rsidP="00741033">
      <w:pPr>
        <w:spacing w:after="0" w:line="240" w:lineRule="auto"/>
      </w:pPr>
      <w:r>
        <w:separator/>
      </w:r>
    </w:p>
  </w:footnote>
  <w:footnote w:type="continuationSeparator" w:id="0">
    <w:p w14:paraId="3FF356C4" w14:textId="77777777" w:rsidR="00B34D8A" w:rsidRDefault="00B34D8A" w:rsidP="00741033">
      <w:pPr>
        <w:spacing w:after="0" w:line="240" w:lineRule="auto"/>
      </w:pPr>
      <w:r>
        <w:continuationSeparator/>
      </w:r>
    </w:p>
  </w:footnote>
  <w:footnote w:type="continuationNotice" w:id="1">
    <w:p w14:paraId="426249F2" w14:textId="77777777" w:rsidR="00B34D8A" w:rsidRDefault="00B34D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0"/>
  </w:num>
  <w:num w:numId="7">
    <w:abstractNumId w:val="21"/>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8"/>
  </w:num>
  <w:num w:numId="13">
    <w:abstractNumId w:val="36"/>
  </w:num>
  <w:num w:numId="14">
    <w:abstractNumId w:val="5"/>
  </w:num>
  <w:num w:numId="15">
    <w:abstractNumId w:val="38"/>
  </w:num>
  <w:num w:numId="16">
    <w:abstractNumId w:val="41"/>
  </w:num>
  <w:num w:numId="17">
    <w:abstractNumId w:val="19"/>
  </w:num>
  <w:num w:numId="18">
    <w:abstractNumId w:val="16"/>
  </w:num>
  <w:num w:numId="19">
    <w:abstractNumId w:val="2"/>
  </w:num>
  <w:num w:numId="20">
    <w:abstractNumId w:val="7"/>
  </w:num>
  <w:num w:numId="21">
    <w:abstractNumId w:val="34"/>
  </w:num>
  <w:num w:numId="22">
    <w:abstractNumId w:val="12"/>
  </w:num>
  <w:num w:numId="23">
    <w:abstractNumId w:val="13"/>
  </w:num>
  <w:num w:numId="24">
    <w:abstractNumId w:val="9"/>
  </w:num>
  <w:num w:numId="25">
    <w:abstractNumId w:val="1"/>
  </w:num>
  <w:num w:numId="26">
    <w:abstractNumId w:val="39"/>
  </w:num>
  <w:num w:numId="27">
    <w:abstractNumId w:val="10"/>
  </w:num>
  <w:num w:numId="28">
    <w:abstractNumId w:val="4"/>
  </w:num>
  <w:num w:numId="29">
    <w:abstractNumId w:val="17"/>
  </w:num>
  <w:num w:numId="30">
    <w:abstractNumId w:val="24"/>
  </w:num>
  <w:num w:numId="31">
    <w:abstractNumId w:val="23"/>
  </w:num>
  <w:num w:numId="32">
    <w:abstractNumId w:val="31"/>
  </w:num>
  <w:num w:numId="33">
    <w:abstractNumId w:val="40"/>
  </w:num>
  <w:num w:numId="34">
    <w:abstractNumId w:val="6"/>
  </w:num>
  <w:num w:numId="35">
    <w:abstractNumId w:val="32"/>
  </w:num>
  <w:num w:numId="36">
    <w:abstractNumId w:val="14"/>
  </w:num>
  <w:num w:numId="37">
    <w:abstractNumId w:val="42"/>
  </w:num>
  <w:num w:numId="38">
    <w:abstractNumId w:val="3"/>
  </w:num>
  <w:num w:numId="39">
    <w:abstractNumId w:val="30"/>
  </w:num>
  <w:num w:numId="40">
    <w:abstractNumId w:val="8"/>
  </w:num>
  <w:num w:numId="41">
    <w:abstractNumId w:val="15"/>
  </w:num>
  <w:num w:numId="42">
    <w:abstractNumId w:val="37"/>
  </w:num>
  <w:num w:numId="43">
    <w:abstractNumId w:val="29"/>
  </w:num>
  <w:num w:numId="44">
    <w:abstractNumId w:val="22"/>
  </w:num>
  <w:num w:numId="4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791"/>
    <w:rsid w:val="00025946"/>
    <w:rsid w:val="00025E3C"/>
    <w:rsid w:val="0002633D"/>
    <w:rsid w:val="00026359"/>
    <w:rsid w:val="00026665"/>
    <w:rsid w:val="00027DDC"/>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1E15"/>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1460"/>
    <w:rsid w:val="00201630"/>
    <w:rsid w:val="002026D9"/>
    <w:rsid w:val="00202948"/>
    <w:rsid w:val="0020323B"/>
    <w:rsid w:val="0020421D"/>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E7E"/>
    <w:rsid w:val="00256E58"/>
    <w:rsid w:val="00257398"/>
    <w:rsid w:val="002576C3"/>
    <w:rsid w:val="00257C47"/>
    <w:rsid w:val="002610D4"/>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8DC"/>
    <w:rsid w:val="00343ADB"/>
    <w:rsid w:val="00343E0F"/>
    <w:rsid w:val="00343E9E"/>
    <w:rsid w:val="00343FF3"/>
    <w:rsid w:val="003441A9"/>
    <w:rsid w:val="003454D3"/>
    <w:rsid w:val="00345E4A"/>
    <w:rsid w:val="00346377"/>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34F"/>
    <w:rsid w:val="003705FA"/>
    <w:rsid w:val="0037092F"/>
    <w:rsid w:val="0037098B"/>
    <w:rsid w:val="0037119B"/>
    <w:rsid w:val="00372924"/>
    <w:rsid w:val="003733C3"/>
    <w:rsid w:val="00373489"/>
    <w:rsid w:val="00373665"/>
    <w:rsid w:val="003737B8"/>
    <w:rsid w:val="003737E7"/>
    <w:rsid w:val="0037412B"/>
    <w:rsid w:val="00374B82"/>
    <w:rsid w:val="0037613A"/>
    <w:rsid w:val="00376B01"/>
    <w:rsid w:val="003770B4"/>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B5"/>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76C"/>
    <w:rsid w:val="0063697B"/>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E2B"/>
    <w:rsid w:val="00733CD1"/>
    <w:rsid w:val="007342AA"/>
    <w:rsid w:val="007359C6"/>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157E"/>
    <w:rsid w:val="008616B8"/>
    <w:rsid w:val="008616E7"/>
    <w:rsid w:val="0086181A"/>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2CC7"/>
    <w:rsid w:val="008930B4"/>
    <w:rsid w:val="0089350C"/>
    <w:rsid w:val="00893F1C"/>
    <w:rsid w:val="0089558E"/>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EFC"/>
    <w:rsid w:val="009237E7"/>
    <w:rsid w:val="00923C7A"/>
    <w:rsid w:val="00923F26"/>
    <w:rsid w:val="00924F33"/>
    <w:rsid w:val="00925149"/>
    <w:rsid w:val="00925CFA"/>
    <w:rsid w:val="0092649F"/>
    <w:rsid w:val="00926BF5"/>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CB8"/>
    <w:rsid w:val="009B4F31"/>
    <w:rsid w:val="009B5BFC"/>
    <w:rsid w:val="009B6038"/>
    <w:rsid w:val="009B6956"/>
    <w:rsid w:val="009B7338"/>
    <w:rsid w:val="009B778B"/>
    <w:rsid w:val="009B7C03"/>
    <w:rsid w:val="009C07ED"/>
    <w:rsid w:val="009C0E58"/>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526F"/>
    <w:rsid w:val="00A15651"/>
    <w:rsid w:val="00A15A6F"/>
    <w:rsid w:val="00A16F4B"/>
    <w:rsid w:val="00A17245"/>
    <w:rsid w:val="00A17E13"/>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74A3"/>
    <w:rsid w:val="00AB79FC"/>
    <w:rsid w:val="00AC053F"/>
    <w:rsid w:val="00AC0603"/>
    <w:rsid w:val="00AC1107"/>
    <w:rsid w:val="00AC124E"/>
    <w:rsid w:val="00AC1DBC"/>
    <w:rsid w:val="00AC1F7F"/>
    <w:rsid w:val="00AC31AA"/>
    <w:rsid w:val="00AC4054"/>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47"/>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D3D"/>
    <w:rsid w:val="00C60491"/>
    <w:rsid w:val="00C60765"/>
    <w:rsid w:val="00C6080C"/>
    <w:rsid w:val="00C60E3C"/>
    <w:rsid w:val="00C61A9D"/>
    <w:rsid w:val="00C620FD"/>
    <w:rsid w:val="00C62297"/>
    <w:rsid w:val="00C628E8"/>
    <w:rsid w:val="00C63308"/>
    <w:rsid w:val="00C63AFD"/>
    <w:rsid w:val="00C6431A"/>
    <w:rsid w:val="00C6486C"/>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59DD"/>
    <w:rsid w:val="00CC5C97"/>
    <w:rsid w:val="00CC6313"/>
    <w:rsid w:val="00CC6AC8"/>
    <w:rsid w:val="00CC75AD"/>
    <w:rsid w:val="00CD016B"/>
    <w:rsid w:val="00CD0CD4"/>
    <w:rsid w:val="00CD12F5"/>
    <w:rsid w:val="00CD14A3"/>
    <w:rsid w:val="00CD3665"/>
    <w:rsid w:val="00CD424F"/>
    <w:rsid w:val="00CD4724"/>
    <w:rsid w:val="00CD4E4B"/>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C45"/>
    <w:rsid w:val="00D16234"/>
    <w:rsid w:val="00D16320"/>
    <w:rsid w:val="00D16417"/>
    <w:rsid w:val="00D16713"/>
    <w:rsid w:val="00D1672C"/>
    <w:rsid w:val="00D16E7E"/>
    <w:rsid w:val="00D16FE5"/>
    <w:rsid w:val="00D173E5"/>
    <w:rsid w:val="00D17E17"/>
    <w:rsid w:val="00D20491"/>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5DD"/>
    <w:rsid w:val="00D36C13"/>
    <w:rsid w:val="00D36C63"/>
    <w:rsid w:val="00D36CFE"/>
    <w:rsid w:val="00D37987"/>
    <w:rsid w:val="00D4096D"/>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F1"/>
    <w:rsid w:val="00D91108"/>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34F3"/>
    <w:rsid w:val="00DB4B9A"/>
    <w:rsid w:val="00DB4C07"/>
    <w:rsid w:val="00DB6243"/>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5187"/>
    <w:rsid w:val="00F764EF"/>
    <w:rsid w:val="00F76936"/>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4DD1"/>
    <w:rsid w:val="00FA54A3"/>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DA"/>
    <w:pPr>
      <w:overflowPunct w:val="0"/>
      <w:autoSpaceDE w:val="0"/>
      <w:autoSpaceDN w:val="0"/>
      <w:adjustRightInd w:val="0"/>
      <w:spacing w:after="180"/>
    </w:pPr>
    <w:rPr>
      <w:rFonts w:ascii="Times New Roman" w:eastAsia="宋体"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宋体"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宋体"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宋体" w:hAnsi="Times New Roma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P,목록 "/>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宋体" w:hAnsi="Times New Roman"/>
    </w:rPr>
  </w:style>
  <w:style w:type="character" w:customStyle="1" w:styleId="CommentSubjectChar">
    <w:name w:val="Comment Subject Char"/>
    <w:basedOn w:val="CommentTextChar"/>
    <w:link w:val="CommentSubject"/>
    <w:uiPriority w:val="99"/>
    <w:semiHidden/>
    <w:rPr>
      <w:rFonts w:ascii="Times New Roman" w:eastAsia="宋体"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宋体"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宋体" w:hAnsi="Times New Roman"/>
    </w:rPr>
  </w:style>
  <w:style w:type="character" w:styleId="Mention">
    <w:name w:val="Mention"/>
    <w:basedOn w:val="DefaultParagraphFont"/>
    <w:uiPriority w:val="99"/>
    <w:unhideWhenUsed/>
    <w:rsid w:val="00AE43C3"/>
    <w:rPr>
      <w:color w:val="2B579A"/>
      <w:shd w:val="clear" w:color="auto" w:fill="E1DFDD"/>
    </w:rPr>
  </w:style>
  <w:style w:type="character" w:styleId="UnresolvedMention">
    <w:name w:val="Unresolved Mention"/>
    <w:basedOn w:val="DefaultParagraphFont"/>
    <w:uiPriority w:val="99"/>
    <w:semiHidden/>
    <w:unhideWhenUsed/>
    <w:rsid w:val="0072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28</Pages>
  <Words>9393</Words>
  <Characters>53541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vivo(Boubacar)</cp:lastModifiedBy>
  <cp:revision>88</cp:revision>
  <dcterms:created xsi:type="dcterms:W3CDTF">2024-12-11T01:26:00Z</dcterms:created>
  <dcterms:modified xsi:type="dcterms:W3CDTF">2024-12-16T02:28:00Z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