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703" w:rsidRPr="007A0280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7A028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7A0280">
        <w:rPr>
          <w:rFonts w:cs="Arial"/>
          <w:bCs/>
          <w:sz w:val="22"/>
          <w:szCs w:val="22"/>
        </w:rPr>
        <w:t>TSG</w:t>
      </w:r>
      <w:r w:rsidR="007A0280" w:rsidRPr="007A0280">
        <w:rPr>
          <w:rFonts w:cs="Arial"/>
          <w:noProof w:val="0"/>
          <w:sz w:val="22"/>
          <w:szCs w:val="22"/>
        </w:rPr>
        <w:t>-RAN</w:t>
      </w:r>
      <w:r w:rsidRPr="007A028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7A0280" w:rsidRPr="007A0280">
        <w:rPr>
          <w:rFonts w:cs="Arial"/>
          <w:bCs/>
          <w:sz w:val="22"/>
          <w:szCs w:val="22"/>
        </w:rPr>
        <w:t>2</w:t>
      </w:r>
      <w:r w:rsidRPr="007A0280">
        <w:rPr>
          <w:rFonts w:cs="Arial"/>
          <w:bCs/>
          <w:sz w:val="22"/>
          <w:szCs w:val="22"/>
        </w:rPr>
        <w:t xml:space="preserve"> Meeting </w:t>
      </w:r>
      <w:r w:rsidR="007A0280" w:rsidRPr="007A0280">
        <w:rPr>
          <w:rFonts w:cs="Arial"/>
          <w:noProof w:val="0"/>
          <w:sz w:val="22"/>
          <w:szCs w:val="22"/>
        </w:rPr>
        <w:t>#127</w:t>
      </w:r>
      <w:r w:rsidR="007A0280" w:rsidRPr="007A0280">
        <w:rPr>
          <w:rFonts w:cs="Arial" w:hint="eastAsia"/>
          <w:noProof w:val="0"/>
          <w:sz w:val="22"/>
          <w:szCs w:val="22"/>
          <w:lang w:eastAsia="zh-CN"/>
        </w:rPr>
        <w:t>bis</w:t>
      </w:r>
      <w:r w:rsidR="007A0280" w:rsidRPr="007A0280">
        <w:rPr>
          <w:rFonts w:cs="Arial"/>
          <w:noProof w:val="0"/>
          <w:sz w:val="22"/>
          <w:szCs w:val="22"/>
        </w:rPr>
        <w:t xml:space="preserve">                                                  </w:t>
      </w:r>
      <w:r w:rsidR="00FF6D78">
        <w:rPr>
          <w:rFonts w:cs="Arial"/>
          <w:noProof w:val="0"/>
          <w:sz w:val="22"/>
          <w:szCs w:val="22"/>
        </w:rPr>
        <w:t xml:space="preserve">       </w:t>
      </w:r>
      <w:r w:rsidR="007A0280" w:rsidRPr="007A0280">
        <w:rPr>
          <w:rFonts w:cs="Arial"/>
          <w:noProof w:val="0"/>
          <w:sz w:val="22"/>
          <w:szCs w:val="22"/>
        </w:rPr>
        <w:t xml:space="preserve">     </w:t>
      </w:r>
      <w:r w:rsidR="007A0280" w:rsidRPr="007A0280">
        <w:rPr>
          <w:rFonts w:cs="Arial"/>
          <w:bCs/>
          <w:sz w:val="22"/>
          <w:szCs w:val="22"/>
        </w:rPr>
        <w:t>R2-240xxxx</w:t>
      </w:r>
    </w:p>
    <w:p w:rsidR="004E3939" w:rsidRPr="00DA53A0" w:rsidRDefault="007A0280" w:rsidP="004E3939">
      <w:pPr>
        <w:pStyle w:val="a3"/>
        <w:rPr>
          <w:sz w:val="22"/>
          <w:szCs w:val="22"/>
        </w:rPr>
      </w:pPr>
      <w:r w:rsidRPr="007A0280">
        <w:rPr>
          <w:sz w:val="22"/>
          <w:szCs w:val="22"/>
        </w:rPr>
        <w:t>H</w:t>
      </w:r>
      <w:r w:rsidRPr="007A0280">
        <w:rPr>
          <w:rFonts w:hint="eastAsia"/>
          <w:sz w:val="22"/>
          <w:szCs w:val="22"/>
          <w:lang w:eastAsia="zh-CN"/>
        </w:rPr>
        <w:t>efei</w:t>
      </w:r>
      <w:r w:rsidR="004E3939" w:rsidRPr="007A0280">
        <w:rPr>
          <w:sz w:val="22"/>
          <w:szCs w:val="22"/>
        </w:rPr>
        <w:t xml:space="preserve">, </w:t>
      </w:r>
      <w:r w:rsidRPr="007A0280">
        <w:rPr>
          <w:sz w:val="22"/>
          <w:szCs w:val="22"/>
        </w:rPr>
        <w:t>C</w:t>
      </w:r>
      <w:r w:rsidRPr="007A0280">
        <w:rPr>
          <w:rFonts w:hint="eastAsia"/>
          <w:sz w:val="22"/>
          <w:szCs w:val="22"/>
          <w:lang w:eastAsia="zh-CN"/>
        </w:rPr>
        <w:t>hina</w:t>
      </w:r>
      <w:r w:rsidR="004E3939" w:rsidRPr="007A0280">
        <w:rPr>
          <w:sz w:val="22"/>
          <w:szCs w:val="22"/>
        </w:rPr>
        <w:t xml:space="preserve">, </w:t>
      </w:r>
      <w:r w:rsidRPr="007A0280">
        <w:rPr>
          <w:sz w:val="22"/>
          <w:szCs w:val="22"/>
        </w:rPr>
        <w:t>O</w:t>
      </w:r>
      <w:r w:rsidRPr="007A0280">
        <w:rPr>
          <w:rFonts w:hint="eastAsia"/>
          <w:sz w:val="22"/>
          <w:szCs w:val="22"/>
          <w:lang w:eastAsia="zh-CN"/>
        </w:rPr>
        <w:t>ct</w:t>
      </w:r>
      <w:r w:rsidRPr="007A0280">
        <w:rPr>
          <w:sz w:val="22"/>
          <w:szCs w:val="22"/>
        </w:rPr>
        <w:t xml:space="preserve"> 14</w:t>
      </w:r>
      <w:r w:rsidRPr="007A0280">
        <w:rPr>
          <w:rFonts w:hint="eastAsia"/>
          <w:sz w:val="22"/>
          <w:szCs w:val="22"/>
          <w:vertAlign w:val="superscript"/>
          <w:lang w:eastAsia="zh-CN"/>
        </w:rPr>
        <w:t>t</w:t>
      </w:r>
      <w:r w:rsidRPr="007A0280">
        <w:rPr>
          <w:sz w:val="22"/>
          <w:szCs w:val="22"/>
          <w:vertAlign w:val="superscript"/>
          <w:lang w:eastAsia="zh-CN"/>
        </w:rPr>
        <w:t>h</w:t>
      </w:r>
      <w:r w:rsidRPr="007A0280">
        <w:rPr>
          <w:sz w:val="22"/>
          <w:szCs w:val="22"/>
          <w:lang w:eastAsia="zh-CN"/>
        </w:rPr>
        <w:t xml:space="preserve"> </w:t>
      </w:r>
      <w:r w:rsidRPr="007A0280">
        <w:rPr>
          <w:sz w:val="22"/>
          <w:szCs w:val="22"/>
        </w:rPr>
        <w:t>–</w:t>
      </w:r>
      <w:r w:rsidR="004E3939" w:rsidRPr="007A0280">
        <w:rPr>
          <w:sz w:val="22"/>
          <w:szCs w:val="22"/>
        </w:rPr>
        <w:t xml:space="preserve"> </w:t>
      </w:r>
      <w:r w:rsidRPr="007A0280">
        <w:rPr>
          <w:sz w:val="22"/>
          <w:szCs w:val="22"/>
        </w:rPr>
        <w:t>18</w:t>
      </w:r>
      <w:r w:rsidRPr="007A0280">
        <w:rPr>
          <w:sz w:val="22"/>
          <w:szCs w:val="22"/>
          <w:vertAlign w:val="superscript"/>
        </w:rPr>
        <w:t>th</w:t>
      </w:r>
      <w:r w:rsidRPr="007A0280">
        <w:rPr>
          <w:sz w:val="22"/>
          <w:szCs w:val="22"/>
        </w:rPr>
        <w:t>, 2024</w:t>
      </w:r>
    </w:p>
    <w:p w:rsidR="00B97703" w:rsidRDefault="00B97703">
      <w:pPr>
        <w:rPr>
          <w:rFonts w:ascii="Arial" w:hAnsi="Arial" w:cs="Arial"/>
        </w:rPr>
      </w:pPr>
    </w:p>
    <w:p w:rsidR="004E3939" w:rsidRPr="007A0280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7A0280">
        <w:rPr>
          <w:rFonts w:ascii="Arial" w:hAnsi="Arial" w:cs="Arial"/>
          <w:b/>
          <w:sz w:val="22"/>
          <w:szCs w:val="22"/>
        </w:rPr>
        <w:t>Title:</w:t>
      </w:r>
      <w:r w:rsidRPr="007A0280">
        <w:rPr>
          <w:rFonts w:ascii="Arial" w:hAnsi="Arial" w:cs="Arial"/>
          <w:b/>
          <w:sz w:val="22"/>
          <w:szCs w:val="22"/>
        </w:rPr>
        <w:tab/>
      </w:r>
      <w:r w:rsidR="007A0280" w:rsidRPr="007A0280">
        <w:rPr>
          <w:rFonts w:ascii="Arial" w:hAnsi="Arial" w:cs="Arial"/>
          <w:b/>
          <w:sz w:val="22"/>
          <w:szCs w:val="22"/>
        </w:rPr>
        <w:t xml:space="preserve">[draft] </w:t>
      </w:r>
      <w:r w:rsidRPr="007A0280">
        <w:rPr>
          <w:rFonts w:ascii="Arial" w:hAnsi="Arial" w:cs="Arial"/>
          <w:b/>
          <w:sz w:val="22"/>
          <w:szCs w:val="22"/>
        </w:rPr>
        <w:t xml:space="preserve">LS on </w:t>
      </w:r>
      <w:r w:rsidR="007A0280" w:rsidRPr="007A0280">
        <w:rPr>
          <w:rFonts w:ascii="Arial" w:hAnsi="Arial" w:cs="Arial"/>
          <w:b/>
          <w:sz w:val="22"/>
          <w:szCs w:val="22"/>
        </w:rPr>
        <w:t>RAN2 agreements for inter-CU LTM</w:t>
      </w:r>
    </w:p>
    <w:p w:rsidR="00B97703" w:rsidRPr="007A0280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7A0280">
        <w:rPr>
          <w:rFonts w:ascii="Arial" w:hAnsi="Arial" w:cs="Arial"/>
          <w:b/>
          <w:sz w:val="22"/>
          <w:szCs w:val="22"/>
        </w:rPr>
        <w:t>Response to:</w:t>
      </w:r>
      <w:r w:rsidRPr="007A0280">
        <w:rPr>
          <w:rFonts w:ascii="Arial" w:hAnsi="Arial" w:cs="Arial"/>
          <w:b/>
          <w:bCs/>
          <w:sz w:val="22"/>
          <w:szCs w:val="22"/>
        </w:rPr>
        <w:tab/>
      </w:r>
    </w:p>
    <w:p w:rsidR="00B97703" w:rsidRPr="007A0280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7A0280">
        <w:rPr>
          <w:rFonts w:ascii="Arial" w:hAnsi="Arial" w:cs="Arial"/>
          <w:b/>
          <w:sz w:val="22"/>
          <w:szCs w:val="22"/>
        </w:rPr>
        <w:t>Release:</w:t>
      </w:r>
      <w:r w:rsidRPr="007A0280">
        <w:rPr>
          <w:rFonts w:ascii="Arial" w:hAnsi="Arial" w:cs="Arial"/>
          <w:b/>
          <w:bCs/>
          <w:sz w:val="22"/>
          <w:szCs w:val="22"/>
        </w:rPr>
        <w:tab/>
      </w:r>
      <w:r w:rsidR="007A0280" w:rsidRPr="007A0280">
        <w:rPr>
          <w:rFonts w:ascii="Arial" w:hAnsi="Arial" w:cs="Arial"/>
          <w:b/>
          <w:bCs/>
          <w:sz w:val="22"/>
          <w:szCs w:val="22"/>
        </w:rPr>
        <w:t>Rel-19</w:t>
      </w:r>
    </w:p>
    <w:bookmarkEnd w:id="5"/>
    <w:bookmarkEnd w:id="6"/>
    <w:bookmarkEnd w:id="7"/>
    <w:p w:rsidR="00B97703" w:rsidRPr="007A0280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A0280">
        <w:rPr>
          <w:rFonts w:ascii="Arial" w:hAnsi="Arial" w:cs="Arial"/>
          <w:b/>
          <w:sz w:val="22"/>
          <w:szCs w:val="22"/>
        </w:rPr>
        <w:t>Work Item:</w:t>
      </w:r>
      <w:r w:rsidRPr="007A0280">
        <w:rPr>
          <w:rFonts w:ascii="Arial" w:hAnsi="Arial" w:cs="Arial"/>
          <w:b/>
          <w:bCs/>
          <w:sz w:val="22"/>
          <w:szCs w:val="22"/>
        </w:rPr>
        <w:tab/>
      </w:r>
      <w:r w:rsidR="007A0280" w:rsidRPr="007A0280">
        <w:rPr>
          <w:rFonts w:ascii="Arial" w:hAnsi="Arial" w:cs="Arial"/>
          <w:b/>
          <w:bCs/>
          <w:sz w:val="22"/>
          <w:szCs w:val="22"/>
        </w:rPr>
        <w:t>NR_Mob_Ph4-Core</w:t>
      </w:r>
    </w:p>
    <w:p w:rsidR="00B97703" w:rsidRPr="007A0280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B97703" w:rsidRPr="007A0280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7A0280">
        <w:rPr>
          <w:rFonts w:ascii="Arial" w:hAnsi="Arial" w:cs="Arial"/>
          <w:b/>
          <w:sz w:val="22"/>
          <w:szCs w:val="22"/>
        </w:rPr>
        <w:t>Source:</w:t>
      </w:r>
      <w:r w:rsidRPr="007A0280">
        <w:rPr>
          <w:rFonts w:ascii="Arial" w:hAnsi="Arial" w:cs="Arial"/>
          <w:b/>
          <w:sz w:val="22"/>
          <w:szCs w:val="22"/>
        </w:rPr>
        <w:tab/>
      </w:r>
      <w:r w:rsidR="007A0280" w:rsidRPr="007A0280">
        <w:rPr>
          <w:rFonts w:ascii="Arial" w:hAnsi="Arial" w:cs="Arial"/>
          <w:b/>
          <w:sz w:val="22"/>
          <w:szCs w:val="22"/>
        </w:rPr>
        <w:t>ZTE [to be RAN2]</w:t>
      </w:r>
      <w:bookmarkStart w:id="8" w:name="_GoBack"/>
      <w:bookmarkEnd w:id="8"/>
    </w:p>
    <w:p w:rsidR="00B97703" w:rsidRPr="007A0280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A0280">
        <w:rPr>
          <w:rFonts w:ascii="Arial" w:hAnsi="Arial" w:cs="Arial"/>
          <w:b/>
          <w:sz w:val="22"/>
          <w:szCs w:val="22"/>
        </w:rPr>
        <w:t>To:</w:t>
      </w:r>
      <w:r w:rsidRPr="007A0280">
        <w:rPr>
          <w:rFonts w:ascii="Arial" w:hAnsi="Arial" w:cs="Arial"/>
          <w:b/>
          <w:bCs/>
          <w:sz w:val="22"/>
          <w:szCs w:val="22"/>
        </w:rPr>
        <w:tab/>
      </w:r>
      <w:r w:rsidR="007A0280" w:rsidRPr="007A0280">
        <w:rPr>
          <w:rFonts w:ascii="Arial" w:hAnsi="Arial" w:cs="Arial"/>
          <w:b/>
          <w:bCs/>
          <w:sz w:val="22"/>
          <w:szCs w:val="22"/>
        </w:rPr>
        <w:t>RAN3</w:t>
      </w:r>
    </w:p>
    <w:p w:rsidR="00B97703" w:rsidRPr="007A0280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7A0280">
        <w:rPr>
          <w:rFonts w:ascii="Arial" w:hAnsi="Arial" w:cs="Arial"/>
          <w:b/>
          <w:sz w:val="22"/>
          <w:szCs w:val="22"/>
        </w:rPr>
        <w:t>Cc:</w:t>
      </w:r>
      <w:r w:rsidRPr="007A0280">
        <w:rPr>
          <w:rFonts w:ascii="Arial" w:hAnsi="Arial" w:cs="Arial"/>
          <w:b/>
          <w:bCs/>
          <w:sz w:val="22"/>
          <w:szCs w:val="22"/>
        </w:rPr>
        <w:tab/>
      </w:r>
    </w:p>
    <w:bookmarkEnd w:id="9"/>
    <w:bookmarkEnd w:id="10"/>
    <w:p w:rsidR="00B97703" w:rsidRPr="007A0280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:rsidR="00B97703" w:rsidRPr="007A0280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A0280">
        <w:rPr>
          <w:rFonts w:ascii="Arial" w:hAnsi="Arial" w:cs="Arial"/>
          <w:b/>
          <w:sz w:val="22"/>
          <w:szCs w:val="22"/>
        </w:rPr>
        <w:t>Contact person:</w:t>
      </w:r>
      <w:r w:rsidRPr="007A0280">
        <w:rPr>
          <w:rFonts w:ascii="Arial" w:hAnsi="Arial" w:cs="Arial"/>
          <w:b/>
          <w:bCs/>
          <w:sz w:val="22"/>
          <w:szCs w:val="22"/>
        </w:rPr>
        <w:tab/>
      </w:r>
      <w:r w:rsidR="007A0280" w:rsidRPr="007A0280">
        <w:rPr>
          <w:rFonts w:ascii="Arial" w:hAnsi="Arial" w:cs="Arial"/>
          <w:b/>
          <w:bCs/>
          <w:sz w:val="22"/>
          <w:szCs w:val="22"/>
        </w:rPr>
        <w:t>Jing Liu</w:t>
      </w:r>
    </w:p>
    <w:p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A0280">
        <w:rPr>
          <w:rFonts w:ascii="Arial" w:hAnsi="Arial" w:cs="Arial"/>
          <w:b/>
          <w:bCs/>
          <w:sz w:val="22"/>
          <w:szCs w:val="22"/>
        </w:rPr>
        <w:tab/>
      </w:r>
      <w:r w:rsidR="007A0280" w:rsidRPr="007A0280">
        <w:rPr>
          <w:rFonts w:ascii="Arial" w:hAnsi="Arial" w:cs="Arial"/>
          <w:b/>
          <w:bCs/>
          <w:sz w:val="22"/>
          <w:szCs w:val="22"/>
          <w:lang w:eastAsia="zh-CN"/>
        </w:rPr>
        <w:t>liu.jing30@zte.com.cn</w:t>
      </w:r>
    </w:p>
    <w:p w:rsidR="007A0280" w:rsidRDefault="007A028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3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:rsidR="00B97703" w:rsidRPr="007A0280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7A0280" w:rsidRPr="007A0280">
        <w:rPr>
          <w:rFonts w:ascii="Arial" w:hAnsi="Arial" w:cs="Arial"/>
          <w:b/>
          <w:bCs/>
          <w:szCs w:val="22"/>
        </w:rPr>
        <w:t>None</w:t>
      </w:r>
    </w:p>
    <w:p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:rsidR="000B65E2" w:rsidRPr="000B65E2" w:rsidRDefault="000B65E2" w:rsidP="000B65E2">
      <w:pPr>
        <w:overflowPunct/>
        <w:autoSpaceDE/>
        <w:autoSpaceDN/>
        <w:adjustRightInd/>
        <w:spacing w:beforeLines="50" w:before="120" w:afterLines="50" w:after="120" w:line="259" w:lineRule="auto"/>
        <w:textAlignment w:val="auto"/>
        <w:rPr>
          <w:rFonts w:ascii="Arial" w:eastAsia="宋体" w:hAnsi="Arial" w:cs="Arial"/>
          <w:lang w:val="en-US" w:eastAsia="zh-CN" w:bidi="ar"/>
        </w:rPr>
      </w:pPr>
      <w:r w:rsidRPr="000B65E2">
        <w:rPr>
          <w:rFonts w:ascii="Arial" w:eastAsia="宋体" w:hAnsi="Arial" w:cs="Arial"/>
          <w:lang w:val="en-US" w:eastAsia="zh-CN" w:bidi="ar"/>
        </w:rPr>
        <w:t>R</w:t>
      </w:r>
      <w:r w:rsidRPr="000B65E2">
        <w:rPr>
          <w:rFonts w:ascii="Arial" w:eastAsia="宋体" w:hAnsi="Arial" w:cs="Arial" w:hint="eastAsia"/>
          <w:lang w:val="en-US" w:eastAsia="zh-CN" w:bidi="ar"/>
        </w:rPr>
        <w:t>egarding</w:t>
      </w:r>
      <w:r w:rsidRPr="000B65E2">
        <w:rPr>
          <w:rFonts w:ascii="Arial" w:eastAsia="宋体" w:hAnsi="Arial" w:cs="Arial"/>
          <w:lang w:val="en-US" w:eastAsia="zh-CN" w:bidi="ar"/>
        </w:rPr>
        <w:t xml:space="preserve"> Rel-19 Inter-CU LTM, RAN2 made the following agreements at RAN2#127bis meeting</w:t>
      </w:r>
      <w:r w:rsidRPr="000B65E2">
        <w:rPr>
          <w:rFonts w:ascii="Arial" w:eastAsia="宋体" w:hAnsi="Arial" w:cs="Arial" w:hint="eastAsia"/>
          <w:lang w:val="en-US" w:eastAsia="zh-CN" w:bidi="ar"/>
        </w:rPr>
        <w:t>:</w:t>
      </w:r>
    </w:p>
    <w:p w:rsidR="000B65E2" w:rsidRPr="000B65E2" w:rsidRDefault="000B65E2" w:rsidP="000B65E2">
      <w:pPr>
        <w:tabs>
          <w:tab w:val="left" w:pos="1622"/>
        </w:tabs>
        <w:overflowPunct/>
        <w:autoSpaceDE/>
        <w:autoSpaceDN/>
        <w:adjustRightInd/>
        <w:spacing w:after="0"/>
        <w:textAlignment w:val="auto"/>
        <w:rPr>
          <w:rFonts w:ascii="Arial" w:eastAsia="MS Mincho" w:hAnsi="Arial"/>
          <w:szCs w:val="24"/>
        </w:rPr>
      </w:pPr>
    </w:p>
    <w:p w:rsidR="000B65E2" w:rsidRPr="000B65E2" w:rsidRDefault="000B65E2" w:rsidP="000B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67"/>
        </w:tabs>
        <w:overflowPunct/>
        <w:autoSpaceDE/>
        <w:autoSpaceDN/>
        <w:adjustRightInd/>
        <w:spacing w:after="0"/>
        <w:ind w:left="567" w:hanging="283"/>
        <w:textAlignment w:val="auto"/>
        <w:rPr>
          <w:rFonts w:ascii="Arial" w:eastAsia="MS Mincho" w:hAnsi="Arial"/>
          <w:b/>
          <w:bCs/>
          <w:szCs w:val="24"/>
          <w:lang w:val="en-US"/>
        </w:rPr>
      </w:pPr>
      <w:r w:rsidRPr="000B65E2">
        <w:rPr>
          <w:rFonts w:ascii="Arial" w:eastAsia="MS Mincho" w:hAnsi="Arial"/>
          <w:b/>
          <w:bCs/>
          <w:szCs w:val="24"/>
          <w:lang w:val="en-US"/>
        </w:rPr>
        <w:t>Agreements on inter-CU LTM</w:t>
      </w:r>
    </w:p>
    <w:p w:rsidR="000B65E2" w:rsidRPr="000B65E2" w:rsidRDefault="000B65E2" w:rsidP="000B65E2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67"/>
        </w:tabs>
        <w:overflowPunct/>
        <w:autoSpaceDE/>
        <w:autoSpaceDN/>
        <w:adjustRightInd/>
        <w:spacing w:beforeLines="50" w:before="120" w:afterLines="50" w:after="120" w:line="259" w:lineRule="auto"/>
        <w:ind w:left="567" w:hanging="283"/>
        <w:jc w:val="both"/>
        <w:textAlignment w:val="auto"/>
        <w:rPr>
          <w:rFonts w:ascii="Arial" w:eastAsia="MS Mincho" w:hAnsi="Arial"/>
          <w:szCs w:val="24"/>
          <w:lang w:val="en-US"/>
        </w:rPr>
      </w:pPr>
      <w:r w:rsidRPr="000B65E2">
        <w:rPr>
          <w:rFonts w:ascii="Arial" w:eastAsia="MS Mincho" w:hAnsi="Arial"/>
          <w:szCs w:val="24"/>
        </w:rPr>
        <w:t>The Rel18 handling on failure is reused in R19 if the UE selects an intra-CU LTM candidate cell after intra-CU LTM failure; for other cases, e.g. inter-CU LTM failure, the failure handling is FFS (related to SA3’s inputs).</w:t>
      </w:r>
    </w:p>
    <w:p w:rsidR="000B65E2" w:rsidRPr="000B65E2" w:rsidRDefault="000B65E2" w:rsidP="000B65E2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67"/>
        </w:tabs>
        <w:overflowPunct/>
        <w:autoSpaceDE/>
        <w:autoSpaceDN/>
        <w:adjustRightInd/>
        <w:spacing w:beforeLines="50" w:before="120" w:afterLines="50" w:after="120" w:line="259" w:lineRule="auto"/>
        <w:ind w:left="567" w:hanging="283"/>
        <w:jc w:val="both"/>
        <w:textAlignment w:val="auto"/>
        <w:rPr>
          <w:rFonts w:ascii="Arial" w:eastAsia="MS Mincho" w:hAnsi="Arial"/>
          <w:szCs w:val="24"/>
          <w:lang w:val="en-US"/>
        </w:rPr>
      </w:pPr>
      <w:r w:rsidRPr="000B65E2">
        <w:rPr>
          <w:rFonts w:ascii="Arial" w:eastAsia="MS Mincho" w:hAnsi="Arial"/>
          <w:szCs w:val="24"/>
        </w:rPr>
        <w:t>For non-DC case, if the new Rel-19 IDs of the serving cell and the target cell have same values, the UE compares the ltm-ServingCellNoResetID and ltm-NoResetID and performs the corresponding L2 reset operation as defined in Rel-18.</w:t>
      </w:r>
    </w:p>
    <w:p w:rsidR="000B65E2" w:rsidRPr="000B65E2" w:rsidRDefault="000B65E2" w:rsidP="000B65E2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67"/>
        </w:tabs>
        <w:overflowPunct/>
        <w:autoSpaceDE/>
        <w:autoSpaceDN/>
        <w:adjustRightInd/>
        <w:spacing w:beforeLines="50" w:before="120" w:afterLines="50" w:after="120" w:line="259" w:lineRule="auto"/>
        <w:ind w:left="567" w:hanging="283"/>
        <w:jc w:val="both"/>
        <w:textAlignment w:val="auto"/>
        <w:rPr>
          <w:rFonts w:ascii="Arial" w:eastAsia="MS Mincho" w:hAnsi="Arial"/>
          <w:szCs w:val="24"/>
          <w:lang w:val="en-US"/>
        </w:rPr>
      </w:pPr>
      <w:r w:rsidRPr="000B65E2">
        <w:rPr>
          <w:rFonts w:ascii="Arial" w:eastAsia="MS Mincho" w:hAnsi="Arial"/>
          <w:szCs w:val="24"/>
        </w:rPr>
        <w:t>The SCPAC-similar security update configuration is introduced for inter-CU SCG LTM, i.e. similar to IEs sk-CounterConfiguration, servingSecurityCellSetId and securityCellSetId. The names of the new IEs are to be discussed in stage3.</w:t>
      </w:r>
    </w:p>
    <w:p w:rsidR="000B65E2" w:rsidRPr="000B65E2" w:rsidRDefault="000B65E2" w:rsidP="000B65E2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67"/>
        </w:tabs>
        <w:overflowPunct/>
        <w:autoSpaceDE/>
        <w:autoSpaceDN/>
        <w:adjustRightInd/>
        <w:spacing w:beforeLines="50" w:before="120" w:afterLines="50" w:after="120" w:line="259" w:lineRule="auto"/>
        <w:ind w:left="567" w:hanging="283"/>
        <w:jc w:val="both"/>
        <w:textAlignment w:val="auto"/>
        <w:rPr>
          <w:rFonts w:ascii="Arial" w:eastAsia="MS Mincho" w:hAnsi="Arial"/>
          <w:szCs w:val="24"/>
          <w:lang w:val="en-US"/>
        </w:rPr>
      </w:pPr>
      <w:r w:rsidRPr="000B65E2">
        <w:rPr>
          <w:rFonts w:ascii="Arial" w:eastAsia="MS Mincho" w:hAnsi="Arial"/>
          <w:szCs w:val="24"/>
          <w:lang w:val="en-US"/>
        </w:rPr>
        <w:t>Regarding the candidate and reference configuration generation and signaling design, the following SCPAC-similar principles can be applied for inter-CU SCG LTM as baseline:</w:t>
      </w:r>
    </w:p>
    <w:p w:rsidR="000B65E2" w:rsidRPr="000B65E2" w:rsidRDefault="000B65E2" w:rsidP="000B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67"/>
        </w:tabs>
        <w:overflowPunct/>
        <w:autoSpaceDE/>
        <w:autoSpaceDN/>
        <w:adjustRightInd/>
        <w:spacing w:after="0"/>
        <w:ind w:left="567" w:hanging="283"/>
        <w:textAlignment w:val="auto"/>
        <w:rPr>
          <w:rFonts w:ascii="Arial" w:eastAsia="MS Mincho" w:hAnsi="Arial"/>
          <w:szCs w:val="24"/>
        </w:rPr>
      </w:pPr>
      <w:r w:rsidRPr="000B65E2">
        <w:rPr>
          <w:rFonts w:ascii="Arial" w:eastAsia="MS Mincho" w:hAnsi="Arial"/>
          <w:szCs w:val="24"/>
          <w:lang w:val="en-US"/>
        </w:rPr>
        <w:tab/>
        <w:t xml:space="preserve">- </w:t>
      </w:r>
      <w:r w:rsidRPr="000B65E2">
        <w:rPr>
          <w:rFonts w:ascii="Arial" w:eastAsia="MS Mincho" w:hAnsi="Arial"/>
          <w:szCs w:val="24"/>
        </w:rPr>
        <w:t>The reference configuration for inter-CU SCG LTM at least include SCG part, FFS on MCG part.</w:t>
      </w:r>
    </w:p>
    <w:p w:rsidR="000B65E2" w:rsidRPr="000B65E2" w:rsidRDefault="000B65E2" w:rsidP="000B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67"/>
        </w:tabs>
        <w:overflowPunct/>
        <w:autoSpaceDE/>
        <w:autoSpaceDN/>
        <w:adjustRightInd/>
        <w:spacing w:after="0"/>
        <w:ind w:left="567" w:hanging="283"/>
        <w:textAlignment w:val="auto"/>
        <w:rPr>
          <w:rFonts w:ascii="Arial" w:eastAsia="MS Mincho" w:hAnsi="Arial"/>
          <w:szCs w:val="24"/>
        </w:rPr>
      </w:pPr>
      <w:r w:rsidRPr="000B65E2">
        <w:rPr>
          <w:rFonts w:ascii="Arial" w:eastAsia="MS Mincho" w:hAnsi="Arial"/>
          <w:szCs w:val="24"/>
          <w:lang w:val="en-US"/>
        </w:rPr>
        <w:tab/>
        <w:t xml:space="preserve">- </w:t>
      </w:r>
      <w:r w:rsidRPr="000B65E2">
        <w:rPr>
          <w:rFonts w:ascii="Arial" w:eastAsia="MS Mincho" w:hAnsi="Arial"/>
          <w:szCs w:val="24"/>
        </w:rPr>
        <w:t>FFS: Network ensures that when UE combines the reference and candidate configuration for inter-CU SCG LTM, the configuration generated by UE must contain both MCG and SCG part configurations.</w:t>
      </w:r>
    </w:p>
    <w:p w:rsidR="000B65E2" w:rsidRPr="000B65E2" w:rsidRDefault="000B65E2" w:rsidP="000B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67"/>
        </w:tabs>
        <w:overflowPunct/>
        <w:autoSpaceDE/>
        <w:autoSpaceDN/>
        <w:adjustRightInd/>
        <w:spacing w:after="0"/>
        <w:ind w:left="567" w:hanging="283"/>
        <w:textAlignment w:val="auto"/>
        <w:rPr>
          <w:rFonts w:ascii="Arial" w:eastAsia="MS Mincho" w:hAnsi="Arial"/>
          <w:szCs w:val="24"/>
        </w:rPr>
      </w:pPr>
      <w:r w:rsidRPr="000B65E2">
        <w:rPr>
          <w:rFonts w:ascii="Arial" w:eastAsia="MS Mincho" w:hAnsi="Arial"/>
          <w:szCs w:val="24"/>
          <w:lang w:val="en-US"/>
        </w:rPr>
        <w:tab/>
        <w:t xml:space="preserve">- </w:t>
      </w:r>
      <w:r w:rsidRPr="000B65E2">
        <w:rPr>
          <w:rFonts w:ascii="Arial" w:eastAsia="MS Mincho" w:hAnsi="Arial"/>
          <w:szCs w:val="24"/>
        </w:rPr>
        <w:t>The candidate configuration and reference configuration are modeled as an MN RRCReconfiguration message.</w:t>
      </w:r>
    </w:p>
    <w:p w:rsidR="000B65E2" w:rsidRPr="000B65E2" w:rsidRDefault="000B65E2" w:rsidP="000B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67"/>
        </w:tabs>
        <w:overflowPunct/>
        <w:autoSpaceDE/>
        <w:autoSpaceDN/>
        <w:adjustRightInd/>
        <w:spacing w:after="0"/>
        <w:ind w:left="567" w:hanging="283"/>
        <w:textAlignment w:val="auto"/>
        <w:rPr>
          <w:rFonts w:ascii="Arial" w:eastAsia="MS Mincho" w:hAnsi="Arial"/>
          <w:szCs w:val="24"/>
        </w:rPr>
      </w:pPr>
      <w:r w:rsidRPr="000B65E2">
        <w:rPr>
          <w:rFonts w:ascii="Arial" w:eastAsia="MS Mincho" w:hAnsi="Arial"/>
          <w:szCs w:val="24"/>
          <w:lang w:val="en-US"/>
        </w:rPr>
        <w:tab/>
        <w:t xml:space="preserve">- </w:t>
      </w:r>
      <w:r w:rsidRPr="000B65E2">
        <w:rPr>
          <w:rFonts w:ascii="Arial" w:eastAsia="MS Mincho" w:hAnsi="Arial"/>
          <w:szCs w:val="24"/>
        </w:rPr>
        <w:t>Upon inter-CU SCG LTM, the UE performs reconfiguration with sync towards SCG, but the reconfiguration with sync in MCG is not allowed.</w:t>
      </w:r>
    </w:p>
    <w:p w:rsidR="000B65E2" w:rsidRPr="000B65E2" w:rsidRDefault="000B65E2" w:rsidP="000B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67"/>
        </w:tabs>
        <w:overflowPunct/>
        <w:autoSpaceDE/>
        <w:autoSpaceDN/>
        <w:adjustRightInd/>
        <w:spacing w:after="0"/>
        <w:ind w:left="567" w:hanging="283"/>
        <w:textAlignment w:val="auto"/>
        <w:rPr>
          <w:rFonts w:ascii="Arial" w:eastAsia="MS Mincho" w:hAnsi="Arial"/>
          <w:szCs w:val="24"/>
        </w:rPr>
      </w:pPr>
      <w:r w:rsidRPr="000B65E2">
        <w:rPr>
          <w:rFonts w:ascii="Arial" w:eastAsia="MS Mincho" w:hAnsi="Arial"/>
          <w:szCs w:val="24"/>
          <w:lang w:val="en-US"/>
        </w:rPr>
        <w:tab/>
        <w:t xml:space="preserve">- </w:t>
      </w:r>
      <w:r w:rsidRPr="000B65E2">
        <w:rPr>
          <w:rFonts w:ascii="Arial" w:eastAsia="MS Mincho" w:hAnsi="Arial"/>
          <w:szCs w:val="24"/>
        </w:rPr>
        <w:t>The MN generates the MCG part of the reference configuration (if any), while the SN (source or candidate) generates the SCG part of the reference configuration.</w:t>
      </w:r>
    </w:p>
    <w:p w:rsidR="000B65E2" w:rsidRPr="000B65E2" w:rsidRDefault="000B65E2" w:rsidP="000B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67"/>
        </w:tabs>
        <w:overflowPunct/>
        <w:autoSpaceDE/>
        <w:autoSpaceDN/>
        <w:adjustRightInd/>
        <w:spacing w:after="0"/>
        <w:ind w:left="567" w:hanging="283"/>
        <w:textAlignment w:val="auto"/>
        <w:rPr>
          <w:rFonts w:ascii="Arial" w:eastAsia="MS Mincho" w:hAnsi="Arial"/>
          <w:szCs w:val="24"/>
        </w:rPr>
      </w:pPr>
      <w:r w:rsidRPr="000B65E2">
        <w:rPr>
          <w:rFonts w:ascii="Arial" w:eastAsia="MS Mincho" w:hAnsi="Arial"/>
          <w:szCs w:val="24"/>
          <w:lang w:val="en-US"/>
        </w:rPr>
        <w:tab/>
        <w:t xml:space="preserve">- </w:t>
      </w:r>
      <w:r w:rsidRPr="000B65E2">
        <w:rPr>
          <w:rFonts w:ascii="Arial" w:eastAsia="MS Mincho" w:hAnsi="Arial"/>
          <w:szCs w:val="24"/>
        </w:rPr>
        <w:t>The MN is responsible for the reference configuration generation for SN initiated inter-CU SCG LTM. It can be up to the NW implementation whether to include the MCG part.</w:t>
      </w:r>
    </w:p>
    <w:p w:rsidR="000B65E2" w:rsidRPr="000B65E2" w:rsidRDefault="000B65E2" w:rsidP="000B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67"/>
        </w:tabs>
        <w:overflowPunct/>
        <w:autoSpaceDE/>
        <w:autoSpaceDN/>
        <w:adjustRightInd/>
        <w:spacing w:after="0"/>
        <w:ind w:left="567" w:hanging="283"/>
        <w:textAlignment w:val="auto"/>
        <w:rPr>
          <w:rFonts w:ascii="Arial" w:eastAsia="MS Mincho" w:hAnsi="Arial"/>
          <w:szCs w:val="24"/>
          <w:lang w:val="en-US"/>
        </w:rPr>
      </w:pPr>
      <w:r w:rsidRPr="000B65E2">
        <w:rPr>
          <w:rFonts w:ascii="Arial" w:eastAsia="MS Mincho" w:hAnsi="Arial"/>
          <w:szCs w:val="24"/>
          <w:lang w:val="en-US"/>
        </w:rPr>
        <w:tab/>
        <w:t xml:space="preserve">- </w:t>
      </w:r>
      <w:r w:rsidRPr="000B65E2">
        <w:rPr>
          <w:rFonts w:ascii="Arial" w:eastAsia="MS Mincho" w:hAnsi="Arial"/>
          <w:szCs w:val="24"/>
        </w:rPr>
        <w:t>The MN can request an SCG reference configuration from any of the involved SNs.</w:t>
      </w:r>
    </w:p>
    <w:p w:rsidR="000B65E2" w:rsidRPr="000B65E2" w:rsidRDefault="000B65E2" w:rsidP="000B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67"/>
        </w:tabs>
        <w:overflowPunct/>
        <w:autoSpaceDE/>
        <w:autoSpaceDN/>
        <w:adjustRightInd/>
        <w:spacing w:after="0"/>
        <w:ind w:left="567" w:hanging="283"/>
        <w:textAlignment w:val="auto"/>
        <w:rPr>
          <w:rFonts w:ascii="Arial" w:eastAsia="MS Mincho" w:hAnsi="Arial"/>
          <w:szCs w:val="24"/>
        </w:rPr>
      </w:pPr>
      <w:r w:rsidRPr="000B65E2">
        <w:rPr>
          <w:rFonts w:ascii="Arial" w:eastAsia="MS Mincho" w:hAnsi="Arial"/>
          <w:szCs w:val="24"/>
          <w:lang w:val="en-US"/>
        </w:rPr>
        <w:t>5.</w:t>
      </w:r>
      <w:r w:rsidRPr="000B65E2">
        <w:rPr>
          <w:rFonts w:ascii="Arial" w:eastAsia="MS Mincho" w:hAnsi="Arial"/>
          <w:szCs w:val="24"/>
          <w:lang w:val="en-US"/>
        </w:rPr>
        <w:tab/>
      </w:r>
      <w:r w:rsidRPr="000B65E2">
        <w:rPr>
          <w:rFonts w:ascii="Arial" w:eastAsia="MS Mincho" w:hAnsi="Arial"/>
          <w:szCs w:val="24"/>
        </w:rPr>
        <w:t xml:space="preserve">For SN initiated inter-CU SCG LTM, the candidate SN provides the SCG part configuration of each candidate PSCell, and may also provide the L1 RS (e.g. </w:t>
      </w:r>
      <w:r w:rsidRPr="000B65E2">
        <w:rPr>
          <w:rFonts w:ascii="Arial" w:eastAsia="MS Mincho" w:hAnsi="Arial" w:cs="Arial"/>
        </w:rPr>
        <w:t xml:space="preserve">a list of </w:t>
      </w:r>
      <w:r w:rsidRPr="000B65E2">
        <w:rPr>
          <w:rFonts w:ascii="Arial" w:eastAsia="MS Mincho" w:hAnsi="Arial"/>
          <w:szCs w:val="24"/>
        </w:rPr>
        <w:t xml:space="preserve">SSB or </w:t>
      </w:r>
      <w:r w:rsidRPr="000B65E2">
        <w:rPr>
          <w:rFonts w:ascii="Arial" w:eastAsia="MS Mincho" w:hAnsi="Arial" w:cs="Arial"/>
        </w:rPr>
        <w:t xml:space="preserve">a list of </w:t>
      </w:r>
      <w:r w:rsidRPr="000B65E2">
        <w:rPr>
          <w:rFonts w:ascii="Arial" w:eastAsia="MS Mincho" w:hAnsi="Arial"/>
          <w:szCs w:val="24"/>
        </w:rPr>
        <w:t>CSI-RS) configuration for L1 measurement, early UL sync configuration or TCI-state configuration, to the MN.</w:t>
      </w:r>
    </w:p>
    <w:p w:rsidR="000B65E2" w:rsidRPr="000B65E2" w:rsidRDefault="000B65E2" w:rsidP="000B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67"/>
        </w:tabs>
        <w:overflowPunct/>
        <w:autoSpaceDE/>
        <w:autoSpaceDN/>
        <w:adjustRightInd/>
        <w:spacing w:after="0"/>
        <w:ind w:left="567" w:hanging="283"/>
        <w:textAlignment w:val="auto"/>
        <w:rPr>
          <w:rFonts w:ascii="Arial" w:eastAsia="MS Mincho" w:hAnsi="Arial"/>
          <w:szCs w:val="24"/>
        </w:rPr>
      </w:pPr>
      <w:r w:rsidRPr="000B65E2">
        <w:rPr>
          <w:rFonts w:ascii="Arial" w:eastAsia="MS Mincho" w:hAnsi="Arial"/>
          <w:szCs w:val="24"/>
          <w:lang w:val="en-US"/>
        </w:rPr>
        <w:lastRenderedPageBreak/>
        <w:t>6.</w:t>
      </w:r>
      <w:r w:rsidRPr="000B65E2">
        <w:rPr>
          <w:rFonts w:ascii="Arial" w:eastAsia="MS Mincho" w:hAnsi="Arial"/>
          <w:szCs w:val="24"/>
          <w:lang w:val="en-US"/>
        </w:rPr>
        <w:tab/>
      </w:r>
      <w:r w:rsidRPr="000B65E2">
        <w:rPr>
          <w:rFonts w:ascii="Arial" w:eastAsia="MS Mincho" w:hAnsi="Arial"/>
          <w:szCs w:val="24"/>
        </w:rPr>
        <w:t>The source SN is responsible to generate the common CSI resource configuration for L1 measurement on candidate SCG cells.</w:t>
      </w:r>
    </w:p>
    <w:p w:rsidR="000B65E2" w:rsidRPr="000B65E2" w:rsidRDefault="000B65E2" w:rsidP="000B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67"/>
        </w:tabs>
        <w:overflowPunct/>
        <w:autoSpaceDE/>
        <w:autoSpaceDN/>
        <w:adjustRightInd/>
        <w:spacing w:after="0"/>
        <w:ind w:left="567" w:hanging="283"/>
        <w:textAlignment w:val="auto"/>
        <w:rPr>
          <w:rFonts w:ascii="Arial" w:eastAsia="MS Mincho" w:hAnsi="Arial"/>
          <w:szCs w:val="24"/>
        </w:rPr>
      </w:pPr>
      <w:r w:rsidRPr="000B65E2">
        <w:rPr>
          <w:rFonts w:ascii="Arial" w:eastAsia="MS Mincho" w:hAnsi="Arial"/>
          <w:szCs w:val="24"/>
          <w:lang w:val="en-US"/>
        </w:rPr>
        <w:t>7.</w:t>
      </w:r>
      <w:r w:rsidRPr="000B65E2">
        <w:rPr>
          <w:rFonts w:ascii="Arial" w:eastAsia="MS Mincho" w:hAnsi="Arial"/>
          <w:szCs w:val="24"/>
          <w:lang w:val="en-US"/>
        </w:rPr>
        <w:tab/>
      </w:r>
      <w:r w:rsidRPr="000B65E2">
        <w:rPr>
          <w:rFonts w:ascii="Arial" w:eastAsia="MS Mincho" w:hAnsi="Arial"/>
          <w:szCs w:val="24"/>
        </w:rPr>
        <w:t>The MN sends the received L1 RS configuration, early UL sync configuration, or TCI-state configuration of candidate cells to the source SN. And the source SN responds with the common CSI resource configuration to the MN.</w:t>
      </w:r>
    </w:p>
    <w:p w:rsidR="000B65E2" w:rsidRPr="000B65E2" w:rsidRDefault="000B65E2" w:rsidP="000B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67"/>
        </w:tabs>
        <w:overflowPunct/>
        <w:autoSpaceDE/>
        <w:autoSpaceDN/>
        <w:adjustRightInd/>
        <w:spacing w:after="0"/>
        <w:ind w:left="567" w:hanging="283"/>
        <w:textAlignment w:val="auto"/>
        <w:rPr>
          <w:rFonts w:ascii="Arial" w:eastAsia="MS Mincho" w:hAnsi="Arial"/>
          <w:szCs w:val="24"/>
        </w:rPr>
      </w:pPr>
      <w:r w:rsidRPr="000B65E2">
        <w:rPr>
          <w:rFonts w:ascii="Arial" w:eastAsia="MS Mincho" w:hAnsi="Arial"/>
          <w:szCs w:val="24"/>
          <w:lang w:val="en-US"/>
        </w:rPr>
        <w:t>8.</w:t>
      </w:r>
      <w:r w:rsidRPr="000B65E2">
        <w:rPr>
          <w:rFonts w:ascii="Arial" w:eastAsia="MS Mincho" w:hAnsi="Arial"/>
          <w:szCs w:val="24"/>
          <w:lang w:val="en-US"/>
        </w:rPr>
        <w:tab/>
      </w:r>
      <w:r w:rsidRPr="000B65E2">
        <w:rPr>
          <w:rFonts w:ascii="Arial" w:eastAsia="MS Mincho" w:hAnsi="Arial"/>
          <w:szCs w:val="24"/>
        </w:rPr>
        <w:t xml:space="preserve">In order to support subsequent inter-CU SCG LTM, the MN needs to transfer, </w:t>
      </w:r>
      <w:r w:rsidRPr="000B65E2">
        <w:rPr>
          <w:rFonts w:ascii="Arial" w:eastAsia="MS Mincho" w:hAnsi="Arial" w:cs="Arial"/>
        </w:rPr>
        <w:t>during the LTM preparation phase,</w:t>
      </w:r>
      <w:r w:rsidRPr="000B65E2">
        <w:rPr>
          <w:rFonts w:ascii="Arial" w:eastAsia="MS Mincho" w:hAnsi="Arial"/>
          <w:szCs w:val="24"/>
        </w:rPr>
        <w:t xml:space="preserve"> the common CSI resource configuration and the collected information of candidate cells to the candidate SN(s). Accordingly, the candidate SN(s) responds with the updated candidate SCG configuration to the MN.</w:t>
      </w:r>
    </w:p>
    <w:p w:rsidR="000B65E2" w:rsidRPr="000B65E2" w:rsidRDefault="000B65E2" w:rsidP="000B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67"/>
        </w:tabs>
        <w:overflowPunct/>
        <w:autoSpaceDE/>
        <w:autoSpaceDN/>
        <w:adjustRightInd/>
        <w:spacing w:after="0"/>
        <w:ind w:left="567" w:hanging="283"/>
        <w:textAlignment w:val="auto"/>
        <w:rPr>
          <w:rFonts w:ascii="Arial" w:eastAsia="MS Mincho" w:hAnsi="Arial"/>
          <w:szCs w:val="24"/>
        </w:rPr>
      </w:pPr>
      <w:r w:rsidRPr="000B65E2">
        <w:rPr>
          <w:rFonts w:ascii="Arial" w:eastAsia="MS Mincho" w:hAnsi="Arial"/>
          <w:szCs w:val="24"/>
          <w:lang w:val="en-US"/>
        </w:rPr>
        <w:t>9.</w:t>
      </w:r>
      <w:r w:rsidRPr="000B65E2">
        <w:rPr>
          <w:rFonts w:ascii="Arial" w:eastAsia="MS Mincho" w:hAnsi="Arial"/>
          <w:szCs w:val="24"/>
          <w:lang w:val="en-US"/>
        </w:rPr>
        <w:tab/>
      </w:r>
      <w:r w:rsidRPr="000B65E2">
        <w:rPr>
          <w:rFonts w:ascii="Arial" w:eastAsia="MS Mincho" w:hAnsi="Arial"/>
          <w:szCs w:val="24"/>
        </w:rPr>
        <w:t>Upon execution of inter-SN SCG LTM, the UE sends an MN RRCReconfigurationComplete message to the MN, which includes an SN RRCReconfigurationComplete message.</w:t>
      </w:r>
    </w:p>
    <w:p w:rsidR="000B65E2" w:rsidRPr="000B65E2" w:rsidRDefault="000B65E2" w:rsidP="000B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67"/>
        </w:tabs>
        <w:overflowPunct/>
        <w:autoSpaceDE/>
        <w:autoSpaceDN/>
        <w:adjustRightInd/>
        <w:spacing w:after="0"/>
        <w:ind w:left="567" w:hanging="283"/>
        <w:textAlignment w:val="auto"/>
        <w:rPr>
          <w:rFonts w:ascii="Arial" w:eastAsia="MS Mincho" w:hAnsi="Arial"/>
          <w:szCs w:val="24"/>
        </w:rPr>
      </w:pPr>
      <w:r w:rsidRPr="000B65E2">
        <w:rPr>
          <w:rFonts w:ascii="Arial" w:eastAsia="MS Mincho" w:hAnsi="Arial"/>
          <w:szCs w:val="24"/>
          <w:lang w:val="en-US"/>
        </w:rPr>
        <w:t>10.</w:t>
      </w:r>
      <w:r w:rsidRPr="000B65E2">
        <w:rPr>
          <w:rFonts w:ascii="Arial" w:eastAsia="MS Mincho" w:hAnsi="Arial"/>
          <w:szCs w:val="24"/>
          <w:lang w:val="en-US"/>
        </w:rPr>
        <w:tab/>
      </w:r>
      <w:r w:rsidRPr="000B65E2">
        <w:rPr>
          <w:rFonts w:ascii="Arial" w:eastAsia="MS Mincho" w:hAnsi="Arial"/>
          <w:szCs w:val="24"/>
        </w:rPr>
        <w:t>Re-use legacy LTM Cell Switch Command MAC CE for inter-SN LTM.</w:t>
      </w:r>
    </w:p>
    <w:p w:rsidR="000B65E2" w:rsidRPr="000B65E2" w:rsidRDefault="000B65E2" w:rsidP="000B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67"/>
        </w:tabs>
        <w:overflowPunct/>
        <w:autoSpaceDE/>
        <w:autoSpaceDN/>
        <w:adjustRightInd/>
        <w:spacing w:after="0"/>
        <w:ind w:left="567" w:hanging="283"/>
        <w:textAlignment w:val="auto"/>
        <w:rPr>
          <w:rFonts w:ascii="Arial" w:eastAsia="MS Mincho" w:hAnsi="Arial"/>
          <w:szCs w:val="24"/>
        </w:rPr>
      </w:pPr>
      <w:r w:rsidRPr="000B65E2">
        <w:rPr>
          <w:rFonts w:ascii="Arial" w:eastAsia="MS Mincho" w:hAnsi="Arial"/>
          <w:szCs w:val="24"/>
          <w:lang w:val="en-US"/>
        </w:rPr>
        <w:t>11.</w:t>
      </w:r>
      <w:r w:rsidRPr="000B65E2">
        <w:rPr>
          <w:rFonts w:ascii="Arial" w:eastAsia="MS Mincho" w:hAnsi="Arial"/>
          <w:szCs w:val="24"/>
          <w:lang w:val="en-US"/>
        </w:rPr>
        <w:tab/>
      </w:r>
      <w:r w:rsidRPr="000B65E2">
        <w:rPr>
          <w:rFonts w:ascii="Arial" w:eastAsia="MS Mincho" w:hAnsi="Arial"/>
          <w:szCs w:val="24"/>
        </w:rPr>
        <w:t>RAN2 confirms to support coexistence of following cases, it is up to network implementation to ensure simultaneous execution for both MCG and SCG will not happen:</w:t>
      </w:r>
    </w:p>
    <w:p w:rsidR="000B65E2" w:rsidRPr="000B65E2" w:rsidRDefault="000B65E2" w:rsidP="000B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67"/>
        </w:tabs>
        <w:overflowPunct/>
        <w:autoSpaceDE/>
        <w:autoSpaceDN/>
        <w:adjustRightInd/>
        <w:spacing w:after="0"/>
        <w:ind w:left="567" w:hanging="283"/>
        <w:textAlignment w:val="auto"/>
        <w:rPr>
          <w:rFonts w:ascii="Arial" w:eastAsia="MS Mincho" w:hAnsi="Arial"/>
          <w:szCs w:val="24"/>
        </w:rPr>
      </w:pPr>
      <w:r w:rsidRPr="000B65E2">
        <w:rPr>
          <w:rFonts w:ascii="Arial" w:eastAsia="MS Mincho" w:hAnsi="Arial"/>
          <w:szCs w:val="24"/>
          <w:lang w:val="en-US"/>
        </w:rPr>
        <w:tab/>
        <w:t xml:space="preserve">- </w:t>
      </w:r>
      <w:r w:rsidRPr="000B65E2">
        <w:rPr>
          <w:rFonts w:ascii="Arial" w:eastAsia="MS Mincho" w:hAnsi="Arial"/>
          <w:szCs w:val="24"/>
        </w:rPr>
        <w:t>Inter-MN LTM and intra-SN LTM</w:t>
      </w:r>
    </w:p>
    <w:p w:rsidR="000B65E2" w:rsidRPr="000B65E2" w:rsidRDefault="000B65E2" w:rsidP="000B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67"/>
        </w:tabs>
        <w:overflowPunct/>
        <w:autoSpaceDE/>
        <w:autoSpaceDN/>
        <w:adjustRightInd/>
        <w:spacing w:after="0"/>
        <w:ind w:left="567" w:hanging="283"/>
        <w:textAlignment w:val="auto"/>
        <w:rPr>
          <w:rFonts w:ascii="Arial" w:eastAsia="MS Mincho" w:hAnsi="Arial"/>
          <w:szCs w:val="24"/>
          <w:lang w:val="en-US"/>
        </w:rPr>
      </w:pPr>
      <w:r w:rsidRPr="000B65E2">
        <w:rPr>
          <w:rFonts w:ascii="Arial" w:eastAsia="MS Mincho" w:hAnsi="Arial"/>
          <w:szCs w:val="24"/>
          <w:lang w:val="en-US"/>
        </w:rPr>
        <w:tab/>
        <w:t xml:space="preserve">- </w:t>
      </w:r>
      <w:r w:rsidRPr="000B65E2">
        <w:rPr>
          <w:rFonts w:ascii="Arial" w:eastAsia="MS Mincho" w:hAnsi="Arial"/>
          <w:szCs w:val="24"/>
        </w:rPr>
        <w:t>Inter-SN LTM and intra-MN LTM</w:t>
      </w:r>
    </w:p>
    <w:p w:rsidR="000B65E2" w:rsidRPr="000B65E2" w:rsidRDefault="000B65E2" w:rsidP="000B65E2">
      <w:pPr>
        <w:overflowPunct/>
        <w:autoSpaceDE/>
        <w:autoSpaceDN/>
        <w:adjustRightInd/>
        <w:spacing w:beforeLines="50" w:before="120" w:afterLines="50" w:after="120" w:line="259" w:lineRule="auto"/>
        <w:textAlignment w:val="auto"/>
        <w:rPr>
          <w:rFonts w:ascii="Arial" w:eastAsia="Times New Roman" w:hAnsi="Arial" w:cs="Arial"/>
          <w:kern w:val="2"/>
          <w:lang w:val="en-US" w:eastAsia="zh-CN"/>
        </w:rPr>
      </w:pPr>
    </w:p>
    <w:p w:rsidR="00B97703" w:rsidRPr="000B65E2" w:rsidRDefault="002F1940" w:rsidP="000F6242">
      <w:pPr>
        <w:pStyle w:val="1"/>
      </w:pPr>
      <w:r w:rsidRPr="000B65E2">
        <w:t>2</w:t>
      </w:r>
      <w:r w:rsidRPr="000B65E2">
        <w:tab/>
      </w:r>
      <w:r w:rsidR="000F6242" w:rsidRPr="000B65E2">
        <w:t>Actions</w:t>
      </w:r>
    </w:p>
    <w:p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0B65E2">
        <w:rPr>
          <w:rFonts w:ascii="Arial" w:hAnsi="Arial" w:cs="Arial"/>
          <w:b/>
        </w:rPr>
        <w:t>To</w:t>
      </w:r>
      <w:r w:rsidR="000F6242" w:rsidRPr="000B65E2">
        <w:rPr>
          <w:rFonts w:ascii="Arial" w:hAnsi="Arial" w:cs="Arial"/>
          <w:b/>
        </w:rPr>
        <w:t xml:space="preserve"> </w:t>
      </w:r>
      <w:r w:rsidR="000B65E2" w:rsidRPr="000B65E2">
        <w:rPr>
          <w:rFonts w:ascii="Arial" w:hAnsi="Arial" w:cs="Arial"/>
          <w:b/>
        </w:rPr>
        <w:t>RAN3 group</w:t>
      </w:r>
    </w:p>
    <w:p w:rsidR="00B97703" w:rsidRPr="00017F23" w:rsidRDefault="00B97703" w:rsidP="000B65E2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0B65E2" w:rsidRPr="000B65E2">
        <w:rPr>
          <w:rFonts w:ascii="Arial" w:hAnsi="Arial" w:cs="Arial"/>
        </w:rPr>
        <w:t>RAN2 kindly asks RAN3 to take the above agreements into consideration in future work.</w:t>
      </w:r>
    </w:p>
    <w:p w:rsidR="00B97703" w:rsidRDefault="00B97703">
      <w:pPr>
        <w:spacing w:after="120"/>
        <w:ind w:left="993" w:hanging="993"/>
        <w:rPr>
          <w:rFonts w:ascii="Arial" w:hAnsi="Arial" w:cs="Arial"/>
        </w:rPr>
      </w:pPr>
    </w:p>
    <w:p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>TSG</w:t>
      </w:r>
      <w:r w:rsidR="000B65E2">
        <w:rPr>
          <w:rFonts w:cs="Arial"/>
          <w:bCs/>
          <w:szCs w:val="36"/>
        </w:rPr>
        <w:t>-RAN</w:t>
      </w:r>
      <w:r w:rsidR="000F6242" w:rsidRPr="000F6242">
        <w:rPr>
          <w:rFonts w:cs="Arial"/>
          <w:bCs/>
          <w:szCs w:val="36"/>
        </w:rPr>
        <w:t xml:space="preserve"> WG</w:t>
      </w:r>
      <w:r w:rsidR="000B65E2" w:rsidRPr="000B65E2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:rsidR="000B65E2" w:rsidRPr="000B65E2" w:rsidRDefault="000B65E2" w:rsidP="000B65E2">
      <w:pPr>
        <w:tabs>
          <w:tab w:val="left" w:pos="3261"/>
          <w:tab w:val="left" w:pos="6663"/>
        </w:tabs>
        <w:overflowPunct/>
        <w:autoSpaceDE/>
        <w:autoSpaceDN/>
        <w:adjustRightInd/>
        <w:spacing w:after="120"/>
        <w:textAlignment w:val="auto"/>
        <w:rPr>
          <w:rFonts w:ascii="Arial" w:eastAsia="Times New Roman" w:hAnsi="Arial" w:cs="Arial"/>
          <w:bCs/>
          <w:kern w:val="2"/>
          <w:lang w:val="en-US" w:eastAsia="zh-CN"/>
        </w:rPr>
      </w:pPr>
      <w:bookmarkStart w:id="11" w:name="OLE_LINK55"/>
      <w:bookmarkStart w:id="12" w:name="OLE_LINK56"/>
      <w:bookmarkStart w:id="13" w:name="OLE_LINK53"/>
      <w:bookmarkStart w:id="14" w:name="OLE_LINK54"/>
      <w:r w:rsidRPr="000B65E2">
        <w:rPr>
          <w:rFonts w:ascii="Arial" w:eastAsia="Times New Roman" w:hAnsi="Arial" w:cs="Arial"/>
          <w:bCs/>
          <w:lang w:val="en-US" w:eastAsia="zh-CN" w:bidi="ar"/>
        </w:rPr>
        <w:t>TSG-RAN</w:t>
      </w:r>
      <w:r w:rsidRPr="000B65E2">
        <w:rPr>
          <w:rFonts w:ascii="Arial" w:eastAsia="Times New Roman" w:hAnsi="Arial" w:cs="Arial" w:hint="eastAsia"/>
          <w:bCs/>
          <w:lang w:val="en-US" w:eastAsia="zh-CN" w:bidi="ar"/>
        </w:rPr>
        <w:t>2</w:t>
      </w:r>
      <w:r w:rsidRPr="000B65E2">
        <w:rPr>
          <w:rFonts w:ascii="Arial" w:eastAsia="Times New Roman" w:hAnsi="Arial" w:cs="Arial"/>
          <w:bCs/>
          <w:lang w:val="en-US" w:eastAsia="zh-CN" w:bidi="ar"/>
        </w:rPr>
        <w:t xml:space="preserve"> Meeting #</w:t>
      </w:r>
      <w:r w:rsidRPr="000B65E2">
        <w:rPr>
          <w:rFonts w:ascii="Arial" w:eastAsia="宋体" w:hAnsi="Arial" w:cs="Arial"/>
          <w:bCs/>
          <w:lang w:val="en-US" w:eastAsia="zh-CN" w:bidi="ar"/>
        </w:rPr>
        <w:t>12</w:t>
      </w:r>
      <w:r w:rsidRPr="000B65E2">
        <w:rPr>
          <w:rFonts w:ascii="Arial" w:eastAsia="宋体" w:hAnsi="Arial" w:cs="Arial" w:hint="eastAsia"/>
          <w:bCs/>
          <w:lang w:val="en-US" w:eastAsia="zh-CN" w:bidi="ar"/>
        </w:rPr>
        <w:t>8</w:t>
      </w:r>
      <w:r w:rsidRPr="000B65E2">
        <w:rPr>
          <w:rFonts w:ascii="Arial" w:eastAsia="Times New Roman" w:hAnsi="Arial" w:cs="Arial"/>
          <w:bCs/>
          <w:lang w:val="en-US" w:eastAsia="zh-CN" w:bidi="ar"/>
        </w:rPr>
        <w:tab/>
      </w:r>
      <w:r w:rsidRPr="000B65E2">
        <w:rPr>
          <w:rFonts w:ascii="Arial" w:eastAsia="宋体" w:hAnsi="Arial" w:cs="Arial"/>
          <w:bCs/>
          <w:lang w:val="en-US" w:eastAsia="zh-CN" w:bidi="ar"/>
        </w:rPr>
        <w:t>1</w:t>
      </w:r>
      <w:r w:rsidRPr="000B65E2">
        <w:rPr>
          <w:rFonts w:ascii="Arial" w:eastAsia="宋体" w:hAnsi="Arial" w:cs="Arial" w:hint="eastAsia"/>
          <w:bCs/>
          <w:lang w:val="en-US" w:eastAsia="zh-CN" w:bidi="ar"/>
        </w:rPr>
        <w:t>8</w:t>
      </w:r>
      <w:r w:rsidRPr="000B65E2">
        <w:rPr>
          <w:rFonts w:ascii="Arial" w:eastAsia="Times New Roman" w:hAnsi="Arial" w:cs="Arial"/>
          <w:bCs/>
          <w:lang w:val="en-US" w:eastAsia="zh-CN" w:bidi="ar"/>
        </w:rPr>
        <w:t xml:space="preserve"> - </w:t>
      </w:r>
      <w:r w:rsidRPr="000B65E2">
        <w:rPr>
          <w:rFonts w:ascii="Arial" w:eastAsia="宋体" w:hAnsi="Arial" w:cs="Arial"/>
          <w:bCs/>
          <w:lang w:val="en-US" w:eastAsia="zh-CN" w:bidi="ar"/>
        </w:rPr>
        <w:t>2</w:t>
      </w:r>
      <w:r w:rsidRPr="000B65E2">
        <w:rPr>
          <w:rFonts w:ascii="Arial" w:eastAsia="宋体" w:hAnsi="Arial" w:cs="Arial" w:hint="eastAsia"/>
          <w:bCs/>
          <w:lang w:val="en-US" w:eastAsia="zh-CN" w:bidi="ar"/>
        </w:rPr>
        <w:t>2</w:t>
      </w:r>
      <w:r w:rsidRPr="000B65E2">
        <w:rPr>
          <w:rFonts w:ascii="Arial" w:eastAsia="Times New Roman" w:hAnsi="Arial" w:cs="Arial"/>
          <w:bCs/>
          <w:lang w:val="en-US" w:eastAsia="zh-CN" w:bidi="ar"/>
        </w:rPr>
        <w:t xml:space="preserve"> </w:t>
      </w:r>
      <w:r w:rsidRPr="000B65E2">
        <w:rPr>
          <w:rFonts w:ascii="Arial" w:eastAsia="宋体" w:hAnsi="Arial" w:cs="Arial" w:hint="eastAsia"/>
          <w:bCs/>
          <w:lang w:val="en-US" w:eastAsia="zh-CN" w:bidi="ar"/>
        </w:rPr>
        <w:t>November</w:t>
      </w:r>
      <w:r w:rsidRPr="000B65E2">
        <w:rPr>
          <w:rFonts w:ascii="Arial" w:eastAsia="Times New Roman" w:hAnsi="Arial" w:cs="Arial"/>
          <w:bCs/>
          <w:lang w:val="en-US" w:eastAsia="zh-CN" w:bidi="ar"/>
        </w:rPr>
        <w:t xml:space="preserve"> 202</w:t>
      </w:r>
      <w:r w:rsidRPr="000B65E2">
        <w:rPr>
          <w:rFonts w:ascii="Arial" w:eastAsia="宋体" w:hAnsi="Arial" w:cs="Arial"/>
          <w:bCs/>
          <w:lang w:val="en-US" w:eastAsia="zh-CN" w:bidi="ar"/>
        </w:rPr>
        <w:t>4</w:t>
      </w:r>
      <w:r w:rsidRPr="000B65E2">
        <w:rPr>
          <w:rFonts w:ascii="Arial" w:eastAsia="Times New Roman" w:hAnsi="Arial" w:cs="Arial"/>
          <w:bCs/>
          <w:lang w:val="en-US" w:eastAsia="zh-CN" w:bidi="ar"/>
        </w:rPr>
        <w:tab/>
      </w:r>
      <w:r w:rsidRPr="000B65E2">
        <w:rPr>
          <w:rFonts w:ascii="Arial" w:eastAsia="宋体" w:hAnsi="Arial" w:cs="Arial" w:hint="eastAsia"/>
          <w:bCs/>
          <w:lang w:val="en-US" w:eastAsia="zh-CN" w:bidi="ar"/>
        </w:rPr>
        <w:t>Orlando, US</w:t>
      </w:r>
    </w:p>
    <w:p w:rsidR="000B65E2" w:rsidRPr="000B65E2" w:rsidRDefault="000B65E2" w:rsidP="000B65E2">
      <w:pPr>
        <w:tabs>
          <w:tab w:val="left" w:pos="3261"/>
          <w:tab w:val="left" w:pos="6663"/>
        </w:tabs>
        <w:overflowPunct/>
        <w:autoSpaceDE/>
        <w:autoSpaceDN/>
        <w:adjustRightInd/>
        <w:spacing w:after="120"/>
        <w:textAlignment w:val="auto"/>
        <w:rPr>
          <w:rFonts w:ascii="Arial" w:eastAsia="宋体" w:hAnsi="Arial" w:cs="Arial"/>
          <w:bCs/>
          <w:kern w:val="2"/>
          <w:lang w:val="en-US" w:eastAsia="zh-CN"/>
        </w:rPr>
      </w:pPr>
      <w:r w:rsidRPr="000B65E2">
        <w:rPr>
          <w:rFonts w:ascii="Arial" w:eastAsia="Times New Roman" w:hAnsi="Arial" w:cs="Arial"/>
          <w:bCs/>
          <w:lang w:val="en-US" w:eastAsia="zh-CN" w:bidi="ar"/>
        </w:rPr>
        <w:t>TSG-RAN</w:t>
      </w:r>
      <w:r w:rsidRPr="000B65E2">
        <w:rPr>
          <w:rFonts w:ascii="Arial" w:eastAsia="Times New Roman" w:hAnsi="Arial" w:cs="Arial" w:hint="eastAsia"/>
          <w:bCs/>
          <w:lang w:val="en-US" w:eastAsia="zh-CN" w:bidi="ar"/>
        </w:rPr>
        <w:t>2</w:t>
      </w:r>
      <w:r w:rsidRPr="000B65E2">
        <w:rPr>
          <w:rFonts w:ascii="Arial" w:eastAsia="Times New Roman" w:hAnsi="Arial" w:cs="Arial"/>
          <w:bCs/>
          <w:lang w:val="en-US" w:eastAsia="zh-CN" w:bidi="ar"/>
        </w:rPr>
        <w:t xml:space="preserve"> Meeting #</w:t>
      </w:r>
      <w:r w:rsidRPr="000B65E2">
        <w:rPr>
          <w:rFonts w:ascii="Arial" w:eastAsia="宋体" w:hAnsi="Arial" w:cs="Arial"/>
          <w:bCs/>
          <w:lang w:val="en-US" w:eastAsia="zh-CN" w:bidi="ar"/>
        </w:rPr>
        <w:t>129</w:t>
      </w:r>
      <w:r w:rsidRPr="000B65E2">
        <w:rPr>
          <w:rFonts w:ascii="Arial" w:eastAsia="Times New Roman" w:hAnsi="Arial" w:cs="Arial"/>
          <w:bCs/>
          <w:lang w:val="en-US" w:eastAsia="zh-CN" w:bidi="ar"/>
        </w:rPr>
        <w:tab/>
      </w:r>
      <w:r w:rsidRPr="000B65E2">
        <w:rPr>
          <w:rFonts w:ascii="Arial" w:eastAsia="宋体" w:hAnsi="Arial" w:cs="Arial"/>
          <w:bCs/>
          <w:lang w:val="en-US" w:eastAsia="zh-CN" w:bidi="ar"/>
        </w:rPr>
        <w:t>17</w:t>
      </w:r>
      <w:r w:rsidRPr="000B65E2">
        <w:rPr>
          <w:rFonts w:ascii="Arial" w:eastAsia="Times New Roman" w:hAnsi="Arial" w:cs="Arial"/>
          <w:bCs/>
          <w:lang w:val="en-US" w:eastAsia="zh-CN" w:bidi="ar"/>
        </w:rPr>
        <w:t xml:space="preserve"> - </w:t>
      </w:r>
      <w:r w:rsidRPr="000B65E2">
        <w:rPr>
          <w:rFonts w:ascii="Arial" w:eastAsia="宋体" w:hAnsi="Arial" w:cs="Arial"/>
          <w:bCs/>
          <w:lang w:val="en-US" w:eastAsia="zh-CN" w:bidi="ar"/>
        </w:rPr>
        <w:t>21</w:t>
      </w:r>
      <w:r w:rsidRPr="000B65E2">
        <w:rPr>
          <w:rFonts w:ascii="Arial" w:eastAsia="Times New Roman" w:hAnsi="Arial" w:cs="Arial"/>
          <w:bCs/>
          <w:lang w:val="en-US" w:eastAsia="zh-CN" w:bidi="ar"/>
        </w:rPr>
        <w:t xml:space="preserve"> </w:t>
      </w:r>
      <w:r w:rsidRPr="000B65E2">
        <w:rPr>
          <w:rFonts w:ascii="Arial" w:eastAsia="宋体" w:hAnsi="Arial" w:cs="Arial"/>
          <w:bCs/>
          <w:lang w:val="en-US" w:eastAsia="zh-CN" w:bidi="ar"/>
        </w:rPr>
        <w:t>February</w:t>
      </w:r>
      <w:r w:rsidRPr="000B65E2">
        <w:rPr>
          <w:rFonts w:ascii="Arial" w:eastAsia="Times New Roman" w:hAnsi="Arial" w:cs="Arial"/>
          <w:bCs/>
          <w:lang w:val="en-US" w:eastAsia="zh-CN" w:bidi="ar"/>
        </w:rPr>
        <w:t xml:space="preserve"> 202</w:t>
      </w:r>
      <w:r w:rsidRPr="000B65E2">
        <w:rPr>
          <w:rFonts w:ascii="Arial" w:eastAsia="宋体" w:hAnsi="Arial" w:cs="Arial"/>
          <w:bCs/>
          <w:lang w:val="en-US" w:eastAsia="zh-CN" w:bidi="ar"/>
        </w:rPr>
        <w:t>5</w:t>
      </w:r>
      <w:r w:rsidRPr="000B65E2">
        <w:rPr>
          <w:rFonts w:ascii="Arial" w:eastAsia="Times New Roman" w:hAnsi="Arial" w:cs="Arial"/>
          <w:bCs/>
          <w:lang w:val="en-US" w:eastAsia="zh-CN" w:bidi="ar"/>
        </w:rPr>
        <w:tab/>
      </w:r>
      <w:r w:rsidRPr="000B65E2">
        <w:rPr>
          <w:rFonts w:ascii="Arial" w:eastAsia="宋体" w:hAnsi="Arial" w:cs="Arial"/>
          <w:bCs/>
          <w:lang w:val="en-US" w:eastAsia="zh-CN" w:bidi="ar"/>
        </w:rPr>
        <w:t>Athens, GR</w:t>
      </w:r>
    </w:p>
    <w:bookmarkEnd w:id="11"/>
    <w:bookmarkEnd w:id="12"/>
    <w:bookmarkEnd w:id="13"/>
    <w:bookmarkEnd w:id="14"/>
    <w:p w:rsidR="002F1940" w:rsidRPr="002F1940" w:rsidRDefault="002F1940" w:rsidP="002F1940"/>
    <w:sectPr w:rsidR="002F1940" w:rsidRPr="002F19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004" w:rsidRDefault="00905004">
      <w:pPr>
        <w:spacing w:after="0"/>
      </w:pPr>
      <w:r>
        <w:separator/>
      </w:r>
    </w:p>
  </w:endnote>
  <w:endnote w:type="continuationSeparator" w:id="0">
    <w:p w:rsidR="00905004" w:rsidRDefault="009050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280" w:rsidRDefault="007A028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280" w:rsidRDefault="007A028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280" w:rsidRDefault="007A02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004" w:rsidRDefault="00905004">
      <w:pPr>
        <w:spacing w:after="0"/>
      </w:pPr>
      <w:r>
        <w:separator/>
      </w:r>
    </w:p>
  </w:footnote>
  <w:footnote w:type="continuationSeparator" w:id="0">
    <w:p w:rsidR="00905004" w:rsidRDefault="009050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280" w:rsidRDefault="007A028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280" w:rsidRDefault="007A028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280" w:rsidRDefault="007A028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765D5"/>
    <w:multiLevelType w:val="hybridMultilevel"/>
    <w:tmpl w:val="598CDDDA"/>
    <w:lvl w:ilvl="0" w:tplc="8CA64BE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grammar="clean"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B65E2"/>
    <w:rsid w:val="000F6242"/>
    <w:rsid w:val="002F1940"/>
    <w:rsid w:val="00383545"/>
    <w:rsid w:val="00433500"/>
    <w:rsid w:val="00433F71"/>
    <w:rsid w:val="00440D43"/>
    <w:rsid w:val="004E3939"/>
    <w:rsid w:val="007A0280"/>
    <w:rsid w:val="007F4F92"/>
    <w:rsid w:val="008D772F"/>
    <w:rsid w:val="00905004"/>
    <w:rsid w:val="0099764C"/>
    <w:rsid w:val="00B97703"/>
    <w:rsid w:val="00C035B8"/>
    <w:rsid w:val="00CC6768"/>
    <w:rsid w:val="00CF6087"/>
    <w:rsid w:val="00E72019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8CE328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8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9">
    <w:name w:val="??"/>
    <w:pPr>
      <w:widowControl w:val="0"/>
    </w:pPr>
    <w:rPr>
      <w:lang w:eastAsia="en-US"/>
    </w:r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character" w:styleId="aa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CF6087"/>
    <w:pPr>
      <w:ind w:left="284"/>
    </w:pPr>
  </w:style>
  <w:style w:type="paragraph" w:styleId="10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2">
    <w:name w:val="List Number 2"/>
    <w:basedOn w:val="ae"/>
    <w:semiHidden/>
    <w:rsid w:val="00CF6087"/>
    <w:pPr>
      <w:ind w:left="851"/>
    </w:pPr>
  </w:style>
  <w:style w:type="character" w:styleId="af">
    <w:name w:val="footnote reference"/>
    <w:semiHidden/>
    <w:rsid w:val="00CF6087"/>
    <w:rPr>
      <w:b/>
      <w:position w:val="6"/>
      <w:sz w:val="16"/>
    </w:rPr>
  </w:style>
  <w:style w:type="paragraph" w:styleId="af0">
    <w:name w:val="footnote text"/>
    <w:basedOn w:val="a"/>
    <w:link w:val="af1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1">
    <w:name w:val="脚注文本 字符"/>
    <w:link w:val="af0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a"/>
    <w:semiHidden/>
    <w:rsid w:val="00CF6087"/>
    <w:pPr>
      <w:ind w:left="1985" w:hanging="1985"/>
    </w:pPr>
  </w:style>
  <w:style w:type="paragraph" w:styleId="TOC7">
    <w:name w:val="toc 7"/>
    <w:basedOn w:val="TOC6"/>
    <w:next w:val="a"/>
    <w:semiHidden/>
    <w:rsid w:val="00CF6087"/>
    <w:pPr>
      <w:ind w:left="2268" w:hanging="2268"/>
    </w:pPr>
  </w:style>
  <w:style w:type="paragraph" w:styleId="23">
    <w:name w:val="List Bullet 2"/>
    <w:basedOn w:val="af2"/>
    <w:semiHidden/>
    <w:rsid w:val="00CF6087"/>
    <w:pPr>
      <w:ind w:left="851"/>
    </w:pPr>
  </w:style>
  <w:style w:type="paragraph" w:styleId="30">
    <w:name w:val="List Bullet 3"/>
    <w:basedOn w:val="23"/>
    <w:semiHidden/>
    <w:rsid w:val="00CF6087"/>
    <w:pPr>
      <w:ind w:left="1135"/>
    </w:pPr>
  </w:style>
  <w:style w:type="paragraph" w:styleId="ae">
    <w:name w:val="List Number"/>
    <w:basedOn w:val="a8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4">
    <w:name w:val="List 2"/>
    <w:basedOn w:val="a8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1">
    <w:name w:val="List 3"/>
    <w:basedOn w:val="24"/>
    <w:semiHidden/>
    <w:rsid w:val="00CF6087"/>
    <w:pPr>
      <w:ind w:left="1135"/>
    </w:pPr>
  </w:style>
  <w:style w:type="paragraph" w:styleId="40">
    <w:name w:val="List 4"/>
    <w:basedOn w:val="31"/>
    <w:semiHidden/>
    <w:rsid w:val="00CF6087"/>
    <w:pPr>
      <w:ind w:left="1418"/>
    </w:pPr>
  </w:style>
  <w:style w:type="paragraph" w:styleId="50">
    <w:name w:val="List 5"/>
    <w:basedOn w:val="40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8">
    <w:name w:val="List"/>
    <w:basedOn w:val="a"/>
    <w:semiHidden/>
    <w:rsid w:val="00CF6087"/>
    <w:pPr>
      <w:ind w:left="568" w:hanging="284"/>
    </w:pPr>
  </w:style>
  <w:style w:type="paragraph" w:styleId="af2">
    <w:name w:val="List Bullet"/>
    <w:basedOn w:val="a8"/>
    <w:semiHidden/>
    <w:rsid w:val="00CF6087"/>
  </w:style>
  <w:style w:type="paragraph" w:styleId="41">
    <w:name w:val="List Bullet 4"/>
    <w:basedOn w:val="30"/>
    <w:semiHidden/>
    <w:rsid w:val="00CF6087"/>
    <w:pPr>
      <w:ind w:left="1418"/>
    </w:pPr>
  </w:style>
  <w:style w:type="paragraph" w:styleId="51">
    <w:name w:val="List Bullet 5"/>
    <w:basedOn w:val="41"/>
    <w:semiHidden/>
    <w:rsid w:val="00CF6087"/>
    <w:pPr>
      <w:ind w:left="1702"/>
    </w:pPr>
  </w:style>
  <w:style w:type="paragraph" w:customStyle="1" w:styleId="B2">
    <w:name w:val="B2"/>
    <w:basedOn w:val="24"/>
    <w:rsid w:val="00CF6087"/>
  </w:style>
  <w:style w:type="paragraph" w:customStyle="1" w:styleId="B3">
    <w:name w:val="B3"/>
    <w:basedOn w:val="31"/>
    <w:rsid w:val="00CF6087"/>
  </w:style>
  <w:style w:type="paragraph" w:customStyle="1" w:styleId="B4">
    <w:name w:val="B4"/>
    <w:basedOn w:val="40"/>
    <w:rsid w:val="00CF6087"/>
  </w:style>
  <w:style w:type="paragraph" w:customStyle="1" w:styleId="B5">
    <w:name w:val="B5"/>
    <w:basedOn w:val="50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3">
    <w:name w:val="Hyperlink"/>
    <w:uiPriority w:val="99"/>
    <w:unhideWhenUsed/>
    <w:rsid w:val="00383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4125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ZTE-Liujing</cp:lastModifiedBy>
  <cp:revision>10</cp:revision>
  <cp:lastPrinted>2002-04-23T07:10:00Z</cp:lastPrinted>
  <dcterms:created xsi:type="dcterms:W3CDTF">2020-01-14T15:01:00Z</dcterms:created>
  <dcterms:modified xsi:type="dcterms:W3CDTF">2024-10-21T06:41:00Z</dcterms:modified>
</cp:coreProperties>
</file>