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spacing w:after="0"/>
        <w:outlineLvl w:val="0"/>
        <w:rPr>
          <w:b/>
          <w:sz w:val="24"/>
        </w:rPr>
      </w:pPr>
      <w:r>
        <w:rPr>
          <w:b/>
          <w:sz w:val="24"/>
        </w:rPr>
        <w:t>3GPP TSG-RAN WG2 Meeting #126</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R2-24XXXXX</w:t>
      </w:r>
    </w:p>
    <w:p>
      <w:pPr>
        <w:pStyle w:val="82"/>
        <w:outlineLvl w:val="0"/>
        <w:rPr>
          <w:b/>
          <w:sz w:val="24"/>
        </w:rPr>
      </w:pPr>
      <w:r>
        <w:rPr>
          <w:b/>
          <w:sz w:val="24"/>
        </w:rPr>
        <w:t>Fukuoka, Japan, 20th May– 24th May,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38.306</w:t>
            </w:r>
          </w:p>
        </w:tc>
        <w:tc>
          <w:tcPr>
            <w:tcW w:w="709" w:type="dxa"/>
          </w:tcPr>
          <w:p>
            <w:pPr>
              <w:pStyle w:val="82"/>
              <w:spacing w:after="0"/>
              <w:jc w:val="center"/>
            </w:pPr>
            <w:r>
              <w:rPr>
                <w:b/>
                <w:sz w:val="28"/>
              </w:rPr>
              <w:t>CR</w:t>
            </w:r>
          </w:p>
        </w:tc>
        <w:tc>
          <w:tcPr>
            <w:tcW w:w="1276" w:type="dxa"/>
            <w:shd w:val="pct30" w:color="FFFF00" w:fill="auto"/>
          </w:tcPr>
          <w:p>
            <w:pPr>
              <w:pStyle w:val="82"/>
              <w:spacing w:after="0"/>
            </w:pPr>
            <w:r>
              <w:rPr>
                <w:b/>
                <w:sz w:val="28"/>
              </w:rPr>
              <w:t>draft</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18.1.0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ins w:id="0" w:author="Netw_Energy_NR-Core" w:date="2024-05-30T21:50:39Z"/>
                <w:rFonts w:hint="eastAsia" w:eastAsia="宋体" w:cs="Arial"/>
                <w:i/>
                <w:lang w:eastAsia="zh-CN"/>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del w:id="1" w:author="Netw_Energy_NR-Core" w:date="2024-05-30T21:50:39Z">
              <w:r>
                <w:rPr>
                  <w:rFonts w:cs="Arial"/>
                  <w:i/>
                </w:rPr>
                <w:br w:type="textWrapping"/>
              </w:r>
            </w:del>
          </w:p>
          <w:p>
            <w:pPr>
              <w:pStyle w:val="82"/>
              <w:spacing w:after="0"/>
              <w:jc w:val="center"/>
              <w:rPr>
                <w:rFonts w:cs="Arial"/>
                <w:i/>
              </w:rPr>
            </w:pP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rFonts w:hint="eastAsia"/>
                <w:b/>
                <w:caps/>
                <w:lang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rFonts w:hint="eastAsia"/>
                <w:b/>
                <w:caps/>
                <w:lang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 on NES UE capabilities to 38306</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vivo</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RAN2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rPr>
                <w:rFonts w:cs="Arial"/>
              </w:rPr>
              <w:t>Netw_Energy_NR-Core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2024-05-31</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ns w:id="2" w:author="Netw_Energy_NR-Core" w:date="2024-05-30T21:50:39Z"/>
                <w:rFonts w:hint="eastAsia" w:eastAsia="宋体"/>
                <w:b/>
                <w:i/>
                <w:sz w:val="18"/>
                <w:lang w:eastAsia="zh-CN"/>
              </w:rPr>
            </w:pPr>
            <w:r>
              <w:rPr>
                <w:i/>
                <w:sz w:val="18"/>
              </w:rPr>
              <w:t xml:space="preserve">Use </w:t>
            </w:r>
            <w:r>
              <w:rPr>
                <w:i/>
                <w:sz w:val="18"/>
                <w:u w:val="single"/>
              </w:rPr>
              <w:t>one</w:t>
            </w:r>
            <w:r>
              <w:rPr>
                <w:i/>
                <w:sz w:val="18"/>
              </w:rPr>
              <w:t xml:space="preserve"> of the following categories:</w:t>
            </w:r>
            <w:del w:id="3" w:author="Netw_Energy_NR-Core" w:date="2024-05-30T21:50:39Z">
              <w:r>
                <w:rPr>
                  <w:b/>
                  <w:i/>
                  <w:sz w:val="18"/>
                </w:rPr>
                <w:br w:type="textWrapping"/>
              </w:r>
            </w:del>
          </w:p>
          <w:p>
            <w:pPr>
              <w:pStyle w:val="82"/>
              <w:spacing w:after="0"/>
              <w:ind w:left="383" w:hanging="383"/>
              <w:rPr>
                <w:ins w:id="4" w:author="Netw_Energy_NR-Core" w:date="2024-05-30T21:50:39Z"/>
                <w:rFonts w:hint="eastAsia" w:eastAsia="宋体"/>
                <w:i/>
                <w:sz w:val="18"/>
                <w:lang w:eastAsia="zh-CN"/>
              </w:rPr>
            </w:pPr>
            <w:r>
              <w:rPr>
                <w:b/>
                <w:i/>
                <w:sz w:val="18"/>
              </w:rPr>
              <w:t>F</w:t>
            </w:r>
            <w:r>
              <w:rPr>
                <w:i/>
                <w:sz w:val="18"/>
              </w:rPr>
              <w:t xml:space="preserve">  (correction)</w:t>
            </w:r>
            <w:del w:id="5" w:author="Netw_Energy_NR-Core" w:date="2024-05-30T21:50:39Z">
              <w:r>
                <w:rPr>
                  <w:i/>
                  <w:sz w:val="18"/>
                </w:rPr>
                <w:br w:type="textWrapping"/>
              </w:r>
            </w:del>
          </w:p>
          <w:p>
            <w:pPr>
              <w:pStyle w:val="82"/>
              <w:spacing w:after="0"/>
              <w:ind w:left="383" w:hanging="383"/>
              <w:rPr>
                <w:ins w:id="6" w:author="Netw_Energy_NR-Core" w:date="2024-05-30T21:50:39Z"/>
                <w:rFonts w:hint="eastAsia" w:eastAsia="宋体"/>
                <w:i/>
                <w:sz w:val="18"/>
                <w:lang w:eastAsia="zh-CN"/>
              </w:rPr>
            </w:pP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del w:id="7" w:author="Netw_Energy_NR-Core" w:date="2024-05-30T21:50:39Z">
              <w:r>
                <w:rPr>
                  <w:i/>
                  <w:sz w:val="18"/>
                </w:rPr>
                <w:br w:type="textWrapping"/>
              </w:r>
            </w:del>
          </w:p>
          <w:p>
            <w:pPr>
              <w:pStyle w:val="82"/>
              <w:spacing w:after="0"/>
              <w:ind w:left="383" w:hanging="383"/>
              <w:rPr>
                <w:ins w:id="8" w:author="Netw_Energy_NR-Core" w:date="2024-05-30T21:50:39Z"/>
                <w:rFonts w:hint="eastAsia" w:eastAsia="宋体"/>
                <w:i/>
                <w:sz w:val="18"/>
                <w:lang w:eastAsia="zh-CN"/>
              </w:rPr>
            </w:pPr>
            <w:r>
              <w:rPr>
                <w:b/>
                <w:i/>
                <w:sz w:val="18"/>
              </w:rPr>
              <w:t>B</w:t>
            </w:r>
            <w:r>
              <w:rPr>
                <w:i/>
                <w:sz w:val="18"/>
              </w:rPr>
              <w:t xml:space="preserve">  (addition of feature), </w:t>
            </w:r>
            <w:del w:id="9" w:author="Netw_Energy_NR-Core" w:date="2024-05-30T21:50:39Z">
              <w:r>
                <w:rPr>
                  <w:i/>
                  <w:sz w:val="18"/>
                </w:rPr>
                <w:br w:type="textWrapping"/>
              </w:r>
            </w:del>
          </w:p>
          <w:p>
            <w:pPr>
              <w:pStyle w:val="82"/>
              <w:spacing w:after="0"/>
              <w:ind w:left="383" w:hanging="383"/>
              <w:rPr>
                <w:ins w:id="10" w:author="Netw_Energy_NR-Core" w:date="2024-05-30T21:50:39Z"/>
                <w:rFonts w:hint="eastAsia" w:eastAsia="宋体"/>
                <w:i/>
                <w:sz w:val="18"/>
                <w:lang w:eastAsia="zh-CN"/>
              </w:rPr>
            </w:pPr>
            <w:r>
              <w:rPr>
                <w:b/>
                <w:i/>
                <w:sz w:val="18"/>
              </w:rPr>
              <w:t>C</w:t>
            </w:r>
            <w:r>
              <w:rPr>
                <w:i/>
                <w:sz w:val="18"/>
              </w:rPr>
              <w:t xml:space="preserve">  (functional modification of feature)</w:t>
            </w:r>
            <w:del w:id="11" w:author="Netw_Energy_NR-Core" w:date="2024-05-30T21:50:39Z">
              <w:r>
                <w:rPr>
                  <w:i/>
                  <w:sz w:val="18"/>
                </w:rPr>
                <w:br w:type="textWrapping"/>
              </w:r>
            </w:del>
          </w:p>
          <w:p>
            <w:pPr>
              <w:pStyle w:val="82"/>
              <w:spacing w:after="0"/>
              <w:ind w:left="383" w:hanging="383"/>
              <w:rPr>
                <w:i/>
                <w:sz w:val="18"/>
              </w:rPr>
            </w:pPr>
            <w:r>
              <w:rPr>
                <w:b/>
                <w:i/>
                <w:sz w:val="18"/>
              </w:rPr>
              <w:t>D</w:t>
            </w:r>
            <w:r>
              <w:rPr>
                <w:i/>
                <w:sz w:val="18"/>
              </w:rPr>
              <w:t xml:space="preserve">  (editorial modification)</w:t>
            </w:r>
          </w:p>
          <w:p>
            <w:pPr>
              <w:pStyle w:val="82"/>
              <w:rPr>
                <w:ins w:id="12" w:author="Netw_Energy_NR-Core" w:date="2024-05-30T21:50:39Z"/>
                <w:rFonts w:hint="eastAsia" w:eastAsia="宋体"/>
                <w:sz w:val="18"/>
                <w:lang w:eastAsia="zh-CN"/>
              </w:rPr>
            </w:pPr>
            <w:r>
              <w:rPr>
                <w:sz w:val="18"/>
              </w:rPr>
              <w:t>Detailed explanations of the above categories can</w:t>
            </w:r>
            <w:del w:id="13" w:author="Netw_Energy_NR-Core" w:date="2024-05-30T21:50:39Z">
              <w:r>
                <w:rPr>
                  <w:sz w:val="18"/>
                </w:rPr>
                <w:br w:type="textWrapping"/>
              </w:r>
            </w:del>
          </w:p>
          <w:p>
            <w:pPr>
              <w:pStyle w:val="82"/>
            </w:pP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ns w:id="14" w:author="Netw_Energy_NR-Core" w:date="2024-05-30T21:50:39Z"/>
                <w:rFonts w:hint="eastAsia" w:eastAsia="宋体"/>
                <w:i/>
                <w:sz w:val="18"/>
                <w:lang w:eastAsia="zh-CN"/>
              </w:rPr>
            </w:pPr>
            <w:r>
              <w:rPr>
                <w:i/>
                <w:sz w:val="18"/>
              </w:rPr>
              <w:t xml:space="preserve">Use </w:t>
            </w:r>
            <w:r>
              <w:rPr>
                <w:i/>
                <w:sz w:val="18"/>
                <w:u w:val="single"/>
              </w:rPr>
              <w:t>one</w:t>
            </w:r>
            <w:r>
              <w:rPr>
                <w:i/>
                <w:sz w:val="18"/>
              </w:rPr>
              <w:t xml:space="preserve"> of the following releases:</w:t>
            </w:r>
            <w:del w:id="15" w:author="Netw_Energy_NR-Core" w:date="2024-05-30T21:50:39Z">
              <w:r>
                <w:rPr>
                  <w:i/>
                  <w:sz w:val="18"/>
                </w:rPr>
                <w:br w:type="textWrapping"/>
              </w:r>
            </w:del>
          </w:p>
          <w:p>
            <w:pPr>
              <w:pStyle w:val="82"/>
              <w:tabs>
                <w:tab w:val="left" w:pos="950"/>
              </w:tabs>
              <w:spacing w:after="0"/>
              <w:ind w:left="241" w:hanging="241"/>
              <w:rPr>
                <w:ins w:id="16" w:author="Netw_Energy_NR-Core" w:date="2024-05-30T21:50:39Z"/>
                <w:rFonts w:hint="eastAsia" w:eastAsia="宋体"/>
                <w:i/>
                <w:sz w:val="18"/>
                <w:lang w:eastAsia="zh-CN"/>
              </w:rPr>
            </w:pPr>
            <w:r>
              <w:rPr>
                <w:i/>
                <w:sz w:val="18"/>
              </w:rPr>
              <w:t>Rel-8</w:t>
            </w:r>
            <w:r>
              <w:rPr>
                <w:i/>
                <w:sz w:val="18"/>
              </w:rPr>
              <w:tab/>
            </w:r>
            <w:r>
              <w:rPr>
                <w:i/>
                <w:sz w:val="18"/>
              </w:rPr>
              <w:t>(Release 8)</w:t>
            </w:r>
            <w:del w:id="17" w:author="Netw_Energy_NR-Core" w:date="2024-05-30T21:50:39Z">
              <w:r>
                <w:rPr>
                  <w:i/>
                  <w:sz w:val="18"/>
                </w:rPr>
                <w:br w:type="textWrapping"/>
              </w:r>
            </w:del>
          </w:p>
          <w:p>
            <w:pPr>
              <w:pStyle w:val="82"/>
              <w:tabs>
                <w:tab w:val="left" w:pos="950"/>
              </w:tabs>
              <w:spacing w:after="0"/>
              <w:ind w:left="241" w:hanging="241"/>
              <w:rPr>
                <w:ins w:id="18" w:author="Netw_Energy_NR-Core" w:date="2024-05-30T21:50:39Z"/>
                <w:rFonts w:hint="eastAsia" w:eastAsia="宋体"/>
                <w:i/>
                <w:sz w:val="18"/>
                <w:lang w:eastAsia="zh-CN"/>
              </w:rPr>
            </w:pPr>
            <w:r>
              <w:rPr>
                <w:i/>
                <w:sz w:val="18"/>
              </w:rPr>
              <w:t>Rel-9</w:t>
            </w:r>
            <w:r>
              <w:rPr>
                <w:i/>
                <w:sz w:val="18"/>
              </w:rPr>
              <w:tab/>
            </w:r>
            <w:r>
              <w:rPr>
                <w:i/>
                <w:sz w:val="18"/>
              </w:rPr>
              <w:t>(Release 9)</w:t>
            </w:r>
            <w:del w:id="19" w:author="Netw_Energy_NR-Core" w:date="2024-05-30T21:50:39Z">
              <w:r>
                <w:rPr>
                  <w:i/>
                  <w:sz w:val="18"/>
                </w:rPr>
                <w:br w:type="textWrapping"/>
              </w:r>
            </w:del>
          </w:p>
          <w:p>
            <w:pPr>
              <w:pStyle w:val="82"/>
              <w:tabs>
                <w:tab w:val="left" w:pos="950"/>
              </w:tabs>
              <w:spacing w:after="0"/>
              <w:ind w:left="241" w:hanging="241"/>
              <w:rPr>
                <w:ins w:id="20" w:author="Netw_Energy_NR-Core" w:date="2024-05-30T21:50:39Z"/>
                <w:rFonts w:hint="eastAsia" w:eastAsia="宋体"/>
                <w:i/>
                <w:sz w:val="18"/>
                <w:lang w:eastAsia="zh-CN"/>
              </w:rPr>
            </w:pPr>
            <w:r>
              <w:rPr>
                <w:i/>
                <w:sz w:val="18"/>
              </w:rPr>
              <w:t>Rel-10</w:t>
            </w:r>
            <w:r>
              <w:rPr>
                <w:i/>
                <w:sz w:val="18"/>
              </w:rPr>
              <w:tab/>
            </w:r>
            <w:r>
              <w:rPr>
                <w:i/>
                <w:sz w:val="18"/>
              </w:rPr>
              <w:t>(Release 10)</w:t>
            </w:r>
            <w:del w:id="21" w:author="Netw_Energy_NR-Core" w:date="2024-05-30T21:50:39Z">
              <w:r>
                <w:rPr>
                  <w:i/>
                  <w:sz w:val="18"/>
                </w:rPr>
                <w:br w:type="textWrapping"/>
              </w:r>
            </w:del>
          </w:p>
          <w:p>
            <w:pPr>
              <w:pStyle w:val="82"/>
              <w:tabs>
                <w:tab w:val="left" w:pos="950"/>
              </w:tabs>
              <w:spacing w:after="0"/>
              <w:ind w:left="241" w:hanging="241"/>
              <w:rPr>
                <w:ins w:id="22" w:author="Netw_Energy_NR-Core" w:date="2024-05-30T21:50:39Z"/>
                <w:rFonts w:hint="eastAsia" w:eastAsia="宋体"/>
                <w:i/>
                <w:sz w:val="18"/>
                <w:lang w:eastAsia="zh-CN"/>
              </w:rPr>
            </w:pPr>
            <w:r>
              <w:rPr>
                <w:i/>
                <w:sz w:val="18"/>
              </w:rPr>
              <w:t>Rel-11</w:t>
            </w:r>
            <w:r>
              <w:rPr>
                <w:i/>
                <w:sz w:val="18"/>
              </w:rPr>
              <w:tab/>
            </w:r>
            <w:r>
              <w:rPr>
                <w:i/>
                <w:sz w:val="18"/>
              </w:rPr>
              <w:t>(Release 11)</w:t>
            </w:r>
            <w:del w:id="23" w:author="Netw_Energy_NR-Core" w:date="2024-05-30T21:50:39Z">
              <w:r>
                <w:rPr>
                  <w:i/>
                  <w:sz w:val="18"/>
                </w:rPr>
                <w:br w:type="textWrapping"/>
              </w:r>
            </w:del>
          </w:p>
          <w:p>
            <w:pPr>
              <w:pStyle w:val="82"/>
              <w:tabs>
                <w:tab w:val="left" w:pos="950"/>
              </w:tabs>
              <w:spacing w:after="0"/>
              <w:ind w:left="241" w:hanging="241"/>
              <w:rPr>
                <w:ins w:id="24" w:author="Netw_Energy_NR-Core" w:date="2024-05-30T21:50:39Z"/>
                <w:rFonts w:hint="eastAsia" w:eastAsia="宋体"/>
                <w:i/>
                <w:sz w:val="18"/>
                <w:lang w:eastAsia="zh-CN"/>
              </w:rPr>
            </w:pPr>
            <w:r>
              <w:rPr>
                <w:i/>
                <w:sz w:val="18"/>
              </w:rPr>
              <w:t>…</w:t>
            </w:r>
            <w:del w:id="25" w:author="Netw_Energy_NR-Core" w:date="2024-05-30T21:50:39Z">
              <w:r>
                <w:rPr>
                  <w:i/>
                  <w:sz w:val="18"/>
                </w:rPr>
                <w:br w:type="textWrapping"/>
              </w:r>
            </w:del>
          </w:p>
          <w:p>
            <w:pPr>
              <w:pStyle w:val="82"/>
              <w:tabs>
                <w:tab w:val="left" w:pos="950"/>
              </w:tabs>
              <w:spacing w:after="0"/>
              <w:ind w:left="241" w:hanging="241"/>
              <w:rPr>
                <w:ins w:id="26" w:author="Netw_Energy_NR-Core" w:date="2024-05-30T21:50:39Z"/>
                <w:rFonts w:hint="eastAsia" w:eastAsia="宋体"/>
                <w:i/>
                <w:sz w:val="18"/>
                <w:lang w:eastAsia="zh-CN"/>
              </w:rPr>
            </w:pPr>
            <w:r>
              <w:rPr>
                <w:i/>
                <w:sz w:val="18"/>
              </w:rPr>
              <w:t>Rel-17</w:t>
            </w:r>
            <w:r>
              <w:rPr>
                <w:i/>
                <w:sz w:val="18"/>
              </w:rPr>
              <w:tab/>
            </w:r>
            <w:r>
              <w:rPr>
                <w:i/>
                <w:sz w:val="18"/>
              </w:rPr>
              <w:t>(Release 17)</w:t>
            </w:r>
            <w:del w:id="27" w:author="Netw_Energy_NR-Core" w:date="2024-05-30T21:50:39Z">
              <w:r>
                <w:rPr>
                  <w:i/>
                  <w:sz w:val="18"/>
                </w:rPr>
                <w:br w:type="textWrapping"/>
              </w:r>
            </w:del>
          </w:p>
          <w:p>
            <w:pPr>
              <w:pStyle w:val="82"/>
              <w:tabs>
                <w:tab w:val="left" w:pos="950"/>
              </w:tabs>
              <w:spacing w:after="0"/>
              <w:ind w:left="241" w:hanging="241"/>
              <w:rPr>
                <w:ins w:id="28" w:author="Netw_Energy_NR-Core" w:date="2024-05-30T21:50:39Z"/>
                <w:rFonts w:hint="eastAsia" w:eastAsia="宋体"/>
                <w:i/>
                <w:sz w:val="18"/>
                <w:lang w:eastAsia="zh-CN"/>
              </w:rPr>
            </w:pPr>
            <w:r>
              <w:rPr>
                <w:i/>
                <w:sz w:val="18"/>
              </w:rPr>
              <w:t>Rel-18</w:t>
            </w:r>
            <w:r>
              <w:rPr>
                <w:i/>
                <w:sz w:val="18"/>
              </w:rPr>
              <w:tab/>
            </w:r>
            <w:r>
              <w:rPr>
                <w:i/>
                <w:sz w:val="18"/>
              </w:rPr>
              <w:t>(Release 18)</w:t>
            </w:r>
            <w:del w:id="29" w:author="Netw_Energy_NR-Core" w:date="2024-05-30T21:50:39Z">
              <w:r>
                <w:rPr>
                  <w:i/>
                  <w:sz w:val="18"/>
                </w:rPr>
                <w:br w:type="textWrapping"/>
              </w:r>
            </w:del>
          </w:p>
          <w:p>
            <w:pPr>
              <w:pStyle w:val="82"/>
              <w:tabs>
                <w:tab w:val="left" w:pos="950"/>
              </w:tabs>
              <w:spacing w:after="0"/>
              <w:ind w:left="241" w:hanging="241"/>
              <w:rPr>
                <w:ins w:id="30" w:author="Netw_Energy_NR-Core" w:date="2024-05-30T21:50:39Z"/>
                <w:rFonts w:hint="eastAsia" w:eastAsia="宋体"/>
                <w:i/>
                <w:sz w:val="18"/>
                <w:lang w:eastAsia="zh-CN"/>
              </w:rPr>
            </w:pPr>
            <w:r>
              <w:rPr>
                <w:i/>
                <w:sz w:val="18"/>
              </w:rPr>
              <w:t>Rel-19</w:t>
            </w:r>
            <w:r>
              <w:rPr>
                <w:i/>
                <w:sz w:val="18"/>
              </w:rPr>
              <w:tab/>
            </w:r>
            <w:r>
              <w:rPr>
                <w:i/>
                <w:sz w:val="18"/>
              </w:rPr>
              <w:t xml:space="preserve">(Release 19) </w:t>
            </w:r>
            <w:del w:id="31" w:author="Netw_Energy_NR-Core" w:date="2024-05-30T21:50:39Z">
              <w:r>
                <w:rPr>
                  <w:i/>
                  <w:sz w:val="18"/>
                </w:rPr>
                <w:br w:type="textWrapping"/>
              </w:r>
            </w:del>
          </w:p>
          <w:p>
            <w:pPr>
              <w:pStyle w:val="82"/>
              <w:tabs>
                <w:tab w:val="left" w:pos="950"/>
              </w:tabs>
              <w:spacing w:after="0"/>
              <w:ind w:left="241" w:hanging="241"/>
              <w:rPr>
                <w:i/>
                <w:sz w:val="18"/>
              </w:rPr>
            </w:pP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Theme="minorEastAsia"/>
                <w:lang w:eastAsia="zh-CN"/>
              </w:rPr>
            </w:pPr>
            <w:r>
              <w:t xml:space="preserve">1. The current field description of </w:t>
            </w:r>
            <w:r>
              <w:rPr>
                <w:i/>
              </w:rPr>
              <w:t>scellWithoutSSB-InterBandCA-r18</w:t>
            </w:r>
            <w:r>
              <w:rPr>
                <w:b/>
                <w:i/>
              </w:rPr>
              <w:t xml:space="preserve"> </w:t>
            </w:r>
            <w:r>
              <w:t>does not support the NW to configure</w:t>
            </w:r>
            <w:r>
              <w:rPr>
                <w:rFonts w:eastAsiaTheme="minorEastAsia"/>
                <w:lang w:eastAsia="zh-CN"/>
              </w:rPr>
              <w:t xml:space="preserve"> CA of a higher-order BC while only configuring inter-band SSB-less operation of a lower-order BC;</w:t>
            </w:r>
          </w:p>
          <w:p>
            <w:pPr>
              <w:pStyle w:val="82"/>
              <w:spacing w:after="0"/>
              <w:ind w:left="100"/>
            </w:pPr>
            <w:r>
              <w:t xml:space="preserve">2. The current field description of </w:t>
            </w:r>
            <w:r>
              <w:rPr>
                <w:i/>
              </w:rPr>
              <w:t>scellWithoutSSB-InterBandCA-r18</w:t>
            </w:r>
            <w:r>
              <w:rPr>
                <w:b/>
                <w:i/>
              </w:rPr>
              <w:t xml:space="preserve"> </w:t>
            </w:r>
            <w:r>
              <w:t>does not support the report of multiple inter-band SSB-less SCell operation groups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t xml:space="preserve">Revise the field description of </w:t>
            </w:r>
            <w:r>
              <w:rPr>
                <w:i/>
              </w:rPr>
              <w:t xml:space="preserve">scellWithoutSSB-InterBandCA-r18 </w:t>
            </w:r>
            <w:r>
              <w:t>according to the agreements and compromised solution at R2#126:</w:t>
            </w:r>
          </w:p>
          <w:tbl>
            <w:tblPr>
              <w:tblStyle w:val="43"/>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4"/>
                    <w:ind w:left="363"/>
                  </w:pPr>
                  <w:r>
                    <w:t>Agreements</w:t>
                  </w:r>
                </w:p>
                <w:p>
                  <w:pPr>
                    <w:pStyle w:val="84"/>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pPr>
                    <w:pStyle w:val="84"/>
                    <w:ind w:left="363"/>
                  </w:pPr>
                  <w:r>
                    <w:t>2. The band indicated as ‘referenceBand’ can be configured as the reference band for all other band(s) indicated as ‘scellWithoutSSB’.</w:t>
                  </w:r>
                </w:p>
                <w:p>
                  <w:pPr>
                    <w:pStyle w:val="84"/>
                    <w:ind w:left="363"/>
                  </w:pPr>
                  <w:r>
                    <w:t>3. If the field scellWithoutSSB-InterBandCA-r18 is absent for a band, this band is not involved in the inter-band SSB-less SCell operation.</w:t>
                  </w:r>
                </w:p>
                <w:p>
                  <w:pPr>
                    <w:pStyle w:val="82"/>
                    <w:spacing w:after="0"/>
                  </w:pPr>
                  <w:r>
                    <w:t>4. If inter-band SSB-less SCell operation is supported between two bands, it is understood that there is no direction between the two bands, which means that the network can configure either band as the reference band and the other band as the SSB-less band.</w:t>
                  </w:r>
                </w:p>
                <w:p>
                  <w:pPr>
                    <w:pStyle w:val="82"/>
                    <w:spacing w:after="0"/>
                  </w:pPr>
                </w:p>
                <w:p>
                  <w:pPr>
                    <w:pStyle w:val="84"/>
                    <w:ind w:left="363"/>
                  </w:pPr>
                  <w:r>
                    <w:t xml:space="preserve">After CB </w:t>
                  </w:r>
                </w:p>
                <w:p>
                  <w:pPr>
                    <w:pStyle w:val="84"/>
                    <w:ind w:left="363"/>
                    <w:rPr>
                      <w:b/>
                      <w:bCs/>
                    </w:rPr>
                  </w:pPr>
                  <w:r>
                    <w:rPr>
                      <w:b/>
                      <w:bCs/>
                    </w:rPr>
                    <w:t xml:space="preserve">Compromise solution.  CR to be agreed by email </w:t>
                  </w:r>
                </w:p>
                <w:p>
                  <w:pPr>
                    <w:pStyle w:val="84"/>
                    <w:ind w:left="363"/>
                  </w:pPr>
                  <w:r>
                    <w:t>If scheme1 (to be named) is indicated, the band indicated as ‘scheme1’ can be configured as either the reference band or SSB-less band.</w:t>
                  </w:r>
                </w:p>
                <w:p>
                  <w:pPr>
                    <w:pStyle w:val="84"/>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pPr>
                    <w:pStyle w:val="84"/>
                    <w:ind w:left="363"/>
                  </w:pPr>
                  <w:r>
                    <w:t>If the field scellWithoutSSB-InterBandCA-r18 is absent for a band, this band is not involved in the inter-band SSB-less SCell operation.</w:t>
                  </w:r>
                </w:p>
                <w:p>
                  <w:pPr>
                    <w:pStyle w:val="82"/>
                    <w:spacing w:after="0"/>
                  </w:pPr>
                  <w:r>
                    <w:t>In a band combination, only scheme1 or scheme2 is indicated.</w:t>
                  </w:r>
                </w:p>
              </w:tc>
            </w:tr>
          </w:tbl>
          <w:p>
            <w:pPr>
              <w:pStyle w:val="8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Rel-18 NES UE capabilities for supporting inter-band SSB-less SCell operation is limited to the case where all the bands within a BC are involved in the inter-band SSB-less SCell operation and in the same operation group.</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4.2.7.5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38.331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86"/>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hAnsi="Times New Roman" w:eastAsia="宋体" w:cs="Times New Roman"/>
          <w:b/>
          <w:lang w:val="en-US" w:eastAsia="zh-CN"/>
        </w:rPr>
        <w:t>START</w:t>
      </w:r>
      <w:r>
        <w:rPr>
          <w:rFonts w:ascii="Times New Roman" w:hAnsi="Times New Roman" w:cs="Times New Roman"/>
          <w:b/>
          <w:lang w:val="en-US"/>
        </w:rPr>
        <w:t xml:space="preserve"> OF THE CHANGE</w:t>
      </w:r>
    </w:p>
    <w:p>
      <w:pPr>
        <w:pStyle w:val="3"/>
      </w:pPr>
      <w:bookmarkStart w:id="1" w:name="_Toc146751288"/>
      <w:r>
        <w:t>4.2</w:t>
      </w:r>
      <w:r>
        <w:tab/>
      </w:r>
      <w:r>
        <w:t>UE Capability Parameters</w:t>
      </w:r>
      <w:bookmarkEnd w:id="1"/>
    </w:p>
    <w:p>
      <w:pPr>
        <w:pStyle w:val="4"/>
      </w:pPr>
      <w:bookmarkStart w:id="2" w:name="_Toc12750892"/>
      <w:bookmarkStart w:id="3" w:name="_Toc37238763"/>
      <w:bookmarkStart w:id="4" w:name="_Toc37093373"/>
      <w:bookmarkStart w:id="5" w:name="_Toc52574079"/>
      <w:bookmarkStart w:id="6" w:name="_Toc29382256"/>
      <w:bookmarkStart w:id="7" w:name="_Toc37238649"/>
      <w:bookmarkStart w:id="8" w:name="_Toc46488658"/>
      <w:bookmarkStart w:id="9" w:name="_Toc146751295"/>
      <w:bookmarkStart w:id="10" w:name="_Toc52574165"/>
      <w:r>
        <w:t>4.2.7</w:t>
      </w:r>
      <w:r>
        <w:tab/>
      </w:r>
      <w:r>
        <w:t>Physical layer parameters</w:t>
      </w:r>
      <w:bookmarkEnd w:id="2"/>
      <w:bookmarkEnd w:id="3"/>
      <w:bookmarkEnd w:id="4"/>
      <w:bookmarkEnd w:id="5"/>
      <w:bookmarkEnd w:id="6"/>
      <w:bookmarkEnd w:id="7"/>
      <w:bookmarkEnd w:id="8"/>
      <w:bookmarkEnd w:id="9"/>
      <w:bookmarkEnd w:id="10"/>
    </w:p>
    <w:p>
      <w:pPr>
        <w:pStyle w:val="5"/>
      </w:pPr>
      <w:bookmarkStart w:id="11" w:name="_Toc12750897"/>
      <w:bookmarkStart w:id="12" w:name="_Toc29382261"/>
      <w:bookmarkStart w:id="13" w:name="_Toc37238768"/>
      <w:bookmarkStart w:id="14" w:name="_Toc52574171"/>
      <w:bookmarkStart w:id="15" w:name="_Toc162955617"/>
      <w:bookmarkStart w:id="16" w:name="_Toc52574085"/>
      <w:bookmarkStart w:id="17" w:name="_Toc37238654"/>
      <w:bookmarkStart w:id="18" w:name="_Toc37093378"/>
      <w:bookmarkStart w:id="19" w:name="_Toc46488664"/>
      <w:r>
        <w:t>4.2.7.5</w:t>
      </w:r>
      <w:r>
        <w:tab/>
      </w:r>
      <w:r>
        <w:rPr>
          <w:i/>
        </w:rPr>
        <w:t>FeatureSetDownlink</w:t>
      </w:r>
      <w:r>
        <w:t xml:space="preserve"> parameters</w:t>
      </w:r>
      <w:bookmarkEnd w:id="11"/>
      <w:bookmarkEnd w:id="12"/>
      <w:bookmarkEnd w:id="13"/>
      <w:bookmarkEnd w:id="14"/>
      <w:bookmarkEnd w:id="15"/>
      <w:bookmarkEnd w:id="16"/>
      <w:bookmarkEnd w:id="17"/>
      <w:bookmarkEnd w:id="18"/>
      <w:bookmarkEnd w:id="19"/>
    </w:p>
    <w:p>
      <w:pPr>
        <w:spacing w:before="120" w:after="120"/>
        <w:rPr>
          <w:rFonts w:ascii="Arial" w:hAnsi="Arial" w:cs="Arial"/>
          <w:lang w:eastAsia="zh-CN"/>
        </w:rPr>
      </w:pPr>
      <w:r>
        <w:rPr>
          <w:rFonts w:ascii="Arial" w:hAnsi="Arial" w:cs="Arial"/>
          <w:lang w:eastAsia="zh-CN"/>
        </w:rPr>
        <w:t>&lt;</w:t>
      </w:r>
      <w:r>
        <w:rPr>
          <w:rFonts w:ascii="Arial" w:hAnsi="Arial" w:cs="Arial"/>
        </w:rPr>
        <w:t xml:space="preserve"> unchanged part is omitted</w:t>
      </w:r>
      <w:r>
        <w:rPr>
          <w:rFonts w:ascii="Arial" w:hAnsi="Arial" w:cs="Arial"/>
          <w:lang w:eastAsia="zh-CN"/>
        </w:rPr>
        <w:t>&gt;</w:t>
      </w:r>
    </w:p>
    <w:tbl>
      <w:tblPr>
        <w:tblStyle w:val="42"/>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pPr>
            <w:r>
              <w:t>Definitions for parameters</w:t>
            </w:r>
          </w:p>
        </w:tc>
        <w:tc>
          <w:tcPr>
            <w:tcW w:w="709" w:type="dxa"/>
          </w:tcPr>
          <w:p>
            <w:pPr>
              <w:pStyle w:val="52"/>
            </w:pPr>
            <w:r>
              <w:t>Per</w:t>
            </w:r>
          </w:p>
        </w:tc>
        <w:tc>
          <w:tcPr>
            <w:tcW w:w="567" w:type="dxa"/>
          </w:tcPr>
          <w:p>
            <w:pPr>
              <w:pStyle w:val="52"/>
            </w:pPr>
            <w:r>
              <w:t>M</w:t>
            </w:r>
          </w:p>
        </w:tc>
        <w:tc>
          <w:tcPr>
            <w:tcW w:w="709" w:type="dxa"/>
          </w:tcPr>
          <w:p>
            <w:pPr>
              <w:pStyle w:val="52"/>
            </w:pPr>
            <w:r>
              <w:t>FDD-TDD</w:t>
            </w:r>
          </w:p>
          <w:p>
            <w:pPr>
              <w:pStyle w:val="52"/>
            </w:pPr>
            <w:r>
              <w:t>DIFF</w:t>
            </w:r>
          </w:p>
        </w:tc>
        <w:tc>
          <w:tcPr>
            <w:tcW w:w="728" w:type="dxa"/>
          </w:tcPr>
          <w:p>
            <w:pPr>
              <w:pStyle w:val="52"/>
            </w:pPr>
            <w:r>
              <w:t>FR1-FR2</w:t>
            </w:r>
          </w:p>
          <w:p>
            <w:pPr>
              <w:pStyle w:val="5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4"/>
              <w:rPr>
                <w:b/>
                <w:i/>
              </w:rPr>
            </w:pPr>
            <w:r>
              <w:rPr>
                <w:b/>
                <w:i/>
              </w:rPr>
              <w:t>scellWithoutSSB-InterBandCA-r18</w:t>
            </w:r>
          </w:p>
          <w:p>
            <w:pPr>
              <w:pStyle w:val="54"/>
              <w:rPr>
                <w:rFonts w:cs="Arial" w:eastAsiaTheme="minorEastAsia"/>
              </w:rPr>
            </w:pPr>
            <w:r>
              <w:rPr>
                <w:bCs/>
                <w:iCs/>
              </w:rPr>
              <w:t xml:space="preserve">Indicates whether the UE supports </w:t>
            </w:r>
            <w:r>
              <w:rPr>
                <w:rFonts w:cs="Arial" w:eastAsiaTheme="minorEastAsia"/>
              </w:rPr>
              <w:t>SCell without SS/PBCH block for inter-band CA.</w:t>
            </w:r>
          </w:p>
          <w:p>
            <w:pPr>
              <w:pStyle w:val="52"/>
              <w:jc w:val="left"/>
              <w:rPr>
                <w:ins w:id="32" w:author="Netw_Energy_NR-Core" w:date="2024-05-27T19:58:00Z"/>
                <w:b w:val="0"/>
                <w:bCs/>
                <w:iCs/>
              </w:rPr>
            </w:pPr>
            <w:r>
              <w:rPr>
                <w:b w:val="0"/>
                <w:bCs/>
                <w:iCs/>
              </w:rPr>
              <w:t xml:space="preserve">For each band within the </w:t>
            </w:r>
            <w:ins w:id="33" w:author="Netw_Energy_NR-Core" w:date="2024-05-27T20:06:00Z">
              <w:r>
                <w:rPr>
                  <w:b w:val="0"/>
                  <w:bCs/>
                  <w:iCs/>
                </w:rPr>
                <w:t>band combination</w:t>
              </w:r>
            </w:ins>
            <w:del w:id="34" w:author="Netw_Energy_NR-Core" w:date="2024-05-27T20:06:00Z">
              <w:r>
                <w:rPr>
                  <w:b w:val="0"/>
                  <w:bCs/>
                  <w:iCs/>
                </w:rPr>
                <w:delText>BC</w:delText>
              </w:r>
            </w:del>
            <w:r>
              <w:rPr>
                <w:b w:val="0"/>
                <w:bCs/>
                <w:iCs/>
              </w:rPr>
              <w:t xml:space="preserve">, UE indicates if it supports the </w:t>
            </w:r>
            <w:ins w:id="35" w:author="Netw_Energy_NR-Core" w:date="2024-05-27T19:54:00Z">
              <w:r>
                <w:rPr>
                  <w:b w:val="0"/>
                  <w:bCs/>
                  <w:iCs/>
                </w:rPr>
                <w:t xml:space="preserve">inter-band </w:t>
              </w:r>
            </w:ins>
            <w:r>
              <w:rPr>
                <w:b w:val="0"/>
                <w:bCs/>
                <w:iCs/>
              </w:rPr>
              <w:t xml:space="preserve">SSB-less </w:t>
            </w:r>
            <w:ins w:id="36" w:author="Netw_Energy_NR-Core" w:date="2024-05-27T19:54:00Z">
              <w:r>
                <w:rPr>
                  <w:b w:val="0"/>
                  <w:bCs/>
                  <w:iCs/>
                </w:rPr>
                <w:t xml:space="preserve">SCell </w:t>
              </w:r>
            </w:ins>
            <w:r>
              <w:rPr>
                <w:b w:val="0"/>
                <w:bCs/>
                <w:iCs/>
              </w:rPr>
              <w:t xml:space="preserve">operation </w:t>
            </w:r>
            <w:del w:id="37" w:author="Netw_Energy_NR-Core" w:date="2024-05-27T19:54:00Z">
              <w:r>
                <w:rPr>
                  <w:b w:val="0"/>
                  <w:bCs/>
                  <w:iCs/>
                </w:rPr>
                <w:delText>when this band is the reference band and other band(s) in the BC as the SSB-less band(s)</w:delText>
              </w:r>
            </w:del>
            <w:ins w:id="38" w:author="Netw_Energy_NR-Core" w:date="2024-05-27T19:54:00Z">
              <w:r>
                <w:rPr>
                  <w:b w:val="0"/>
                  <w:bCs/>
                  <w:iCs/>
                </w:rPr>
                <w:t xml:space="preserve">with </w:t>
              </w:r>
            </w:ins>
            <w:ins w:id="39" w:author="Netw_Energy_NR-Core" w:date="2024-05-29T18:26:00Z">
              <w:r>
                <w:rPr>
                  <w:b w:val="0"/>
                  <w:bCs/>
                  <w:i/>
                  <w:iCs/>
                </w:rPr>
                <w:t>supportOfSingleGroup</w:t>
              </w:r>
            </w:ins>
            <w:ins w:id="40" w:author="Netw_Energy_NR-Core" w:date="2024-05-29T18:26:00Z">
              <w:r>
                <w:rPr>
                  <w:b w:val="0"/>
                  <w:bCs/>
                  <w:iCs/>
                </w:rPr>
                <w:t xml:space="preserve"> </w:t>
              </w:r>
            </w:ins>
            <w:ins w:id="41" w:author="Netw_Energy_NR-Core" w:date="2024-05-27T19:54:00Z">
              <w:r>
                <w:rPr>
                  <w:b w:val="0"/>
                  <w:bCs/>
                  <w:iCs/>
                </w:rPr>
                <w:t>or</w:t>
              </w:r>
            </w:ins>
            <w:ins w:id="42" w:author="Netw_Energy_NR-Core" w:date="2024-05-29T18:26:00Z">
              <w:r>
                <w:rPr>
                  <w:b w:val="0"/>
                  <w:bCs/>
                  <w:iCs/>
                </w:rPr>
                <w:t xml:space="preserve"> </w:t>
              </w:r>
            </w:ins>
            <w:ins w:id="43" w:author="Netw_Energy_NR-Core" w:date="2024-05-29T18:26:00Z">
              <w:r>
                <w:rPr>
                  <w:b w:val="0"/>
                  <w:bCs/>
                  <w:i/>
                  <w:iCs/>
                </w:rPr>
                <w:t>supportOfMulti</w:t>
              </w:r>
            </w:ins>
            <w:ins w:id="44" w:author="Netw_Energy_NR-Core" w:date="2024-05-30T21:51:55Z">
              <w:r>
                <w:rPr>
                  <w:rFonts w:hint="eastAsia" w:eastAsia="宋体"/>
                  <w:b w:val="0"/>
                  <w:bCs/>
                  <w:i/>
                  <w:iCs/>
                  <w:lang w:val="en-US" w:eastAsia="zh-CN"/>
                </w:rPr>
                <w:t>ple</w:t>
              </w:r>
            </w:ins>
            <w:ins w:id="45" w:author="Netw_Energy_NR-Core" w:date="2024-05-29T18:26:00Z">
              <w:r>
                <w:rPr>
                  <w:b w:val="0"/>
                  <w:bCs/>
                  <w:i/>
                  <w:iCs/>
                </w:rPr>
                <w:t>Group</w:t>
              </w:r>
            </w:ins>
            <w:ins w:id="46" w:author="Netw_Energy_NR-Core" w:date="2024-05-30T21:51:59Z">
              <w:r>
                <w:rPr>
                  <w:rFonts w:hint="eastAsia" w:eastAsia="宋体"/>
                  <w:b w:val="0"/>
                  <w:bCs/>
                  <w:i/>
                  <w:iCs/>
                  <w:lang w:val="en-US" w:eastAsia="zh-CN"/>
                </w:rPr>
                <w:t>s</w:t>
              </w:r>
            </w:ins>
            <w:ins w:id="47" w:author="Netw_Energy_NR-Core" w:date="2024-05-27T20:11:00Z">
              <w:r>
                <w:rPr>
                  <w:b w:val="0"/>
                  <w:bCs/>
                  <w:iCs/>
                </w:rPr>
                <w:t>:</w:t>
              </w:r>
            </w:ins>
            <w:del w:id="48" w:author="Netw_Energy_NR-Core" w:date="2024-05-27T20:11:00Z">
              <w:r>
                <w:rPr>
                  <w:b w:val="0"/>
                  <w:bCs/>
                  <w:iCs/>
                </w:rPr>
                <w:delText>.</w:delText>
              </w:r>
            </w:del>
          </w:p>
          <w:p>
            <w:pPr>
              <w:pStyle w:val="52"/>
              <w:numPr>
                <w:ilvl w:val="0"/>
                <w:numId w:val="1"/>
              </w:numPr>
              <w:jc w:val="left"/>
              <w:rPr>
                <w:ins w:id="49" w:author="Netw_Energy_NR-Core" w:date="2024-05-27T20:06:00Z"/>
                <w:rFonts w:cs="Arial"/>
                <w:b w:val="0"/>
                <w:bCs/>
                <w:iCs/>
                <w:szCs w:val="18"/>
              </w:rPr>
            </w:pPr>
            <w:ins w:id="50" w:author="Netw_Energy_NR-Core" w:date="2024-05-27T20:01:00Z">
              <w:r>
                <w:rPr>
                  <w:b w:val="0"/>
                </w:rPr>
                <w:t xml:space="preserve">For </w:t>
              </w:r>
            </w:ins>
            <w:ins w:id="51" w:author="Netw_Energy_NR-Core" w:date="2024-05-30T21:52:05Z">
              <w:r>
                <w:rPr>
                  <w:b w:val="0"/>
                  <w:bCs/>
                  <w:i/>
                  <w:iCs/>
                </w:rPr>
                <w:t>supportOfSingleGroup</w:t>
              </w:r>
            </w:ins>
            <w:ins w:id="52" w:author="Netw_Energy_NR-Core" w:date="2024-05-27T20:01:00Z">
              <w:r>
                <w:rPr>
                  <w:b w:val="0"/>
                </w:rPr>
                <w:t xml:space="preserve">, </w:t>
              </w:r>
            </w:ins>
            <w:ins w:id="53" w:author="Netw_Energy_NR-Core" w:date="2024-05-27T20:02:00Z">
              <w:r>
                <w:rPr>
                  <w:b w:val="0"/>
                  <w:bCs/>
                  <w:iCs/>
                </w:rPr>
                <w:t xml:space="preserve">the band indicated as ‘referenceBand’ can be </w:t>
              </w:r>
            </w:ins>
            <w:ins w:id="54" w:author="Netw_Energy_NR-Core" w:date="2024-05-27T20:02:00Z">
              <w:r>
                <w:rPr>
                  <w:rFonts w:cs="Arial"/>
                  <w:b w:val="0"/>
                  <w:bCs/>
                  <w:iCs/>
                  <w:szCs w:val="18"/>
                </w:rPr>
                <w:t>configured as the reference band for all other band(s) indicated as ‘scellWithoutSSB’.</w:t>
              </w:r>
            </w:ins>
            <w:ins w:id="55" w:author="Netw_Energy_NR-Core" w:date="2024-05-27T20:03:00Z">
              <w:r>
                <w:rPr>
                  <w:rFonts w:cs="Arial"/>
                  <w:b w:val="0"/>
                  <w:bCs/>
                  <w:iCs/>
                  <w:szCs w:val="18"/>
                </w:rPr>
                <w:t xml:space="preserve"> </w:t>
              </w:r>
            </w:ins>
            <w:ins w:id="56" w:author="Netw_Energy_NR-Core" w:date="2024-05-27T20:05:00Z">
              <w:r>
                <w:rPr>
                  <w:rFonts w:cs="Arial"/>
                  <w:b w:val="0"/>
                  <w:bCs/>
                  <w:iCs/>
                  <w:szCs w:val="18"/>
                </w:rPr>
                <w:t xml:space="preserve">The band indicated as ‘both’ can be configured as either </w:t>
              </w:r>
            </w:ins>
            <w:ins w:id="57" w:author="Netw_Energy_NR-Core" w:date="2024-05-29T18:27:00Z">
              <w:r>
                <w:rPr>
                  <w:rFonts w:cs="Arial"/>
                  <w:b w:val="0"/>
                  <w:bCs/>
                  <w:iCs/>
                  <w:szCs w:val="18"/>
                </w:rPr>
                <w:t>a</w:t>
              </w:r>
            </w:ins>
            <w:ins w:id="58" w:author="Netw_Energy_NR-Core" w:date="2024-05-27T20:05:00Z">
              <w:r>
                <w:rPr>
                  <w:rFonts w:cs="Arial"/>
                  <w:b w:val="0"/>
                  <w:bCs/>
                  <w:iCs/>
                  <w:szCs w:val="18"/>
                </w:rPr>
                <w:t xml:space="preserve"> reference band or an SSB-less band. If the UE indicates “both” for any band, the UE shall not indicate ‘referenceBand’ or ‘scellWithoutSSB’ in any other band in the band combination.</w:t>
              </w:r>
            </w:ins>
          </w:p>
          <w:p>
            <w:pPr>
              <w:pStyle w:val="52"/>
              <w:numPr>
                <w:ilvl w:val="0"/>
                <w:numId w:val="1"/>
              </w:numPr>
              <w:jc w:val="left"/>
              <w:rPr>
                <w:ins w:id="59" w:author="Netw_Energy_NR-Core" w:date="2024-05-27T20:08:00Z"/>
                <w:rFonts w:cs="Arial"/>
                <w:b w:val="0"/>
                <w:bCs/>
                <w:iCs/>
                <w:szCs w:val="18"/>
              </w:rPr>
            </w:pPr>
            <w:ins w:id="60" w:author="Netw_Energy_NR-Core" w:date="2024-05-27T20:06:00Z">
              <w:r>
                <w:rPr>
                  <w:b w:val="0"/>
                </w:rPr>
                <w:t xml:space="preserve">For </w:t>
              </w:r>
            </w:ins>
            <w:ins w:id="61" w:author="Netw_Energy_NR-Core" w:date="2024-05-30T21:52:15Z">
              <w:r>
                <w:rPr>
                  <w:b w:val="0"/>
                  <w:bCs/>
                  <w:i/>
                  <w:iCs/>
                </w:rPr>
                <w:t>supportOfMulti</w:t>
              </w:r>
            </w:ins>
            <w:ins w:id="62" w:author="Netw_Energy_NR-Core" w:date="2024-05-30T21:52:15Z">
              <w:r>
                <w:rPr>
                  <w:rFonts w:hint="eastAsia" w:eastAsia="宋体"/>
                  <w:b w:val="0"/>
                  <w:bCs/>
                  <w:i/>
                  <w:iCs/>
                  <w:lang w:val="en-US" w:eastAsia="zh-CN"/>
                </w:rPr>
                <w:t>ple</w:t>
              </w:r>
            </w:ins>
            <w:ins w:id="63" w:author="Netw_Energy_NR-Core" w:date="2024-05-30T21:52:15Z">
              <w:r>
                <w:rPr>
                  <w:b w:val="0"/>
                  <w:bCs/>
                  <w:i/>
                  <w:iCs/>
                </w:rPr>
                <w:t>Group</w:t>
              </w:r>
            </w:ins>
            <w:ins w:id="64" w:author="Netw_Energy_NR-Core" w:date="2024-05-30T21:52:15Z">
              <w:r>
                <w:rPr>
                  <w:rFonts w:hint="eastAsia" w:eastAsia="宋体"/>
                  <w:b w:val="0"/>
                  <w:bCs/>
                  <w:i/>
                  <w:iCs/>
                  <w:lang w:val="en-US" w:eastAsia="zh-CN"/>
                </w:rPr>
                <w:t>s</w:t>
              </w:r>
            </w:ins>
            <w:ins w:id="65" w:author="Netw_Energy_NR-Core" w:date="2024-05-27T20:06:00Z">
              <w:r>
                <w:rPr>
                  <w:b w:val="0"/>
                </w:rPr>
                <w:t xml:space="preserve">, </w:t>
              </w:r>
            </w:ins>
            <w:ins w:id="66" w:author="Netw_Energy_NR-Core" w:date="2024-05-27T20:06:00Z">
              <w:r>
                <w:rPr>
                  <w:b w:val="0"/>
                  <w:bCs/>
                  <w:iCs/>
                </w:rPr>
                <w:t xml:space="preserve">the band indicated as ‘referenceBand1’ can be </w:t>
              </w:r>
            </w:ins>
            <w:ins w:id="67" w:author="Netw_Energy_NR-Core" w:date="2024-05-27T20:06:00Z">
              <w:r>
                <w:rPr>
                  <w:rFonts w:cs="Arial"/>
                  <w:b w:val="0"/>
                  <w:bCs/>
                  <w:iCs/>
                  <w:szCs w:val="18"/>
                </w:rPr>
                <w:t>configured as the reference band for all other band(s) indicated as ‘scellWithoutSSB</w:t>
              </w:r>
            </w:ins>
            <w:ins w:id="68" w:author="Netw_Energy_NR-Core" w:date="2024-05-27T20:07:00Z">
              <w:r>
                <w:rPr>
                  <w:rFonts w:cs="Arial"/>
                  <w:b w:val="0"/>
                  <w:bCs/>
                  <w:iCs/>
                  <w:szCs w:val="18"/>
                </w:rPr>
                <w:t>1</w:t>
              </w:r>
            </w:ins>
            <w:ins w:id="69" w:author="Netw_Energy_NR-Core" w:date="2024-05-27T20:06:00Z">
              <w:r>
                <w:rPr>
                  <w:rFonts w:cs="Arial"/>
                  <w:b w:val="0"/>
                  <w:bCs/>
                  <w:iCs/>
                  <w:szCs w:val="18"/>
                </w:rPr>
                <w:t>’</w:t>
              </w:r>
            </w:ins>
            <w:ins w:id="70" w:author="Netw_Energy_NR-Core" w:date="2024-05-27T20:07:00Z">
              <w:r>
                <w:rPr>
                  <w:rFonts w:cs="Arial"/>
                  <w:b w:val="0"/>
                  <w:bCs/>
                  <w:iCs/>
                  <w:szCs w:val="18"/>
                </w:rPr>
                <w:t xml:space="preserve">, and </w:t>
              </w:r>
            </w:ins>
            <w:ins w:id="71" w:author="Netw_Energy_NR-Core" w:date="2024-05-27T20:07:00Z">
              <w:r>
                <w:rPr>
                  <w:b w:val="0"/>
                  <w:bCs/>
                  <w:iCs/>
                </w:rPr>
                <w:t xml:space="preserve">the band indicated as ‘referenceBand2’ can be </w:t>
              </w:r>
            </w:ins>
            <w:ins w:id="72" w:author="Netw_Energy_NR-Core" w:date="2024-05-27T20:07:00Z">
              <w:r>
                <w:rPr>
                  <w:rFonts w:cs="Arial"/>
                  <w:b w:val="0"/>
                  <w:bCs/>
                  <w:iCs/>
                  <w:szCs w:val="18"/>
                </w:rPr>
                <w:t>configured as the reference band for all other band(s) indicated as ‘scellWithoutSSB2’</w:t>
              </w:r>
            </w:ins>
            <w:ins w:id="73" w:author="Netw_Energy_NR-Core" w:date="2024-05-27T20:06:00Z">
              <w:r>
                <w:rPr>
                  <w:rFonts w:cs="Arial"/>
                  <w:b w:val="0"/>
                  <w:bCs/>
                  <w:iCs/>
                  <w:szCs w:val="18"/>
                </w:rPr>
                <w:t>.</w:t>
              </w:r>
            </w:ins>
            <w:ins w:id="74" w:author="Netw_Energy_NR-Core" w:date="2024-05-27T20:07:00Z">
              <w:r>
                <w:rPr>
                  <w:rFonts w:cs="Arial"/>
                  <w:b w:val="0"/>
                  <w:bCs/>
                  <w:iCs/>
                  <w:szCs w:val="18"/>
                </w:rPr>
                <w:t xml:space="preserve"> </w:t>
              </w:r>
            </w:ins>
            <w:bookmarkStart w:id="20" w:name="_GoBack"/>
            <w:bookmarkEnd w:id="20"/>
          </w:p>
          <w:p>
            <w:pPr>
              <w:pStyle w:val="52"/>
              <w:jc w:val="left"/>
              <w:rPr>
                <w:ins w:id="75" w:author="Netw_Energy_NR-Core" w:date="2024-05-27T20:15:00Z"/>
                <w:rFonts w:cs="Arial"/>
                <w:b w:val="0"/>
                <w:bCs/>
                <w:iCs/>
                <w:szCs w:val="18"/>
              </w:rPr>
            </w:pPr>
          </w:p>
          <w:p>
            <w:pPr>
              <w:pStyle w:val="52"/>
              <w:jc w:val="left"/>
              <w:rPr>
                <w:ins w:id="76" w:author="Netw_Energy_NR-Core" w:date="2024-05-27T20:15:00Z"/>
                <w:rFonts w:cs="Arial"/>
                <w:b w:val="0"/>
                <w:bCs/>
                <w:iCs/>
                <w:szCs w:val="18"/>
              </w:rPr>
            </w:pPr>
            <w:ins w:id="77" w:author="Netw_Energy_NR-Core" w:date="2024-05-27T20:14:00Z">
              <w:r>
                <w:rPr>
                  <w:rFonts w:cs="Arial"/>
                  <w:b w:val="0"/>
                  <w:bCs/>
                  <w:iCs/>
                  <w:szCs w:val="18"/>
                </w:rPr>
                <w:t xml:space="preserve">If the field </w:t>
              </w:r>
            </w:ins>
            <w:ins w:id="78" w:author="Netw_Energy_NR-Core" w:date="2024-05-27T20:14:00Z">
              <w:r>
                <w:rPr>
                  <w:rFonts w:cs="Arial"/>
                  <w:b w:val="0"/>
                  <w:bCs/>
                  <w:i/>
                  <w:iCs/>
                  <w:szCs w:val="18"/>
                </w:rPr>
                <w:t>scellWithoutSSB-InterBandCA-r18</w:t>
              </w:r>
            </w:ins>
            <w:ins w:id="79" w:author="Netw_Energy_NR-Core" w:date="2024-05-27T20:14:00Z">
              <w:r>
                <w:rPr>
                  <w:rFonts w:cs="Arial"/>
                  <w:b w:val="0"/>
                  <w:bCs/>
                  <w:iCs/>
                  <w:szCs w:val="18"/>
                </w:rPr>
                <w:t xml:space="preserve"> is absent for a band, this band is not involved in the inter-band SSB-less SCell operation.</w:t>
              </w:r>
            </w:ins>
          </w:p>
          <w:p>
            <w:pPr>
              <w:pStyle w:val="52"/>
              <w:jc w:val="left"/>
              <w:rPr>
                <w:b w:val="0"/>
              </w:rPr>
            </w:pPr>
            <w:ins w:id="80" w:author="Netw_Energy_NR-Core" w:date="2024-05-27T20:15:00Z">
              <w:r>
                <w:rPr>
                  <w:rFonts w:cs="Arial"/>
                  <w:b w:val="0"/>
                  <w:bCs/>
                  <w:iCs/>
                  <w:szCs w:val="18"/>
                </w:rPr>
                <w:t xml:space="preserve">If </w:t>
              </w:r>
            </w:ins>
            <w:ins w:id="81" w:author="Netw_Energy_NR-Core" w:date="2024-05-27T20:50:00Z">
              <w:r>
                <w:rPr>
                  <w:rFonts w:cs="Arial"/>
                  <w:b w:val="0"/>
                  <w:bCs/>
                  <w:iCs/>
                  <w:szCs w:val="18"/>
                </w:rPr>
                <w:t xml:space="preserve">the </w:t>
              </w:r>
            </w:ins>
            <w:ins w:id="82" w:author="Netw_Energy_NR-Core" w:date="2024-05-27T20:15:00Z">
              <w:r>
                <w:rPr>
                  <w:rFonts w:cs="Arial"/>
                  <w:b w:val="0"/>
                  <w:bCs/>
                  <w:iCs/>
                  <w:szCs w:val="18"/>
                </w:rPr>
                <w:t>inter-band SSB-less SCell operation is supported between two bands, it is understood that there is no direction between the two bands, which means that the network can configure either band as the reference band and the other band as the SSB-less band.</w:t>
              </w:r>
            </w:ins>
          </w:p>
        </w:tc>
        <w:tc>
          <w:tcPr>
            <w:tcW w:w="709" w:type="dxa"/>
          </w:tcPr>
          <w:p>
            <w:pPr>
              <w:pStyle w:val="52"/>
              <w:rPr>
                <w:b w:val="0"/>
              </w:rPr>
            </w:pPr>
            <w:r>
              <w:rPr>
                <w:b w:val="0"/>
              </w:rPr>
              <w:t>FS</w:t>
            </w:r>
          </w:p>
        </w:tc>
        <w:tc>
          <w:tcPr>
            <w:tcW w:w="567" w:type="dxa"/>
          </w:tcPr>
          <w:p>
            <w:pPr>
              <w:pStyle w:val="52"/>
              <w:rPr>
                <w:b w:val="0"/>
              </w:rPr>
            </w:pPr>
            <w:r>
              <w:rPr>
                <w:b w:val="0"/>
              </w:rPr>
              <w:t>No</w:t>
            </w:r>
          </w:p>
        </w:tc>
        <w:tc>
          <w:tcPr>
            <w:tcW w:w="709" w:type="dxa"/>
          </w:tcPr>
          <w:p>
            <w:pPr>
              <w:pStyle w:val="52"/>
              <w:rPr>
                <w:b w:val="0"/>
              </w:rPr>
            </w:pPr>
            <w:r>
              <w:rPr>
                <w:b w:val="0"/>
                <w:bCs/>
                <w:iCs/>
              </w:rPr>
              <w:t>N/A</w:t>
            </w:r>
          </w:p>
        </w:tc>
        <w:tc>
          <w:tcPr>
            <w:tcW w:w="728" w:type="dxa"/>
          </w:tcPr>
          <w:p>
            <w:pPr>
              <w:pStyle w:val="52"/>
              <w:rPr>
                <w:b w:val="0"/>
              </w:rPr>
            </w:pPr>
            <w:r>
              <w:rPr>
                <w:b w:val="0"/>
                <w:bCs/>
                <w:iCs/>
              </w:rPr>
              <w:t>FR1 only</w:t>
            </w:r>
          </w:p>
        </w:tc>
      </w:tr>
    </w:tbl>
    <w:p>
      <w:pPr>
        <w:spacing w:before="120" w:after="120"/>
        <w:rPr>
          <w:rFonts w:ascii="Arial" w:hAnsi="Arial" w:cs="Arial"/>
          <w:lang w:eastAsia="zh-CN"/>
        </w:rPr>
      </w:pPr>
      <w:r>
        <w:rPr>
          <w:rFonts w:ascii="Arial" w:hAnsi="Arial" w:cs="Arial"/>
          <w:lang w:eastAsia="zh-CN"/>
        </w:rPr>
        <w:t>&lt;</w:t>
      </w:r>
      <w:r>
        <w:rPr>
          <w:rFonts w:ascii="Arial" w:hAnsi="Arial" w:cs="Arial"/>
        </w:rPr>
        <w:t xml:space="preserve"> unchanged part is omitted</w:t>
      </w:r>
      <w:r>
        <w:rPr>
          <w:rFonts w:ascii="Arial" w:hAnsi="Arial" w:cs="Arial"/>
          <w:lang w:eastAsia="zh-CN"/>
        </w:rPr>
        <w:t>&gt;</w:t>
      </w:r>
    </w:p>
    <w:p>
      <w:pPr>
        <w:pStyle w:val="86"/>
        <w:tabs>
          <w:tab w:val="left" w:pos="2995"/>
          <w:tab w:val="center" w:pos="4819"/>
        </w:tabs>
        <w:adjustRightInd w:val="0"/>
        <w:snapToGrid w:val="0"/>
        <w:spacing w:before="0" w:after="120" w:line="240" w:lineRule="auto"/>
        <w:jc w:val="center"/>
      </w:pPr>
      <w:r>
        <w:rPr>
          <w:rFonts w:ascii="Times New Roman" w:hAnsi="Times New Roman" w:eastAsia="宋体" w:cs="Times New Roman"/>
          <w:b/>
          <w:lang w:val="en-US" w:eastAsia="zh-CN"/>
        </w:rPr>
        <w:t>END</w:t>
      </w:r>
      <w:r>
        <w:rPr>
          <w:rFonts w:ascii="Times New Roman" w:hAnsi="Times New Roman" w:cs="Times New Roman"/>
          <w:b/>
          <w:lang w:val="en-US"/>
        </w:rPr>
        <w:t xml:space="preserve"> OF THE CHANGE</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onotype Sorts">
    <w:altName w:val="Segoe UI Symbol"/>
    <w:panose1 w:val="00000000000000000000"/>
    <w:charset w:val="02"/>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84672"/>
    <w:multiLevelType w:val="multilevel"/>
    <w:tmpl w:val="25684672"/>
    <w:lvl w:ilvl="0" w:tentative="0">
      <w:start w:val="1"/>
      <w:numFmt w:val="bullet"/>
      <w:lvlText w:val="-"/>
      <w:lvlJc w:val="left"/>
      <w:pPr>
        <w:ind w:left="720" w:hanging="360"/>
      </w:pPr>
      <w:rPr>
        <w:rFonts w:hint="eastAsia" w:ascii="宋体" w:hAnsi="宋体" w:eastAsia="宋体"/>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tw_Energy_NR-Core">
    <w15:presenceInfo w15:providerId="None" w15:userId="Netw_Energy_N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MTRhMGFkMjE3OTFmNWQ2YTIyNTI2MTMzOWRhMGMifQ=="/>
  </w:docVars>
  <w:rsids>
    <w:rsidRoot w:val="00022E4A"/>
    <w:rsid w:val="00022E4A"/>
    <w:rsid w:val="00070E09"/>
    <w:rsid w:val="000A6394"/>
    <w:rsid w:val="000B7FED"/>
    <w:rsid w:val="000C038A"/>
    <w:rsid w:val="000C6598"/>
    <w:rsid w:val="000D44B3"/>
    <w:rsid w:val="00145D43"/>
    <w:rsid w:val="00145F7E"/>
    <w:rsid w:val="00157826"/>
    <w:rsid w:val="00192C46"/>
    <w:rsid w:val="001A08B3"/>
    <w:rsid w:val="001A7B60"/>
    <w:rsid w:val="001B52F0"/>
    <w:rsid w:val="001B7A65"/>
    <w:rsid w:val="001E41F3"/>
    <w:rsid w:val="0026004D"/>
    <w:rsid w:val="002640DD"/>
    <w:rsid w:val="00275D12"/>
    <w:rsid w:val="00284FEB"/>
    <w:rsid w:val="002860C4"/>
    <w:rsid w:val="002B5741"/>
    <w:rsid w:val="002E472E"/>
    <w:rsid w:val="002F67CC"/>
    <w:rsid w:val="00305409"/>
    <w:rsid w:val="003609EF"/>
    <w:rsid w:val="0036231A"/>
    <w:rsid w:val="00374DD4"/>
    <w:rsid w:val="003E1A36"/>
    <w:rsid w:val="00410371"/>
    <w:rsid w:val="004242F1"/>
    <w:rsid w:val="00486449"/>
    <w:rsid w:val="004B75B7"/>
    <w:rsid w:val="004E5AF2"/>
    <w:rsid w:val="005141D9"/>
    <w:rsid w:val="0051580D"/>
    <w:rsid w:val="00522669"/>
    <w:rsid w:val="00547111"/>
    <w:rsid w:val="00592D74"/>
    <w:rsid w:val="005E2C44"/>
    <w:rsid w:val="00621188"/>
    <w:rsid w:val="006257ED"/>
    <w:rsid w:val="00653DE4"/>
    <w:rsid w:val="0065714D"/>
    <w:rsid w:val="00665C47"/>
    <w:rsid w:val="00667BD6"/>
    <w:rsid w:val="00695808"/>
    <w:rsid w:val="006A0E1F"/>
    <w:rsid w:val="006B46FB"/>
    <w:rsid w:val="006E21FB"/>
    <w:rsid w:val="00792342"/>
    <w:rsid w:val="007977A8"/>
    <w:rsid w:val="007B512A"/>
    <w:rsid w:val="007C2097"/>
    <w:rsid w:val="007D6A07"/>
    <w:rsid w:val="007F7259"/>
    <w:rsid w:val="008040A8"/>
    <w:rsid w:val="008279FA"/>
    <w:rsid w:val="008626E7"/>
    <w:rsid w:val="00870EE7"/>
    <w:rsid w:val="008863B9"/>
    <w:rsid w:val="008A2351"/>
    <w:rsid w:val="008A45A6"/>
    <w:rsid w:val="008B654F"/>
    <w:rsid w:val="008D3CCC"/>
    <w:rsid w:val="008F3789"/>
    <w:rsid w:val="008F686C"/>
    <w:rsid w:val="009148DE"/>
    <w:rsid w:val="00941E30"/>
    <w:rsid w:val="009531B0"/>
    <w:rsid w:val="009741B3"/>
    <w:rsid w:val="009777D9"/>
    <w:rsid w:val="00991B88"/>
    <w:rsid w:val="009A5753"/>
    <w:rsid w:val="009A579D"/>
    <w:rsid w:val="009D4540"/>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0CE"/>
    <w:rsid w:val="00BD279D"/>
    <w:rsid w:val="00BD6BB8"/>
    <w:rsid w:val="00C66BA2"/>
    <w:rsid w:val="00C718B8"/>
    <w:rsid w:val="00C870F6"/>
    <w:rsid w:val="00C95985"/>
    <w:rsid w:val="00CB7D01"/>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10E64"/>
    <w:rsid w:val="00F25D98"/>
    <w:rsid w:val="00F300FB"/>
    <w:rsid w:val="00FB6386"/>
    <w:rsid w:val="00FF0BEA"/>
    <w:rsid w:val="317A61F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semiHidden/>
    <w:uiPriority w:val="0"/>
  </w:style>
  <w:style w:type="paragraph" w:styleId="30">
    <w:name w:val="List Bullet 5"/>
    <w:basedOn w:val="24"/>
    <w:uiPriority w:val="0"/>
    <w:pPr>
      <w:ind w:left="1702"/>
    </w:pPr>
  </w:style>
  <w:style w:type="paragraph" w:styleId="31">
    <w:name w:val="toc 8"/>
    <w:basedOn w:val="21"/>
    <w:semiHidden/>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uiPriority w:val="0"/>
    <w:pPr>
      <w:ind w:left="1418"/>
    </w:pPr>
  </w:style>
  <w:style w:type="paragraph" w:styleId="38">
    <w:name w:val="toc 9"/>
    <w:basedOn w:val="31"/>
    <w:semiHidden/>
    <w:uiPriority w:val="0"/>
    <w:pPr>
      <w:ind w:left="1418" w:hanging="1418"/>
    </w:pPr>
  </w:style>
  <w:style w:type="paragraph" w:styleId="39">
    <w:name w:val="index 1"/>
    <w:basedOn w:val="1"/>
    <w:semiHidden/>
    <w:uiPriority w:val="0"/>
    <w:pPr>
      <w:keepLines/>
      <w:spacing w:after="0"/>
    </w:pPr>
  </w:style>
  <w:style w:type="paragraph" w:styleId="40">
    <w:name w:val="index 2"/>
    <w:basedOn w:val="39"/>
    <w:semiHidden/>
    <w:uiPriority w:val="0"/>
    <w:pPr>
      <w:ind w:left="284"/>
    </w:pPr>
  </w:style>
  <w:style w:type="paragraph" w:styleId="41">
    <w:name w:val="annotation subject"/>
    <w:basedOn w:val="29"/>
    <w:next w:val="29"/>
    <w:semiHidden/>
    <w:uiPriority w:val="0"/>
    <w:rPr>
      <w:b/>
      <w:bCs/>
    </w:rPr>
  </w:style>
  <w:style w:type="table" w:styleId="43">
    <w:name w:val="Table Grid"/>
    <w:basedOn w:val="4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uiPriority w:val="0"/>
    <w:rPr>
      <w:color w:val="800080"/>
      <w:u w:val="single"/>
    </w:rPr>
  </w:style>
  <w:style w:type="character" w:styleId="46">
    <w:name w:val="Hyperlink"/>
    <w:uiPriority w:val="0"/>
    <w:rPr>
      <w:color w:val="0000FF"/>
      <w:u w:val="single"/>
    </w:rPr>
  </w:style>
  <w:style w:type="character" w:styleId="47">
    <w:name w:val="annotation reference"/>
    <w:semiHidden/>
    <w:uiPriority w:val="0"/>
    <w:rPr>
      <w:sz w:val="16"/>
    </w:rPr>
  </w:style>
  <w:style w:type="character" w:styleId="48">
    <w:name w:val="footnote reference"/>
    <w:semiHidden/>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7"/>
    <w:qFormat/>
    <w:uiPriority w:val="0"/>
    <w:rPr>
      <w:b/>
    </w:rPr>
  </w:style>
  <w:style w:type="paragraph" w:customStyle="1" w:styleId="53">
    <w:name w:val="TAC"/>
    <w:basedOn w:val="54"/>
    <w:uiPriority w:val="0"/>
    <w:pPr>
      <w:jc w:val="center"/>
    </w:pPr>
  </w:style>
  <w:style w:type="paragraph" w:customStyle="1" w:styleId="54">
    <w:name w:val="TAL"/>
    <w:basedOn w:val="1"/>
    <w:link w:val="89"/>
    <w:qFormat/>
    <w:uiPriority w:val="0"/>
    <w:pPr>
      <w:keepNext/>
      <w:keepLines/>
      <w:spacing w:after="0"/>
    </w:pPr>
    <w:rPr>
      <w:rFonts w:ascii="Arial" w:hAnsi="Arial"/>
      <w:sz w:val="18"/>
    </w:rPr>
  </w:style>
  <w:style w:type="paragraph" w:customStyle="1" w:styleId="55">
    <w:name w:val="TF"/>
    <w:basedOn w:val="56"/>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link w:val="88"/>
    <w:qFormat/>
    <w:uiPriority w:val="0"/>
    <w:pPr>
      <w:keepLines/>
      <w:ind w:left="1135" w:hanging="851"/>
    </w:pPr>
  </w:style>
  <w:style w:type="paragraph" w:customStyle="1" w:styleId="58">
    <w:name w:val="EX"/>
    <w:basedOn w:val="1"/>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uiPriority w:val="0"/>
    <w:pPr>
      <w:jc w:val="right"/>
    </w:pPr>
  </w:style>
  <w:style w:type="paragraph" w:customStyle="1" w:styleId="67">
    <w:name w:val="TAN"/>
    <w:basedOn w:val="54"/>
    <w:uiPriority w:val="0"/>
    <w:pPr>
      <w:ind w:left="851" w:hanging="851"/>
    </w:pPr>
  </w:style>
  <w:style w:type="paragraph" w:customStyle="1" w:styleId="68">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uiPriority w:val="0"/>
    <w:pPr>
      <w:framePr w:y="16161"/>
    </w:pPr>
  </w:style>
  <w:style w:type="character" w:customStyle="1" w:styleId="73">
    <w:name w:val="ZGSM"/>
    <w:uiPriority w:val="0"/>
  </w:style>
  <w:style w:type="paragraph" w:customStyle="1" w:styleId="74">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uiPriority w:val="0"/>
    <w:rPr>
      <w:color w:val="FF0000"/>
    </w:rPr>
  </w:style>
  <w:style w:type="paragraph" w:customStyle="1" w:styleId="76">
    <w:name w:val="B1"/>
    <w:basedOn w:val="14"/>
    <w:uiPriority w:val="0"/>
  </w:style>
  <w:style w:type="paragraph" w:customStyle="1" w:styleId="77">
    <w:name w:val="B2"/>
    <w:basedOn w:val="13"/>
    <w:uiPriority w:val="0"/>
  </w:style>
  <w:style w:type="paragraph" w:customStyle="1" w:styleId="78">
    <w:name w:val="B3"/>
    <w:basedOn w:val="12"/>
    <w:uiPriority w:val="0"/>
  </w:style>
  <w:style w:type="paragraph" w:customStyle="1" w:styleId="79">
    <w:name w:val="B4"/>
    <w:basedOn w:val="37"/>
    <w:uiPriority w:val="0"/>
  </w:style>
  <w:style w:type="paragraph" w:customStyle="1" w:styleId="80">
    <w:name w:val="B5"/>
    <w:basedOn w:val="36"/>
    <w:uiPriority w:val="0"/>
  </w:style>
  <w:style w:type="paragraph" w:customStyle="1" w:styleId="81">
    <w:name w:val="ZTD"/>
    <w:basedOn w:val="69"/>
    <w:uiPriority w:val="0"/>
    <w:pPr>
      <w:framePr w:hRule="auto" w:y="852"/>
    </w:pPr>
    <w:rPr>
      <w:i w:val="0"/>
      <w:sz w:val="40"/>
    </w:rPr>
  </w:style>
  <w:style w:type="paragraph" w:customStyle="1" w:styleId="82">
    <w:name w:val="CR Cover Page"/>
    <w:uiPriority w:val="0"/>
    <w:pPr>
      <w:spacing w:after="120"/>
    </w:pPr>
    <w:rPr>
      <w:rFonts w:ascii="Arial" w:hAnsi="Arial" w:eastAsia="Times New Roman" w:cs="Times New Roman"/>
      <w:lang w:val="en-GB" w:eastAsia="en-US" w:bidi="ar-SA"/>
    </w:rPr>
  </w:style>
  <w:style w:type="paragraph" w:customStyle="1" w:styleId="83">
    <w:name w:val="tdoc-header"/>
    <w:uiPriority w:val="0"/>
    <w:rPr>
      <w:rFonts w:ascii="Arial" w:hAnsi="Arial" w:eastAsia="Times New Roman" w:cs="Times New Roman"/>
      <w:sz w:val="24"/>
      <w:lang w:val="en-GB" w:eastAsia="en-US" w:bidi="ar-SA"/>
    </w:rPr>
  </w:style>
  <w:style w:type="paragraph" w:customStyle="1" w:styleId="84">
    <w:name w:val="Doc-text2"/>
    <w:basedOn w:val="1"/>
    <w:link w:val="85"/>
    <w:qFormat/>
    <w:uiPriority w:val="0"/>
    <w:pPr>
      <w:tabs>
        <w:tab w:val="left" w:pos="1622"/>
      </w:tabs>
      <w:spacing w:after="0"/>
      <w:ind w:left="1622" w:hanging="363"/>
    </w:pPr>
    <w:rPr>
      <w:rFonts w:ascii="Arial" w:hAnsi="Arial" w:eastAsia="MS Mincho"/>
      <w:szCs w:val="24"/>
      <w:lang w:eastAsia="en-GB"/>
    </w:rPr>
  </w:style>
  <w:style w:type="character" w:customStyle="1" w:styleId="85">
    <w:name w:val="Doc-text2 Char"/>
    <w:link w:val="84"/>
    <w:qFormat/>
    <w:uiPriority w:val="0"/>
    <w:rPr>
      <w:rFonts w:ascii="Arial" w:hAnsi="Arial" w:eastAsia="MS Mincho"/>
      <w:szCs w:val="24"/>
      <w:lang w:val="en-GB" w:eastAsia="en-GB"/>
    </w:rPr>
  </w:style>
  <w:style w:type="paragraph" w:customStyle="1" w:styleId="86">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character" w:customStyle="1" w:styleId="87">
    <w:name w:val="TAH Car"/>
    <w:link w:val="52"/>
    <w:qFormat/>
    <w:locked/>
    <w:uiPriority w:val="0"/>
    <w:rPr>
      <w:rFonts w:ascii="Arial" w:hAnsi="Arial"/>
      <w:b/>
      <w:sz w:val="18"/>
      <w:lang w:val="en-GB" w:eastAsia="en-US"/>
    </w:rPr>
  </w:style>
  <w:style w:type="character" w:customStyle="1" w:styleId="88">
    <w:name w:val="NO Char"/>
    <w:link w:val="57"/>
    <w:qFormat/>
    <w:uiPriority w:val="0"/>
    <w:rPr>
      <w:rFonts w:ascii="Times New Roman" w:hAnsi="Times New Roman"/>
      <w:lang w:val="en-GB" w:eastAsia="en-US"/>
    </w:rPr>
  </w:style>
  <w:style w:type="character" w:customStyle="1" w:styleId="89">
    <w:name w:val="TAL Car"/>
    <w:link w:val="54"/>
    <w:qFormat/>
    <w:uiPriority w:val="0"/>
    <w:rPr>
      <w:rFonts w:ascii="Arial" w:hAnsi="Arial"/>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4585-5E1F-4A64-A6B0-B4AEE248D2FE}">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804</Words>
  <Characters>4495</Characters>
  <Lines>39</Lines>
  <Paragraphs>11</Paragraphs>
  <TotalTime>2</TotalTime>
  <ScaleCrop>false</ScaleCrop>
  <LinksUpToDate>false</LinksUpToDate>
  <CharactersWithSpaces>5233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Netw_Energy_NR-Core</cp:lastModifiedBy>
  <cp:lastPrinted>2411-12-31T23:00:00Z</cp:lastPrinted>
  <dcterms:modified xsi:type="dcterms:W3CDTF">2024-05-30T13:52:41Z</dcterms:modified>
  <dc:title>MTG_TITLE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2052-12.1.0.16929</vt:lpwstr>
  </property>
  <property fmtid="{D5CDD505-2E9C-101B-9397-08002B2CF9AE}" pid="22" name="ICV">
    <vt:lpwstr>9666E8C50E1749E79AF3BA734AF0D97C_12</vt:lpwstr>
  </property>
</Properties>
</file>