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BED4" w14:textId="7161A374" w:rsidR="00144E74" w:rsidRPr="00CA6965" w:rsidRDefault="00144E74" w:rsidP="00144E74">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126</w:t>
      </w:r>
      <w:r w:rsidRPr="00CA6965">
        <w:rPr>
          <w:rFonts w:ascii="Arial" w:eastAsia="MS Mincho" w:hAnsi="Arial" w:cs="Arial"/>
          <w:b/>
          <w:sz w:val="24"/>
          <w:szCs w:val="24"/>
          <w:lang w:val="de-DE" w:eastAsia="x-none"/>
        </w:rPr>
        <w:tab/>
      </w:r>
      <w:r w:rsidRPr="006B1F65">
        <w:rPr>
          <w:rFonts w:ascii="Arial" w:eastAsia="MS Mincho" w:hAnsi="Arial" w:cs="Arial"/>
          <w:b/>
          <w:sz w:val="24"/>
          <w:szCs w:val="24"/>
          <w:lang w:val="de-DE" w:eastAsia="x-none"/>
        </w:rPr>
        <w:t>R2-24</w:t>
      </w:r>
      <w:r>
        <w:rPr>
          <w:rFonts w:ascii="Arial" w:eastAsia="MS Mincho" w:hAnsi="Arial" w:cs="Arial"/>
          <w:b/>
          <w:sz w:val="24"/>
          <w:szCs w:val="24"/>
          <w:lang w:val="de-DE" w:eastAsia="x-none"/>
        </w:rPr>
        <w:t>XXXXX</w:t>
      </w:r>
    </w:p>
    <w:p w14:paraId="31B67B12" w14:textId="22F7CC58" w:rsidR="000B47AC" w:rsidRPr="00CA6965" w:rsidRDefault="00144E74" w:rsidP="00144E74">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Fukuoka</w:t>
      </w:r>
      <w:r w:rsidRPr="00CA6965">
        <w:rPr>
          <w:rFonts w:ascii="Arial" w:eastAsia="Tahoma" w:hAnsi="Arial" w:cs="Arial"/>
          <w:b/>
          <w:bCs/>
          <w:kern w:val="0"/>
          <w:sz w:val="24"/>
          <w:szCs w:val="24"/>
        </w:rPr>
        <w:t xml:space="preserve">, </w:t>
      </w:r>
      <w:r>
        <w:rPr>
          <w:rFonts w:ascii="Arial" w:eastAsia="Tahoma" w:hAnsi="Arial" w:cs="Arial"/>
          <w:b/>
          <w:bCs/>
          <w:kern w:val="0"/>
          <w:sz w:val="24"/>
          <w:szCs w:val="24"/>
        </w:rPr>
        <w:t>Japan</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20</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24</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202</w:t>
      </w:r>
      <w:r>
        <w:rPr>
          <w:rFonts w:ascii="Arial" w:eastAsia="Tahoma" w:hAnsi="Arial" w:cs="Arial"/>
          <w:b/>
          <w:bCs/>
          <w:kern w:val="0"/>
          <w:sz w:val="24"/>
          <w:szCs w:val="24"/>
        </w:rPr>
        <w:t>4</w:t>
      </w:r>
    </w:p>
    <w:p w14:paraId="409C2D4B" w14:textId="77777777" w:rsidR="000B47AC" w:rsidRDefault="000B47AC" w:rsidP="000B47AC">
      <w:pPr>
        <w:widowControl/>
        <w:tabs>
          <w:tab w:val="left" w:pos="1979"/>
        </w:tabs>
        <w:spacing w:after="180"/>
        <w:jc w:val="left"/>
        <w:rPr>
          <w:rFonts w:ascii="Arial" w:eastAsia="SimSun"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826" w:hangingChars="814" w:hanging="1826"/>
        <w:jc w:val="left"/>
        <w:rPr>
          <w:rFonts w:ascii="Arial" w:eastAsia="SimSun" w:hAnsi="Arial" w:cs="Times New Roman"/>
          <w:b/>
          <w:kern w:val="0"/>
          <w:sz w:val="22"/>
          <w:szCs w:val="22"/>
        </w:rPr>
      </w:pPr>
      <w:bookmarkStart w:id="5" w:name="_Hlk92532988"/>
      <w:r w:rsidRPr="00D8388D">
        <w:rPr>
          <w:rFonts w:ascii="Arial" w:eastAsia="SimSun" w:hAnsi="Arial" w:cs="Times New Roman"/>
          <w:b/>
          <w:kern w:val="0"/>
          <w:sz w:val="22"/>
          <w:szCs w:val="22"/>
        </w:rPr>
        <w:t>Agenda Item:</w:t>
      </w:r>
      <w:r w:rsidRPr="00D8388D">
        <w:rPr>
          <w:rFonts w:ascii="Arial" w:eastAsia="SimSun" w:hAnsi="Arial" w:cs="Times New Roman"/>
          <w:b/>
          <w:kern w:val="0"/>
          <w:sz w:val="22"/>
          <w:szCs w:val="22"/>
        </w:rPr>
        <w:tab/>
      </w:r>
      <w:r w:rsidR="00F9090A">
        <w:rPr>
          <w:rFonts w:ascii="Arial" w:eastAsia="SimSun" w:hAnsi="Arial" w:cs="Times New Roman"/>
          <w:b/>
          <w:kern w:val="0"/>
          <w:sz w:val="22"/>
          <w:szCs w:val="22"/>
        </w:rPr>
        <w:t>7</w:t>
      </w:r>
      <w:r>
        <w:rPr>
          <w:rFonts w:ascii="Arial" w:eastAsia="SimSun" w:hAnsi="Arial" w:cs="Times New Roman"/>
          <w:b/>
          <w:kern w:val="0"/>
          <w:sz w:val="22"/>
          <w:szCs w:val="22"/>
        </w:rPr>
        <w:t>.</w:t>
      </w:r>
      <w:r w:rsidR="00F9090A">
        <w:rPr>
          <w:rFonts w:ascii="Arial" w:eastAsia="SimSun" w:hAnsi="Arial" w:cs="Times New Roman"/>
          <w:b/>
          <w:kern w:val="0"/>
          <w:sz w:val="22"/>
          <w:szCs w:val="22"/>
        </w:rPr>
        <w:t>3</w:t>
      </w:r>
      <w:r>
        <w:rPr>
          <w:rFonts w:ascii="Arial" w:eastAsia="SimSun" w:hAnsi="Arial" w:cs="Times New Roman"/>
          <w:b/>
          <w:kern w:val="0"/>
          <w:sz w:val="22"/>
          <w:szCs w:val="22"/>
        </w:rPr>
        <w:t>.</w:t>
      </w:r>
      <w:bookmarkEnd w:id="5"/>
      <w:r w:rsidR="00F9090A">
        <w:rPr>
          <w:rFonts w:ascii="Arial" w:eastAsia="SimSun" w:hAnsi="Arial" w:cs="Times New Roman"/>
          <w:b/>
          <w:kern w:val="0"/>
          <w:sz w:val="22"/>
          <w:szCs w:val="22"/>
        </w:rPr>
        <w:t>1</w:t>
      </w:r>
    </w:p>
    <w:p w14:paraId="1EFF0597" w14:textId="77777777" w:rsidR="000B47AC" w:rsidRPr="00F06FA4" w:rsidRDefault="000B47AC" w:rsidP="000B47AC">
      <w:pPr>
        <w:widowControl/>
        <w:tabs>
          <w:tab w:val="left" w:pos="1800"/>
          <w:tab w:val="right" w:pos="9072"/>
        </w:tabs>
        <w:spacing w:after="120"/>
        <w:ind w:left="1800" w:hanging="1800"/>
        <w:jc w:val="left"/>
        <w:rPr>
          <w:rFonts w:ascii="Arial" w:eastAsia="SimSun" w:hAnsi="Arial" w:cs="Arial"/>
          <w:b/>
          <w:kern w:val="0"/>
          <w:sz w:val="22"/>
          <w:szCs w:val="22"/>
        </w:rPr>
      </w:pPr>
      <w:r w:rsidRPr="00D8388D">
        <w:rPr>
          <w:rFonts w:ascii="Arial" w:eastAsia="SimSun" w:hAnsi="Arial" w:cs="Times New Roman"/>
          <w:b/>
          <w:kern w:val="0"/>
          <w:sz w:val="22"/>
          <w:szCs w:val="22"/>
        </w:rPr>
        <w:t>Source:</w:t>
      </w:r>
      <w:r w:rsidRPr="00D8388D">
        <w:rPr>
          <w:rFonts w:ascii="Arial" w:eastAsia="SimSun" w:hAnsi="Arial" w:cs="Times New Roman"/>
          <w:b/>
          <w:kern w:val="0"/>
          <w:sz w:val="22"/>
          <w:szCs w:val="22"/>
        </w:rPr>
        <w:tab/>
      </w:r>
      <w:r w:rsidRPr="00F06FA4">
        <w:rPr>
          <w:rFonts w:ascii="Arial" w:eastAsia="MS Mincho" w:hAnsi="Arial" w:cs="Arial"/>
          <w:b/>
          <w:kern w:val="0"/>
          <w:sz w:val="22"/>
          <w:szCs w:val="22"/>
          <w:lang w:eastAsia="en-US"/>
        </w:rPr>
        <w:t>vivo</w:t>
      </w:r>
    </w:p>
    <w:p w14:paraId="38864660" w14:textId="3878C2F3" w:rsidR="000B47AC" w:rsidRDefault="000B47AC" w:rsidP="000B47AC">
      <w:pPr>
        <w:widowControl/>
        <w:tabs>
          <w:tab w:val="left" w:pos="1800"/>
          <w:tab w:val="center" w:pos="4536"/>
          <w:tab w:val="right" w:pos="9072"/>
        </w:tabs>
        <w:spacing w:after="120"/>
        <w:ind w:left="1826" w:hangingChars="814" w:hanging="1826"/>
        <w:jc w:val="left"/>
        <w:rPr>
          <w:rFonts w:ascii="Arial" w:eastAsia="SimSun" w:hAnsi="Arial" w:cs="Times New Roman"/>
          <w:b/>
          <w:kern w:val="0"/>
          <w:sz w:val="22"/>
          <w:szCs w:val="22"/>
        </w:rPr>
      </w:pPr>
      <w:r w:rsidRPr="00D8388D">
        <w:rPr>
          <w:rFonts w:ascii="Arial" w:eastAsia="SimSun" w:hAnsi="Arial" w:cs="Times New Roman"/>
          <w:b/>
          <w:kern w:val="0"/>
          <w:sz w:val="22"/>
          <w:szCs w:val="22"/>
        </w:rPr>
        <w:t>Title:</w:t>
      </w:r>
      <w:r w:rsidRPr="00D8388D">
        <w:rPr>
          <w:rFonts w:ascii="Arial" w:eastAsia="SimSun" w:hAnsi="Arial" w:cs="Times New Roman"/>
          <w:b/>
          <w:kern w:val="0"/>
          <w:sz w:val="22"/>
          <w:szCs w:val="22"/>
        </w:rPr>
        <w:tab/>
      </w:r>
      <w:r w:rsidR="00DB08DE" w:rsidRPr="00DB08DE">
        <w:rPr>
          <w:rFonts w:ascii="Arial" w:eastAsia="SimSun" w:hAnsi="Arial" w:cs="Times New Roman"/>
          <w:b/>
          <w:kern w:val="0"/>
          <w:sz w:val="22"/>
          <w:szCs w:val="22"/>
        </w:rPr>
        <w:t xml:space="preserve">Collect comments for </w:t>
      </w:r>
      <w:r w:rsidR="00FB2D79" w:rsidRPr="00FB2D79">
        <w:rPr>
          <w:rFonts w:ascii="Arial" w:eastAsia="SimSun" w:hAnsi="Arial" w:cs="Times New Roman"/>
          <w:b/>
          <w:kern w:val="0"/>
          <w:sz w:val="22"/>
          <w:szCs w:val="22"/>
        </w:rPr>
        <w:t xml:space="preserve">correction </w:t>
      </w:r>
      <w:r w:rsidR="00DB08DE" w:rsidRPr="00DB08DE">
        <w:rPr>
          <w:rFonts w:ascii="Arial" w:eastAsia="SimSun" w:hAnsi="Arial" w:cs="Times New Roman"/>
          <w:b/>
          <w:kern w:val="0"/>
          <w:sz w:val="22"/>
          <w:szCs w:val="22"/>
        </w:rPr>
        <w:t>on UE capabilities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SimSun" w:hAnsi="Arial" w:cs="Times New Roman"/>
          <w:b/>
          <w:kern w:val="0"/>
          <w:sz w:val="22"/>
          <w:szCs w:val="22"/>
        </w:rPr>
      </w:pPr>
      <w:r w:rsidRPr="00D8388D">
        <w:rPr>
          <w:rFonts w:ascii="Arial" w:eastAsia="SimSun" w:hAnsi="Arial" w:cs="Times New Roman"/>
          <w:b/>
          <w:kern w:val="0"/>
          <w:sz w:val="22"/>
          <w:szCs w:val="22"/>
        </w:rPr>
        <w:t>Document for:</w:t>
      </w:r>
      <w:r w:rsidRPr="00D8388D">
        <w:rPr>
          <w:rFonts w:ascii="Arial" w:eastAsia="SimSun"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4EEA623E" w:rsidR="004D0653" w:rsidRDefault="00541641" w:rsidP="00541641">
      <w:pPr>
        <w:pStyle w:val="Heading1"/>
      </w:pPr>
      <w:bookmarkStart w:id="6" w:name="_Hlk92533719"/>
      <w:r w:rsidRPr="00541641">
        <w:t>Introduction</w:t>
      </w:r>
      <w:bookmarkEnd w:id="6"/>
    </w:p>
    <w:p w14:paraId="7BE7E9FF" w14:textId="3929AF26" w:rsidR="00372110" w:rsidRPr="0047642A" w:rsidRDefault="00372110" w:rsidP="00372110">
      <w:pPr>
        <w:pStyle w:val="BodyText"/>
      </w:pPr>
      <w:bookmarkStart w:id="7" w:name="_Ref178064866"/>
      <w:r w:rsidRPr="0047642A">
        <w:t xml:space="preserve">This document is </w:t>
      </w:r>
      <w:r>
        <w:t xml:space="preserve">for </w:t>
      </w:r>
      <w:r w:rsidRPr="0047642A">
        <w:t>the following</w:t>
      </w:r>
      <w:r w:rsidR="00144E74">
        <w:t xml:space="preserve"> post-meeting email </w:t>
      </w:r>
      <w:r w:rsidRPr="0047642A">
        <w:t>discussion:</w:t>
      </w:r>
    </w:p>
    <w:bookmarkEnd w:id="7"/>
    <w:p w14:paraId="17670330" w14:textId="2BFA95D8" w:rsidR="00144E74" w:rsidRPr="00276AE3" w:rsidRDefault="00144E74" w:rsidP="00144E74">
      <w:pPr>
        <w:pStyle w:val="EmailDiscussion"/>
        <w:rPr>
          <w:lang w:val="fr-FR"/>
        </w:rPr>
      </w:pPr>
      <w:r w:rsidRPr="00276AE3">
        <w:rPr>
          <w:lang w:val="fr-FR"/>
        </w:rPr>
        <w:t>[POST126][010][NES] UE ca</w:t>
      </w:r>
      <w:r>
        <w:rPr>
          <w:lang w:val="fr-FR"/>
        </w:rPr>
        <w:t>pa</w:t>
      </w:r>
      <w:r w:rsidRPr="00276AE3">
        <w:rPr>
          <w:lang w:val="fr-FR"/>
        </w:rPr>
        <w:t>bilities (Vivo)</w:t>
      </w:r>
    </w:p>
    <w:p w14:paraId="65F202F4" w14:textId="77777777" w:rsidR="00144E74" w:rsidRDefault="00144E74" w:rsidP="00144E74">
      <w:pPr>
        <w:pStyle w:val="EmailDiscussion2"/>
      </w:pPr>
      <w:r w:rsidRPr="00276AE3">
        <w:rPr>
          <w:lang w:val="fr-FR"/>
        </w:rPr>
        <w:tab/>
      </w:r>
      <w:r>
        <w:t>Intended outcom: endorse CRs</w:t>
      </w:r>
    </w:p>
    <w:p w14:paraId="10684587" w14:textId="77777777" w:rsidR="00144E74" w:rsidRDefault="00144E74" w:rsidP="00144E74">
      <w:pPr>
        <w:pStyle w:val="EmailDiscussion2"/>
      </w:pPr>
      <w:r>
        <w:tab/>
        <w:t>Deadline:  Friday, May 31</w:t>
      </w:r>
      <w:r w:rsidRPr="00D566DD">
        <w:rPr>
          <w:vertAlign w:val="superscript"/>
        </w:rPr>
        <w:t>st</w:t>
      </w:r>
    </w:p>
    <w:p w14:paraId="30996A3B" w14:textId="77777777" w:rsidR="00144E74" w:rsidRDefault="00144E74" w:rsidP="00372110">
      <w:pPr>
        <w:pStyle w:val="BodyText"/>
        <w:rPr>
          <w:rFonts w:eastAsiaTheme="minorEastAsia"/>
          <w:lang w:eastAsia="zh-CN"/>
        </w:rPr>
      </w:pPr>
    </w:p>
    <w:p w14:paraId="722BC7FE" w14:textId="0EC45320" w:rsidR="00372110" w:rsidRDefault="00C743EE" w:rsidP="00372110">
      <w:pPr>
        <w:pStyle w:val="BodyText"/>
        <w:rPr>
          <w:rFonts w:eastAsiaTheme="minorEastAsia"/>
          <w:lang w:eastAsia="zh-CN"/>
        </w:rPr>
      </w:pPr>
      <w:r w:rsidRPr="00C743EE">
        <w:rPr>
          <w:rFonts w:eastAsiaTheme="minorEastAsia"/>
          <w:lang w:eastAsia="zh-CN"/>
        </w:rPr>
        <w:t xml:space="preserve">The following part is the agreements </w:t>
      </w:r>
      <w:r w:rsidR="00144E74">
        <w:rPr>
          <w:rFonts w:eastAsiaTheme="minorEastAsia"/>
          <w:lang w:eastAsia="zh-CN"/>
        </w:rPr>
        <w:t xml:space="preserve">and compromised solution </w:t>
      </w:r>
      <w:r w:rsidRPr="00C743EE">
        <w:rPr>
          <w:rFonts w:eastAsiaTheme="minorEastAsia"/>
          <w:lang w:eastAsia="zh-CN"/>
        </w:rPr>
        <w:t>achieved during RAN2#12</w:t>
      </w:r>
      <w:r w:rsidR="00144E74">
        <w:rPr>
          <w:rFonts w:eastAsiaTheme="minorEastAsia"/>
          <w:lang w:eastAsia="zh-CN"/>
        </w:rPr>
        <w:t>6</w:t>
      </w:r>
      <w:r>
        <w:rPr>
          <w:rFonts w:eastAsiaTheme="minorEastAsia"/>
          <w:lang w:eastAsia="zh-CN"/>
        </w:rPr>
        <w:t>:</w:t>
      </w:r>
    </w:p>
    <w:tbl>
      <w:tblPr>
        <w:tblStyle w:val="TableGrid"/>
        <w:tblW w:w="0" w:type="auto"/>
        <w:tblLook w:val="04A0" w:firstRow="1" w:lastRow="0" w:firstColumn="1" w:lastColumn="0" w:noHBand="0" w:noVBand="1"/>
      </w:tblPr>
      <w:tblGrid>
        <w:gridCol w:w="9628"/>
      </w:tblGrid>
      <w:tr w:rsidR="00144E74" w14:paraId="6FCB5810" w14:textId="77777777" w:rsidTr="00144E74">
        <w:tc>
          <w:tcPr>
            <w:tcW w:w="9628" w:type="dxa"/>
          </w:tcPr>
          <w:p w14:paraId="788D7D9E" w14:textId="4458F1CE" w:rsidR="00144E74" w:rsidRDefault="00144E74" w:rsidP="00372110">
            <w:pPr>
              <w:pStyle w:val="BodyText"/>
              <w:rPr>
                <w:rFonts w:eastAsiaTheme="minorEastAsia"/>
                <w:lang w:eastAsia="zh-CN"/>
              </w:rPr>
            </w:pPr>
            <w:r w:rsidRPr="00144E74">
              <w:rPr>
                <w:rFonts w:eastAsiaTheme="minorEastAsia"/>
                <w:highlight w:val="green"/>
                <w:lang w:eastAsia="zh-CN"/>
              </w:rPr>
              <w:t>(</w:t>
            </w:r>
            <w:r>
              <w:rPr>
                <w:rFonts w:eastAsiaTheme="minorEastAsia"/>
                <w:highlight w:val="green"/>
                <w:lang w:eastAsia="zh-CN"/>
              </w:rPr>
              <w:t>Agreements f</w:t>
            </w:r>
            <w:r w:rsidRPr="00144E74">
              <w:rPr>
                <w:rFonts w:eastAsiaTheme="minorEastAsia"/>
                <w:highlight w:val="green"/>
                <w:lang w:eastAsia="zh-CN"/>
              </w:rPr>
              <w:t>or UE capabilities supporting only single inter-band SSB-less SCell group)</w:t>
            </w:r>
          </w:p>
          <w:tbl>
            <w:tblPr>
              <w:tblStyle w:val="TableGrid"/>
              <w:tblW w:w="0" w:type="auto"/>
              <w:tblLook w:val="04A0" w:firstRow="1" w:lastRow="0" w:firstColumn="1" w:lastColumn="0" w:noHBand="0" w:noVBand="1"/>
            </w:tblPr>
            <w:tblGrid>
              <w:gridCol w:w="9402"/>
            </w:tblGrid>
            <w:tr w:rsidR="00144E74" w14:paraId="3599EA26" w14:textId="77777777" w:rsidTr="00144E74">
              <w:tc>
                <w:tcPr>
                  <w:tcW w:w="9402" w:type="dxa"/>
                </w:tcPr>
                <w:p w14:paraId="6CB8852D" w14:textId="77777777" w:rsidR="00144E74" w:rsidRDefault="00144E74" w:rsidP="00E00378">
                  <w:pPr>
                    <w:pStyle w:val="Doc-text2"/>
                    <w:ind w:left="363"/>
                  </w:pPr>
                  <w:r>
                    <w:t>Agreements</w:t>
                  </w:r>
                </w:p>
                <w:p w14:paraId="7DD9F339" w14:textId="77777777" w:rsidR="00144E74" w:rsidRDefault="00144E74" w:rsidP="00E00378">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2D54D6DB" w14:textId="77777777" w:rsidR="00144E74" w:rsidRDefault="00144E74" w:rsidP="00E00378">
                  <w:pPr>
                    <w:pStyle w:val="Doc-text2"/>
                    <w:ind w:left="363"/>
                  </w:pPr>
                  <w:r>
                    <w:t>2. The band indicated as ‘referenceBand’ can be configured as the reference band for all other band(s) indicated as ‘scellWithoutSSB’.</w:t>
                  </w:r>
                </w:p>
                <w:p w14:paraId="2AC360DB" w14:textId="77777777" w:rsidR="00144E74" w:rsidRDefault="00144E74" w:rsidP="00E00378">
                  <w:pPr>
                    <w:pStyle w:val="Doc-text2"/>
                    <w:ind w:left="363"/>
                  </w:pPr>
                  <w:r>
                    <w:t>3. If the field scellWithoutSSB-InterBandCA-r18 is absent for a band, this band is not involved in the inter-band SSB-less SCell operation.</w:t>
                  </w:r>
                </w:p>
                <w:p w14:paraId="15DC0AE0" w14:textId="33D1746D" w:rsidR="00144E74" w:rsidRPr="00144E74" w:rsidRDefault="00144E74"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6B0CAE87" w14:textId="77777777" w:rsidR="00144E74" w:rsidRDefault="00144E74" w:rsidP="00144E74">
            <w:pPr>
              <w:pStyle w:val="BodyText"/>
              <w:rPr>
                <w:rFonts w:eastAsiaTheme="minorEastAsia"/>
                <w:highlight w:val="green"/>
                <w:lang w:eastAsia="zh-CN"/>
              </w:rPr>
            </w:pPr>
          </w:p>
          <w:p w14:paraId="0A368AEE" w14:textId="60905299" w:rsidR="00144E74" w:rsidRDefault="00144E74" w:rsidP="00144E74">
            <w:pPr>
              <w:pStyle w:val="BodyText"/>
              <w:rPr>
                <w:rFonts w:eastAsiaTheme="minorEastAsia"/>
                <w:lang w:eastAsia="zh-CN"/>
              </w:rPr>
            </w:pPr>
            <w:r w:rsidRPr="00144E74">
              <w:rPr>
                <w:rFonts w:eastAsiaTheme="minorEastAsia"/>
                <w:highlight w:val="green"/>
                <w:lang w:eastAsia="zh-CN"/>
              </w:rPr>
              <w:t>(</w:t>
            </w:r>
            <w:r>
              <w:rPr>
                <w:rFonts w:eastAsiaTheme="minorEastAsia"/>
                <w:highlight w:val="green"/>
                <w:lang w:eastAsia="zh-CN"/>
              </w:rPr>
              <w:t>Compromised solution f</w:t>
            </w:r>
            <w:r w:rsidRPr="00144E74">
              <w:rPr>
                <w:rFonts w:eastAsiaTheme="minorEastAsia"/>
                <w:highlight w:val="green"/>
                <w:lang w:eastAsia="zh-CN"/>
              </w:rPr>
              <w:t xml:space="preserve">or UE capabilities supporting </w:t>
            </w:r>
            <w:r>
              <w:rPr>
                <w:rFonts w:eastAsiaTheme="minorEastAsia"/>
                <w:highlight w:val="green"/>
                <w:lang w:eastAsia="zh-CN"/>
              </w:rPr>
              <w:t>multiple</w:t>
            </w:r>
            <w:r w:rsidRPr="00144E74">
              <w:rPr>
                <w:rFonts w:eastAsiaTheme="minorEastAsia"/>
                <w:highlight w:val="green"/>
                <w:lang w:eastAsia="zh-CN"/>
              </w:rPr>
              <w:t xml:space="preserve"> inter-band SSB-less SCell group</w:t>
            </w:r>
            <w:r>
              <w:rPr>
                <w:rFonts w:eastAsiaTheme="minorEastAsia"/>
                <w:highlight w:val="green"/>
                <w:lang w:eastAsia="zh-CN"/>
              </w:rPr>
              <w:t>s</w:t>
            </w:r>
            <w:r w:rsidRPr="00144E74">
              <w:rPr>
                <w:rFonts w:eastAsiaTheme="minorEastAsia"/>
                <w:highlight w:val="green"/>
                <w:lang w:eastAsia="zh-CN"/>
              </w:rPr>
              <w:t>)</w:t>
            </w:r>
          </w:p>
          <w:tbl>
            <w:tblPr>
              <w:tblStyle w:val="TableGrid"/>
              <w:tblW w:w="0" w:type="auto"/>
              <w:tblLook w:val="04A0" w:firstRow="1" w:lastRow="0" w:firstColumn="1" w:lastColumn="0" w:noHBand="0" w:noVBand="1"/>
            </w:tblPr>
            <w:tblGrid>
              <w:gridCol w:w="9402"/>
            </w:tblGrid>
            <w:tr w:rsidR="00144E74" w14:paraId="166D0A54" w14:textId="77777777" w:rsidTr="00144E74">
              <w:tc>
                <w:tcPr>
                  <w:tcW w:w="9402" w:type="dxa"/>
                </w:tcPr>
                <w:p w14:paraId="7031FE45" w14:textId="77777777" w:rsidR="00144E74" w:rsidRDefault="00144E74" w:rsidP="00E00378">
                  <w:pPr>
                    <w:pStyle w:val="Doc-text2"/>
                    <w:ind w:left="363"/>
                  </w:pPr>
                  <w:r>
                    <w:t xml:space="preserve">After CB </w:t>
                  </w:r>
                </w:p>
                <w:p w14:paraId="48F4A164" w14:textId="77777777" w:rsidR="00144E74" w:rsidRPr="004B0EE9" w:rsidRDefault="00144E74" w:rsidP="00E00378">
                  <w:pPr>
                    <w:pStyle w:val="Doc-text2"/>
                    <w:ind w:left="363"/>
                    <w:rPr>
                      <w:b/>
                      <w:bCs/>
                    </w:rPr>
                  </w:pPr>
                  <w:r w:rsidRPr="004B0EE9">
                    <w:rPr>
                      <w:b/>
                      <w:bCs/>
                    </w:rPr>
                    <w:t xml:space="preserve">Compromise solution.  CR to be agreed by email </w:t>
                  </w:r>
                </w:p>
                <w:p w14:paraId="6BE04AC6" w14:textId="77777777" w:rsidR="00144E74" w:rsidRDefault="00144E74" w:rsidP="00E00378">
                  <w:pPr>
                    <w:pStyle w:val="Doc-text2"/>
                    <w:ind w:left="363"/>
                  </w:pPr>
                  <w:r>
                    <w:t>If scheme1 (to be named) is indicated, the band indicated as ‘scheme1’ can be configured as either the reference band or SSB-less band.</w:t>
                  </w:r>
                </w:p>
                <w:p w14:paraId="16A178C8" w14:textId="77777777" w:rsidR="00144E74" w:rsidRDefault="00144E74" w:rsidP="00E00378">
                  <w:pPr>
                    <w:pStyle w:val="Doc-text2"/>
                    <w:ind w:left="363"/>
                  </w:pPr>
                  <w:r>
                    <w:t>If scheme2 (to be named) is indicated, the band indicated as ‘referenceBand1’ can be configured as the reference band for all other band(s) indicated as ‘scellWithoutSSB1’, and  the band indicated as ‘referenceBand2’ can be configured as the reference band for all other band(s) indicated as ‘scellWithoutSSB2’.</w:t>
                  </w:r>
                </w:p>
                <w:p w14:paraId="4BA34508" w14:textId="77777777" w:rsidR="00144E74" w:rsidRDefault="00144E74" w:rsidP="00E00378">
                  <w:pPr>
                    <w:pStyle w:val="Doc-text2"/>
                    <w:ind w:left="363"/>
                  </w:pPr>
                  <w:r>
                    <w:lastRenderedPageBreak/>
                    <w:t>If the field scellWithoutSSB-InterBandCA-r18 is absent for a band, this band is not involved in the inter-band SSB-less SCell operation.</w:t>
                  </w:r>
                </w:p>
                <w:p w14:paraId="6ABAAC33" w14:textId="1C023983" w:rsidR="00144E74" w:rsidRPr="00071B22" w:rsidRDefault="00144E74" w:rsidP="00E00378">
                  <w:pPr>
                    <w:pStyle w:val="Doc-text2"/>
                    <w:ind w:left="363"/>
                  </w:pPr>
                  <w:r>
                    <w:t>In a band combination, only scheme1 or scheme2 is indicated.</w:t>
                  </w:r>
                </w:p>
              </w:tc>
            </w:tr>
          </w:tbl>
          <w:p w14:paraId="23C24B31" w14:textId="27A6DD84" w:rsidR="00144E74" w:rsidRDefault="00144E74" w:rsidP="00372110">
            <w:pPr>
              <w:pStyle w:val="BodyText"/>
              <w:rPr>
                <w:rFonts w:eastAsiaTheme="minorEastAsia"/>
                <w:lang w:eastAsia="zh-CN"/>
              </w:rPr>
            </w:pPr>
          </w:p>
        </w:tc>
      </w:tr>
    </w:tbl>
    <w:p w14:paraId="3DF62E5A" w14:textId="77777777" w:rsidR="00C743EE" w:rsidRDefault="00C743EE" w:rsidP="00372110">
      <w:pPr>
        <w:pStyle w:val="BodyText"/>
        <w:rPr>
          <w:rFonts w:asciiTheme="minorEastAsia" w:eastAsiaTheme="minorEastAsia" w:hAnsiTheme="minorEastAsia"/>
          <w:lang w:eastAsia="zh-CN"/>
        </w:rPr>
      </w:pPr>
    </w:p>
    <w:p w14:paraId="35AD7C0A" w14:textId="01042029" w:rsidR="002D240D" w:rsidRDefault="00071B22" w:rsidP="006A07E3">
      <w:pPr>
        <w:pStyle w:val="Heading2"/>
      </w:pPr>
      <w:r>
        <w:t>Overall compromised solution</w:t>
      </w:r>
    </w:p>
    <w:p w14:paraId="30A07841" w14:textId="0E2AE5F8" w:rsidR="002D240D" w:rsidRDefault="009955C7" w:rsidP="009955C7">
      <w:pPr>
        <w:pStyle w:val="BodyText"/>
        <w:spacing w:before="120"/>
      </w:pPr>
      <w:r>
        <w:rPr>
          <w:rFonts w:eastAsiaTheme="minorEastAsia"/>
          <w:lang w:eastAsia="zh-CN"/>
        </w:rPr>
        <w:t xml:space="preserve">Since the agreements and compromised solution might </w:t>
      </w:r>
      <w:r w:rsidR="003A59E6">
        <w:rPr>
          <w:rFonts w:eastAsiaTheme="minorEastAsia"/>
          <w:lang w:eastAsia="zh-CN"/>
        </w:rPr>
        <w:t xml:space="preserve">still </w:t>
      </w:r>
      <w:r>
        <w:rPr>
          <w:rFonts w:eastAsiaTheme="minorEastAsia"/>
          <w:lang w:eastAsia="zh-CN"/>
        </w:rPr>
        <w:t>be somewhat confusing, r</w:t>
      </w:r>
      <w:r w:rsidR="00071B22" w:rsidRPr="00071B22">
        <w:rPr>
          <w:rFonts w:eastAsiaTheme="minorEastAsia"/>
          <w:lang w:eastAsia="zh-CN"/>
        </w:rPr>
        <w:t xml:space="preserve">apporteur would like to summarize the up-to-date progress of the discussion </w:t>
      </w:r>
      <w:r w:rsidR="00071B22">
        <w:t>to help companies understand the motivation of the compromised solution</w:t>
      </w:r>
      <w:r w:rsidR="00DC53DB">
        <w:t xml:space="preserve"> as</w:t>
      </w:r>
      <w:r w:rsidR="003E53BD">
        <w:t xml:space="preserve"> drafted in the CRs</w:t>
      </w:r>
      <w:r w:rsidR="00757C20">
        <w:t>, as questions had been asked offline to confirm the understanding of it</w:t>
      </w:r>
      <w:r w:rsidR="00071B22">
        <w:t>.</w:t>
      </w:r>
    </w:p>
    <w:p w14:paraId="5E2EC813" w14:textId="58DA77B7" w:rsidR="00071B22" w:rsidRDefault="00757C20" w:rsidP="009955C7">
      <w:pPr>
        <w:pStyle w:val="BodyText"/>
        <w:spacing w:before="120"/>
        <w:rPr>
          <w:rFonts w:eastAsiaTheme="minorEastAsia"/>
          <w:lang w:eastAsia="zh-CN"/>
        </w:rPr>
      </w:pPr>
      <w:r>
        <w:rPr>
          <w:rFonts w:eastAsiaTheme="minorEastAsia"/>
          <w:lang w:eastAsia="zh-CN"/>
        </w:rPr>
        <w:t xml:space="preserve">As presented in [1], it is </w:t>
      </w:r>
      <w:r w:rsidR="00E00378">
        <w:rPr>
          <w:rFonts w:eastAsiaTheme="minorEastAsia"/>
          <w:lang w:eastAsia="zh-CN"/>
        </w:rPr>
        <w:t>d</w:t>
      </w:r>
      <w:r w:rsidR="00E00378" w:rsidRPr="00E00378">
        <w:rPr>
          <w:rFonts w:eastAsiaTheme="minorEastAsia"/>
          <w:lang w:eastAsia="zh-CN"/>
        </w:rPr>
        <w:t>ue to the UE capability guideline on not to use a signaled band combination to derive supported features for higher order band combinations</w:t>
      </w:r>
      <w:r w:rsidR="00E00378">
        <w:rPr>
          <w:rFonts w:eastAsiaTheme="minorEastAsia"/>
          <w:lang w:eastAsia="zh-CN"/>
        </w:rPr>
        <w:t xml:space="preserve"> that</w:t>
      </w:r>
      <w:r w:rsidR="00E00378" w:rsidRPr="00E00378">
        <w:rPr>
          <w:rFonts w:eastAsiaTheme="minorEastAsia"/>
          <w:lang w:eastAsia="zh-CN"/>
        </w:rPr>
        <w:t xml:space="preserve"> the NW cannot configure CA of a higher-order BC while only configuring inter-band SSB-less operation of a lower-order BC when the UE only reports ‘supported’ for this lower-order BC</w:t>
      </w:r>
      <w:r w:rsidR="00E00378">
        <w:rPr>
          <w:rFonts w:eastAsiaTheme="minorEastAsia"/>
          <w:lang w:eastAsia="zh-CN"/>
        </w:rPr>
        <w:t xml:space="preserve">, RAN2 first agreed on the following proposals for UE capabilities to report for </w:t>
      </w:r>
      <w:r w:rsidR="003A59E6">
        <w:rPr>
          <w:rFonts w:eastAsiaTheme="minorEastAsia"/>
          <w:lang w:eastAsia="zh-CN"/>
        </w:rPr>
        <w:t xml:space="preserve">support of </w:t>
      </w:r>
      <w:r w:rsidR="00E00378">
        <w:rPr>
          <w:rFonts w:eastAsiaTheme="minorEastAsia"/>
          <w:lang w:eastAsia="zh-CN"/>
        </w:rPr>
        <w:t>single inter-band SSB-less group.</w:t>
      </w:r>
    </w:p>
    <w:tbl>
      <w:tblPr>
        <w:tblStyle w:val="TableGrid"/>
        <w:tblW w:w="0" w:type="auto"/>
        <w:tblLook w:val="04A0" w:firstRow="1" w:lastRow="0" w:firstColumn="1" w:lastColumn="0" w:noHBand="0" w:noVBand="1"/>
      </w:tblPr>
      <w:tblGrid>
        <w:gridCol w:w="9628"/>
      </w:tblGrid>
      <w:tr w:rsidR="00E00378" w14:paraId="07C10B9E" w14:textId="77777777" w:rsidTr="00E00378">
        <w:tc>
          <w:tcPr>
            <w:tcW w:w="9628" w:type="dxa"/>
          </w:tcPr>
          <w:p w14:paraId="779B32A2" w14:textId="77777777" w:rsidR="00E00378" w:rsidRPr="003A59E6" w:rsidRDefault="00E00378" w:rsidP="00E00378">
            <w:pPr>
              <w:pStyle w:val="Doc-text2"/>
              <w:ind w:left="363"/>
              <w:rPr>
                <w:b/>
              </w:rPr>
            </w:pPr>
            <w:r w:rsidRPr="003A59E6">
              <w:rPr>
                <w:b/>
              </w:rPr>
              <w:t>Agreements</w:t>
            </w:r>
          </w:p>
          <w:p w14:paraId="17F25D6D" w14:textId="77777777" w:rsidR="00E00378" w:rsidRDefault="00E00378" w:rsidP="00E00378">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47F6D9B7" w14:textId="77777777" w:rsidR="00E00378" w:rsidRDefault="00E00378" w:rsidP="00E00378">
            <w:pPr>
              <w:pStyle w:val="Doc-text2"/>
              <w:ind w:left="363"/>
            </w:pPr>
            <w:r>
              <w:t>2. The band indicated as ‘referenceBand’ can be configured as the reference band for all other band(s) indicated as ‘scellWithoutSSB’.</w:t>
            </w:r>
          </w:p>
          <w:p w14:paraId="640B2762" w14:textId="77777777" w:rsidR="00E00378" w:rsidRDefault="00E00378" w:rsidP="00E00378">
            <w:pPr>
              <w:pStyle w:val="Doc-text2"/>
              <w:ind w:left="363"/>
            </w:pPr>
            <w:r>
              <w:t>3. If the field scellWithoutSSB-InterBandCA-r18 is absent for a band, this band is not involved in the inter-band SSB-less SCell operation.</w:t>
            </w:r>
          </w:p>
          <w:p w14:paraId="3F219E41" w14:textId="6C2F22A7" w:rsidR="00E00378" w:rsidRPr="00E00378" w:rsidRDefault="00E00378"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2D37E2C0" w14:textId="056ECC3C" w:rsidR="0024360C" w:rsidRDefault="00E00378" w:rsidP="009955C7">
      <w:pPr>
        <w:pStyle w:val="BodyText"/>
        <w:spacing w:before="120"/>
        <w:rPr>
          <w:rFonts w:eastAsiaTheme="minorEastAsia"/>
          <w:lang w:eastAsia="zh-CN"/>
        </w:rPr>
      </w:pPr>
      <w:r>
        <w:rPr>
          <w:rFonts w:eastAsiaTheme="minorEastAsia"/>
          <w:lang w:eastAsia="zh-CN"/>
        </w:rPr>
        <w:t xml:space="preserve">Then RAN2 discussed about the need to support the flexibility of UE capabilities reporting for multiple inter-band SSB-less groups. After several days of offline discussion with the companies, the signalling with CHOICE structure for two schemes was raised </w:t>
      </w:r>
      <w:r w:rsidR="0024360C">
        <w:rPr>
          <w:rFonts w:eastAsiaTheme="minorEastAsia"/>
          <w:lang w:eastAsia="zh-CN"/>
        </w:rPr>
        <w:t xml:space="preserve">on CB session </w:t>
      </w:r>
      <w:r>
        <w:rPr>
          <w:rFonts w:eastAsiaTheme="minorEastAsia"/>
          <w:lang w:eastAsia="zh-CN"/>
        </w:rPr>
        <w:t xml:space="preserve">as a compromise between the two camps, where one camp does not want the signalling to mandate the support of multiple groups, and the other camp would like to keep the flexibility to support multiple groups. </w:t>
      </w:r>
    </w:p>
    <w:p w14:paraId="3DEF047F" w14:textId="510FBC8C" w:rsidR="00071B22" w:rsidRPr="0024360C" w:rsidRDefault="00E00378" w:rsidP="009955C7">
      <w:pPr>
        <w:pStyle w:val="BodyText"/>
        <w:spacing w:before="120"/>
        <w:rPr>
          <w:rFonts w:eastAsiaTheme="minorEastAsia"/>
          <w:lang w:eastAsia="zh-CN"/>
        </w:rPr>
      </w:pPr>
      <w:r>
        <w:rPr>
          <w:rFonts w:eastAsiaTheme="minorEastAsia"/>
          <w:lang w:eastAsia="zh-CN"/>
        </w:rPr>
        <w:t xml:space="preserve">From rapporteur’s understanding, scheme1 is only for support of </w:t>
      </w:r>
      <w:r w:rsidR="0024360C">
        <w:rPr>
          <w:rFonts w:eastAsiaTheme="minorEastAsia"/>
          <w:lang w:eastAsia="zh-CN"/>
        </w:rPr>
        <w:t>single</w:t>
      </w:r>
      <w:r w:rsidR="00AD753B" w:rsidRPr="00AD753B">
        <w:t xml:space="preserve"> </w:t>
      </w:r>
      <w:r w:rsidR="00AD753B" w:rsidRPr="00AD753B">
        <w:rPr>
          <w:rFonts w:eastAsiaTheme="minorEastAsia"/>
          <w:lang w:eastAsia="zh-CN"/>
        </w:rPr>
        <w:t>inter-band SSB-less</w:t>
      </w:r>
      <w:r w:rsidR="0024360C">
        <w:rPr>
          <w:rFonts w:eastAsiaTheme="minorEastAsia"/>
          <w:lang w:eastAsia="zh-CN"/>
        </w:rPr>
        <w:t xml:space="preserve"> group, while scheme2 </w:t>
      </w:r>
      <w:r w:rsidR="00285D0F">
        <w:rPr>
          <w:rFonts w:eastAsiaTheme="minorEastAsia"/>
          <w:lang w:eastAsia="zh-CN"/>
        </w:rPr>
        <w:t>enables</w:t>
      </w:r>
      <w:r w:rsidR="0024360C">
        <w:rPr>
          <w:rFonts w:eastAsiaTheme="minorEastAsia"/>
          <w:lang w:eastAsia="zh-CN"/>
        </w:rPr>
        <w:t xml:space="preserve"> the flexibility to support either single group or multiple groups.</w:t>
      </w:r>
    </w:p>
    <w:p w14:paraId="17321AB3" w14:textId="3B4E1BD9" w:rsidR="002D240D" w:rsidRPr="00071B22" w:rsidRDefault="002D240D" w:rsidP="009955C7">
      <w:pPr>
        <w:spacing w:before="120" w:after="120"/>
        <w:rPr>
          <w:rFonts w:cs="Times New Roman"/>
          <w:b/>
        </w:rPr>
      </w:pPr>
      <w:r w:rsidRPr="00071B22">
        <w:rPr>
          <w:rFonts w:cs="Times New Roman"/>
          <w:b/>
        </w:rPr>
        <w:t>Q1</w:t>
      </w:r>
      <w:r w:rsidR="0024360C">
        <w:rPr>
          <w:rFonts w:cs="Times New Roman"/>
          <w:b/>
        </w:rPr>
        <w:t>-1</w:t>
      </w:r>
      <w:r w:rsidRPr="00071B22">
        <w:rPr>
          <w:rFonts w:cs="Times New Roman"/>
          <w:b/>
        </w:rPr>
        <w:t xml:space="preserve">: Do you agree with </w:t>
      </w:r>
      <w:r w:rsidR="0024360C">
        <w:rPr>
          <w:rFonts w:cs="Times New Roman"/>
          <w:b/>
        </w:rPr>
        <w:t xml:space="preserve">rapporteur’s understanding that </w:t>
      </w:r>
      <w:r w:rsidR="0024360C" w:rsidRPr="0024360C">
        <w:rPr>
          <w:rFonts w:cs="Times New Roman"/>
          <w:b/>
        </w:rPr>
        <w:t xml:space="preserve">scheme1 is only for support of single </w:t>
      </w:r>
      <w:r w:rsidR="00FD5641">
        <w:rPr>
          <w:rFonts w:cs="Times New Roman"/>
          <w:b/>
        </w:rPr>
        <w:t xml:space="preserve">inter-band SSB-less </w:t>
      </w:r>
      <w:r w:rsidR="0024360C" w:rsidRPr="0024360C">
        <w:rPr>
          <w:rFonts w:cs="Times New Roman"/>
          <w:b/>
        </w:rPr>
        <w:t xml:space="preserve">group, while scheme2 </w:t>
      </w:r>
      <w:r w:rsidR="00285D0F">
        <w:rPr>
          <w:rFonts w:cs="Times New Roman"/>
          <w:b/>
        </w:rPr>
        <w:t>enables</w:t>
      </w:r>
      <w:r w:rsidR="0024360C" w:rsidRPr="0024360C">
        <w:rPr>
          <w:rFonts w:cs="Times New Roman"/>
          <w:b/>
        </w:rPr>
        <w:t xml:space="preserve"> the flexibility to support either single group or multiple groups</w:t>
      </w:r>
      <w:r w:rsidR="009955C7">
        <w:rPr>
          <w:rFonts w:cs="Times New Roman"/>
          <w:b/>
        </w:rPr>
        <w:t xml:space="preserve"> (as drafted in v00 by rapporteur)</w:t>
      </w:r>
      <w:r w:rsidRPr="00071B22">
        <w:rPr>
          <w:rFonts w:cs="Times New Roman"/>
          <w:b/>
        </w:rPr>
        <w:t>?</w:t>
      </w:r>
    </w:p>
    <w:tbl>
      <w:tblPr>
        <w:tblStyle w:val="TableGrid"/>
        <w:tblW w:w="9770" w:type="dxa"/>
        <w:tblLook w:val="04A0" w:firstRow="1" w:lastRow="0" w:firstColumn="1" w:lastColumn="0" w:noHBand="0" w:noVBand="1"/>
      </w:tblPr>
      <w:tblGrid>
        <w:gridCol w:w="2245"/>
        <w:gridCol w:w="2003"/>
        <w:gridCol w:w="5522"/>
      </w:tblGrid>
      <w:tr w:rsidR="002D240D" w:rsidRPr="00071B22" w14:paraId="1DDBAF44" w14:textId="77777777" w:rsidTr="003A5A3A">
        <w:tc>
          <w:tcPr>
            <w:tcW w:w="2245" w:type="dxa"/>
          </w:tcPr>
          <w:p w14:paraId="78370AA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729FDF3C"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7A4400B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2D240D" w:rsidRPr="00071B22" w14:paraId="1560FDF4" w14:textId="77777777" w:rsidTr="003A5A3A">
        <w:tc>
          <w:tcPr>
            <w:tcW w:w="2245" w:type="dxa"/>
          </w:tcPr>
          <w:p w14:paraId="0FDF8E43" w14:textId="4D140711" w:rsidR="002D240D" w:rsidRPr="00071B22" w:rsidRDefault="005D01F2" w:rsidP="003A5A3A">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0E61498E" w14:textId="43DFAFC7" w:rsidR="002D240D" w:rsidRPr="00071B22" w:rsidRDefault="005D01F2" w:rsidP="003A5A3A">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454F7C51" w14:textId="77777777" w:rsidR="002D240D" w:rsidRPr="00071B22" w:rsidRDefault="002D240D" w:rsidP="003A5A3A">
            <w:pPr>
              <w:overflowPunct w:val="0"/>
              <w:autoSpaceDE w:val="0"/>
              <w:autoSpaceDN w:val="0"/>
              <w:adjustRightInd w:val="0"/>
              <w:spacing w:after="120" w:line="300" w:lineRule="auto"/>
              <w:textAlignment w:val="baseline"/>
              <w:rPr>
                <w:lang w:eastAsia="ko-KR"/>
              </w:rPr>
            </w:pPr>
          </w:p>
        </w:tc>
      </w:tr>
      <w:tr w:rsidR="002D240D" w:rsidRPr="00071B22" w14:paraId="60E83291" w14:textId="77777777" w:rsidTr="003A5A3A">
        <w:tc>
          <w:tcPr>
            <w:tcW w:w="2245" w:type="dxa"/>
          </w:tcPr>
          <w:p w14:paraId="44FB3AE7" w14:textId="09FA0F73"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750F91C5" w14:textId="13CC093A"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Agree with comment</w:t>
            </w:r>
          </w:p>
        </w:tc>
        <w:tc>
          <w:tcPr>
            <w:tcW w:w="5522" w:type="dxa"/>
          </w:tcPr>
          <w:p w14:paraId="78D727B8" w14:textId="77777777" w:rsidR="002D240D"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But we shall have “both1, both2” to cover the same flexibility of scheme1.</w:t>
            </w:r>
          </w:p>
          <w:p w14:paraId="71583B4F" w14:textId="7DD5EF76" w:rsidR="002F0EC7" w:rsidRPr="00347969" w:rsidRDefault="002F0EC7" w:rsidP="003A5A3A">
            <w:pPr>
              <w:overflowPunct w:val="0"/>
              <w:autoSpaceDE w:val="0"/>
              <w:autoSpaceDN w:val="0"/>
              <w:adjustRightInd w:val="0"/>
              <w:spacing w:after="120" w:line="300" w:lineRule="auto"/>
              <w:textAlignment w:val="baseline"/>
              <w:rPr>
                <w:rFonts w:eastAsia="PMingLiU"/>
                <w:lang w:eastAsia="zh-TW"/>
              </w:rPr>
            </w:pPr>
            <w:r w:rsidRPr="002F0EC7">
              <w:rPr>
                <w:rFonts w:eastAsia="PMingLiU"/>
                <w:color w:val="0070C0"/>
                <w:lang w:eastAsia="zh-TW"/>
              </w:rPr>
              <w:t>[Rapp] I response this in Q2-2, please refer to that part. Thanks.</w:t>
            </w:r>
          </w:p>
        </w:tc>
      </w:tr>
      <w:tr w:rsidR="002D240D" w:rsidRPr="00071B22" w14:paraId="5FA8945D" w14:textId="77777777" w:rsidTr="003A5A3A">
        <w:tc>
          <w:tcPr>
            <w:tcW w:w="2245" w:type="dxa"/>
          </w:tcPr>
          <w:p w14:paraId="46E8E208" w14:textId="53B11141" w:rsidR="002D240D" w:rsidRPr="00071B22" w:rsidRDefault="00370768" w:rsidP="003A5A3A">
            <w:pPr>
              <w:overflowPunct w:val="0"/>
              <w:autoSpaceDE w:val="0"/>
              <w:autoSpaceDN w:val="0"/>
              <w:adjustRightInd w:val="0"/>
              <w:spacing w:after="120" w:line="300" w:lineRule="auto"/>
              <w:textAlignment w:val="baseline"/>
              <w:rPr>
                <w:rFonts w:eastAsia="DengXian"/>
              </w:rPr>
            </w:pPr>
            <w:r>
              <w:rPr>
                <w:rFonts w:eastAsia="DengXian"/>
              </w:rPr>
              <w:lastRenderedPageBreak/>
              <w:t>Ericsson</w:t>
            </w:r>
          </w:p>
        </w:tc>
        <w:tc>
          <w:tcPr>
            <w:tcW w:w="2003" w:type="dxa"/>
          </w:tcPr>
          <w:p w14:paraId="6F342252" w14:textId="79C2A37E" w:rsidR="002D240D" w:rsidRPr="00071B22" w:rsidRDefault="00370768" w:rsidP="003A5A3A">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3E15A6B0" w14:textId="77777777" w:rsidR="002D240D" w:rsidRPr="00071B22" w:rsidRDefault="002D240D" w:rsidP="003A5A3A">
            <w:pPr>
              <w:overflowPunct w:val="0"/>
              <w:autoSpaceDE w:val="0"/>
              <w:autoSpaceDN w:val="0"/>
              <w:adjustRightInd w:val="0"/>
              <w:spacing w:after="120" w:line="300" w:lineRule="auto"/>
              <w:textAlignment w:val="baseline"/>
              <w:rPr>
                <w:rFonts w:eastAsia="DengXian"/>
              </w:rPr>
            </w:pPr>
          </w:p>
        </w:tc>
      </w:tr>
      <w:tr w:rsidR="00317713" w:rsidRPr="00071B22" w14:paraId="68D42D67" w14:textId="77777777" w:rsidTr="003A5A3A">
        <w:tc>
          <w:tcPr>
            <w:tcW w:w="2245" w:type="dxa"/>
          </w:tcPr>
          <w:p w14:paraId="398E7926" w14:textId="54D05CF4" w:rsidR="00317713" w:rsidRDefault="00317713" w:rsidP="00317713">
            <w:pPr>
              <w:overflowPunct w:val="0"/>
              <w:autoSpaceDE w:val="0"/>
              <w:autoSpaceDN w:val="0"/>
              <w:adjustRightInd w:val="0"/>
              <w:spacing w:after="120" w:line="300" w:lineRule="auto"/>
              <w:textAlignment w:val="baseline"/>
              <w:rPr>
                <w:rFonts w:eastAsia="DengXian"/>
              </w:rPr>
            </w:pPr>
            <w:r>
              <w:rPr>
                <w:rFonts w:eastAsia="DengXian"/>
              </w:rPr>
              <w:t>Qualcomm</w:t>
            </w:r>
          </w:p>
        </w:tc>
        <w:tc>
          <w:tcPr>
            <w:tcW w:w="2003" w:type="dxa"/>
          </w:tcPr>
          <w:p w14:paraId="29CA7B2D" w14:textId="588AE58A" w:rsidR="00317713" w:rsidRDefault="00317713" w:rsidP="00317713">
            <w:pPr>
              <w:overflowPunct w:val="0"/>
              <w:autoSpaceDE w:val="0"/>
              <w:autoSpaceDN w:val="0"/>
              <w:adjustRightInd w:val="0"/>
              <w:spacing w:after="120" w:line="300" w:lineRule="auto"/>
              <w:textAlignment w:val="baseline"/>
              <w:rPr>
                <w:rFonts w:eastAsia="DengXian"/>
              </w:rPr>
            </w:pPr>
            <w:r>
              <w:rPr>
                <w:rFonts w:eastAsia="DengXian"/>
              </w:rPr>
              <w:t>Agree w. comment</w:t>
            </w:r>
          </w:p>
        </w:tc>
        <w:tc>
          <w:tcPr>
            <w:tcW w:w="5522" w:type="dxa"/>
          </w:tcPr>
          <w:p w14:paraId="6394C45C" w14:textId="77777777" w:rsidR="00317713" w:rsidRDefault="00317713" w:rsidP="00317713">
            <w:pPr>
              <w:overflowPunct w:val="0"/>
              <w:autoSpaceDE w:val="0"/>
              <w:autoSpaceDN w:val="0"/>
              <w:adjustRightInd w:val="0"/>
              <w:spacing w:after="120" w:line="300" w:lineRule="auto"/>
              <w:textAlignment w:val="baseline"/>
              <w:rPr>
                <w:rFonts w:eastAsia="DengXian"/>
              </w:rPr>
            </w:pPr>
            <w:r>
              <w:rPr>
                <w:rFonts w:eastAsia="DengXian"/>
              </w:rPr>
              <w:t xml:space="preserve">The original </w:t>
            </w:r>
            <w:r w:rsidRPr="00A0553C">
              <w:rPr>
                <w:rFonts w:eastAsia="DengXian"/>
                <w:b/>
                <w:bCs/>
                <w:u w:val="single"/>
              </w:rPr>
              <w:t>agreed compromised solution</w:t>
            </w:r>
            <w:r>
              <w:rPr>
                <w:rFonts w:eastAsia="DengXian"/>
              </w:rPr>
              <w:t xml:space="preserve"> is as the follow.</w:t>
            </w:r>
          </w:p>
          <w:p w14:paraId="5D3DE678" w14:textId="77777777" w:rsidR="00317713" w:rsidRPr="00A0553C" w:rsidRDefault="00317713" w:rsidP="00317713">
            <w:pPr>
              <w:overflowPunct w:val="0"/>
              <w:autoSpaceDE w:val="0"/>
              <w:autoSpaceDN w:val="0"/>
              <w:adjustRightInd w:val="0"/>
              <w:spacing w:after="120" w:line="300" w:lineRule="auto"/>
              <w:textAlignment w:val="baseline"/>
              <w:rPr>
                <w:rFonts w:eastAsia="DengXian"/>
              </w:rPr>
            </w:pPr>
            <w:r w:rsidRPr="00256645">
              <w:rPr>
                <w:rFonts w:eastAsia="DengXian"/>
                <w:i/>
                <w:iCs/>
                <w:highlight w:val="yellow"/>
              </w:rPr>
              <w:t>scellWithoutSSB-InterBandCA-r18   ENUMERATED {referenceBand, scellWithoutSSB, both}</w:t>
            </w:r>
            <w:r>
              <w:rPr>
                <w:rFonts w:eastAsia="DengXian"/>
              </w:rPr>
              <w:t>, where</w:t>
            </w:r>
          </w:p>
          <w:p w14:paraId="2ABF7CC3" w14:textId="77777777" w:rsidR="00317713" w:rsidRDefault="00317713" w:rsidP="00317713">
            <w:pPr>
              <w:pStyle w:val="ListParagraph"/>
              <w:numPr>
                <w:ilvl w:val="0"/>
                <w:numId w:val="29"/>
              </w:numPr>
              <w:ind w:firstLineChars="0"/>
              <w:rPr>
                <w:rFonts w:eastAsia="DengXian"/>
                <w:szCs w:val="20"/>
              </w:rPr>
            </w:pPr>
            <w:r>
              <w:rPr>
                <w:rFonts w:eastAsia="DengXian"/>
                <w:szCs w:val="20"/>
              </w:rPr>
              <w:t>with</w:t>
            </w:r>
            <w:r w:rsidRPr="00A0553C">
              <w:rPr>
                <w:rFonts w:eastAsia="DengXian"/>
                <w:szCs w:val="20"/>
              </w:rPr>
              <w:t xml:space="preserve"> “</w:t>
            </w:r>
            <w:r w:rsidRPr="003E47AE">
              <w:rPr>
                <w:rFonts w:ascii="Times New Roman" w:eastAsia="DengXian" w:hAnsi="Times New Roman"/>
                <w:i/>
                <w:iCs/>
                <w:szCs w:val="20"/>
              </w:rPr>
              <w:t>both</w:t>
            </w:r>
            <w:r w:rsidRPr="00A0553C">
              <w:rPr>
                <w:rFonts w:eastAsia="DengXian"/>
                <w:szCs w:val="20"/>
              </w:rPr>
              <w:t>” indicate</w:t>
            </w:r>
            <w:r>
              <w:rPr>
                <w:rFonts w:eastAsia="DengXian"/>
                <w:szCs w:val="20"/>
              </w:rPr>
              <w:t xml:space="preserve">d, </w:t>
            </w:r>
            <w:r w:rsidRPr="00A0553C">
              <w:rPr>
                <w:rFonts w:eastAsia="DengXian"/>
                <w:szCs w:val="20"/>
              </w:rPr>
              <w:t>any band of a band combination can be a reference band or an SSB-less band (the other band(s) of the band combination cannot be indicated with ‘</w:t>
            </w:r>
            <w:r w:rsidRPr="003E47AE">
              <w:rPr>
                <w:rFonts w:ascii="Times New Roman" w:eastAsia="DengXian" w:hAnsi="Times New Roman"/>
                <w:i/>
                <w:iCs/>
                <w:szCs w:val="20"/>
              </w:rPr>
              <w:t>referenceBand</w:t>
            </w:r>
            <w:r w:rsidRPr="00A0553C">
              <w:rPr>
                <w:rFonts w:eastAsia="DengXian"/>
                <w:szCs w:val="20"/>
              </w:rPr>
              <w:t>’ or ‘</w:t>
            </w:r>
            <w:r w:rsidRPr="003E47AE">
              <w:rPr>
                <w:rFonts w:ascii="Times New Roman" w:eastAsia="DengXian" w:hAnsi="Times New Roman"/>
                <w:i/>
                <w:iCs/>
                <w:szCs w:val="20"/>
              </w:rPr>
              <w:t>scellWithoutSSB</w:t>
            </w:r>
            <w:r w:rsidRPr="00A0553C">
              <w:rPr>
                <w:rFonts w:eastAsia="DengXian"/>
                <w:szCs w:val="20"/>
              </w:rPr>
              <w:t xml:space="preserve">’) </w:t>
            </w:r>
            <w:r>
              <w:rPr>
                <w:rFonts w:eastAsia="DengXian"/>
                <w:szCs w:val="20"/>
              </w:rPr>
              <w:t>and it</w:t>
            </w:r>
            <w:r w:rsidRPr="00A0553C">
              <w:rPr>
                <w:rFonts w:eastAsia="DengXian"/>
                <w:szCs w:val="20"/>
              </w:rPr>
              <w:t xml:space="preserve"> is up to </w:t>
            </w:r>
            <w:r>
              <w:rPr>
                <w:rFonts w:eastAsia="DengXian"/>
                <w:szCs w:val="20"/>
              </w:rPr>
              <w:t xml:space="preserve">the </w:t>
            </w:r>
            <w:r w:rsidRPr="00A0553C">
              <w:rPr>
                <w:rFonts w:eastAsia="DengXian"/>
                <w:szCs w:val="20"/>
              </w:rPr>
              <w:t>network to determine and configure a band of such band combination as a reference band and the other band(s) of the band combination as  SSB-less band(s);</w:t>
            </w:r>
          </w:p>
          <w:p w14:paraId="0F21FF4A" w14:textId="77777777" w:rsidR="00317713" w:rsidRDefault="00317713" w:rsidP="00317713">
            <w:pPr>
              <w:pStyle w:val="ListParagraph"/>
              <w:numPr>
                <w:ilvl w:val="0"/>
                <w:numId w:val="29"/>
              </w:numPr>
              <w:ind w:firstLineChars="0"/>
              <w:rPr>
                <w:rFonts w:eastAsia="DengXian"/>
                <w:szCs w:val="20"/>
              </w:rPr>
            </w:pPr>
            <w:r>
              <w:rPr>
                <w:rFonts w:eastAsia="DengXian"/>
                <w:szCs w:val="20"/>
              </w:rPr>
              <w:t>w</w:t>
            </w:r>
            <w:r w:rsidRPr="00A0553C">
              <w:rPr>
                <w:rFonts w:eastAsia="DengXian"/>
                <w:szCs w:val="20"/>
              </w:rPr>
              <w:t>ithout “</w:t>
            </w:r>
            <w:r w:rsidRPr="003E47AE">
              <w:rPr>
                <w:rFonts w:ascii="Times New Roman" w:eastAsia="DengXian" w:hAnsi="Times New Roman"/>
                <w:i/>
                <w:iCs/>
                <w:szCs w:val="20"/>
              </w:rPr>
              <w:t>both</w:t>
            </w:r>
            <w:r w:rsidRPr="00A0553C">
              <w:rPr>
                <w:rFonts w:eastAsia="DengXian"/>
                <w:szCs w:val="20"/>
              </w:rPr>
              <w:t>”</w:t>
            </w:r>
            <w:r>
              <w:rPr>
                <w:rFonts w:eastAsia="DengXian"/>
                <w:szCs w:val="20"/>
              </w:rPr>
              <w:t xml:space="preserve"> indicated, </w:t>
            </w:r>
            <w:r w:rsidRPr="00A0553C">
              <w:rPr>
                <w:rFonts w:eastAsia="DengXian"/>
                <w:szCs w:val="20"/>
              </w:rPr>
              <w:t>a band of a band combination can be a ‘</w:t>
            </w:r>
            <w:r w:rsidRPr="003E47AE">
              <w:rPr>
                <w:rFonts w:ascii="Times New Roman" w:eastAsia="DengXian" w:hAnsi="Times New Roman"/>
                <w:i/>
                <w:iCs/>
                <w:szCs w:val="20"/>
              </w:rPr>
              <w:t>referenceBand</w:t>
            </w:r>
            <w:r w:rsidRPr="00A0553C">
              <w:rPr>
                <w:rFonts w:eastAsia="DengXian"/>
                <w:szCs w:val="20"/>
              </w:rPr>
              <w:t>’ with the other band(s) of the band combination as ‘</w:t>
            </w:r>
            <w:r w:rsidRPr="003E47AE">
              <w:rPr>
                <w:rFonts w:ascii="Times New Roman" w:eastAsia="DengXian" w:hAnsi="Times New Roman"/>
                <w:i/>
                <w:iCs/>
                <w:szCs w:val="20"/>
              </w:rPr>
              <w:t>scellWithoutSSB</w:t>
            </w:r>
            <w:r w:rsidRPr="00A0553C">
              <w:rPr>
                <w:rFonts w:eastAsia="DengXian"/>
                <w:szCs w:val="20"/>
              </w:rPr>
              <w:t xml:space="preserve">’ with higher band entry number than </w:t>
            </w:r>
            <w:r>
              <w:rPr>
                <w:rFonts w:eastAsia="DengXian"/>
                <w:szCs w:val="20"/>
              </w:rPr>
              <w:t>the</w:t>
            </w:r>
            <w:r w:rsidRPr="00A0553C">
              <w:rPr>
                <w:rFonts w:eastAsia="DengXian"/>
                <w:szCs w:val="20"/>
              </w:rPr>
              <w:t xml:space="preserve"> reference band and lower band entry number than the entry number of the next band indicated as ‘</w:t>
            </w:r>
            <w:r w:rsidRPr="003E47AE">
              <w:rPr>
                <w:rFonts w:ascii="Times New Roman" w:eastAsia="DengXian" w:hAnsi="Times New Roman"/>
                <w:i/>
                <w:iCs/>
                <w:szCs w:val="20"/>
              </w:rPr>
              <w:t>referenceBand</w:t>
            </w:r>
            <w:r w:rsidRPr="00A0553C">
              <w:rPr>
                <w:rFonts w:eastAsia="DengXian"/>
                <w:szCs w:val="20"/>
              </w:rPr>
              <w:t xml:space="preserve">’, if any. </w:t>
            </w:r>
          </w:p>
          <w:p w14:paraId="264B6112" w14:textId="77777777" w:rsidR="00317713" w:rsidRDefault="00317713" w:rsidP="00317713">
            <w:pPr>
              <w:rPr>
                <w:rFonts w:eastAsia="DengXian"/>
              </w:rPr>
            </w:pPr>
            <w:r>
              <w:rPr>
                <w:rFonts w:eastAsia="DengXian"/>
              </w:rPr>
              <w:t xml:space="preserve">With the above compromised solution split into “Scheme1” (i.e., with “both”) and “Scheme 2” (i.e., without “both”) in the short email discussion. </w:t>
            </w:r>
          </w:p>
          <w:p w14:paraId="34D7C94E" w14:textId="77777777" w:rsidR="00317713" w:rsidRDefault="00317713" w:rsidP="00317713">
            <w:pPr>
              <w:rPr>
                <w:rFonts w:eastAsia="DengXian"/>
              </w:rPr>
            </w:pPr>
            <w:r>
              <w:rPr>
                <w:rFonts w:eastAsia="DengXian"/>
              </w:rPr>
              <w:t xml:space="preserve">Scheme 1 still indicates UE’s capability with any of a band combination as reference band (i.e., multi-band references) but it’s up to network’s decision which band of the band combination is used as the reference band. In our view, “Scheme 1” provides flexibility to the network and avoids product cost associated with some of undesired combination of band combinations. </w:t>
            </w:r>
          </w:p>
          <w:p w14:paraId="57E4350E" w14:textId="5552800A" w:rsidR="00317713" w:rsidRPr="00071B22" w:rsidRDefault="00317713" w:rsidP="00317713">
            <w:pPr>
              <w:overflowPunct w:val="0"/>
              <w:autoSpaceDE w:val="0"/>
              <w:autoSpaceDN w:val="0"/>
              <w:adjustRightInd w:val="0"/>
              <w:spacing w:after="120" w:line="300" w:lineRule="auto"/>
              <w:textAlignment w:val="baseline"/>
              <w:rPr>
                <w:rFonts w:eastAsia="DengXian"/>
              </w:rPr>
            </w:pPr>
            <w:r>
              <w:rPr>
                <w:rFonts w:eastAsia="DengXian"/>
              </w:rPr>
              <w:t>Alternatively, “Scheme 2” allows UE to explicitly indicate which band(s) as the reference band(s) and which band(s) as the SSB-less band(s) following the order of the band entry number. From this perspective, UE can indicate explicitly a combination of band combinations.</w:t>
            </w:r>
          </w:p>
        </w:tc>
      </w:tr>
      <w:tr w:rsidR="00EB4A53" w:rsidRPr="00071B22" w14:paraId="4B1D3FFA" w14:textId="77777777" w:rsidTr="003A5A3A">
        <w:tc>
          <w:tcPr>
            <w:tcW w:w="2245" w:type="dxa"/>
          </w:tcPr>
          <w:p w14:paraId="0116163E" w14:textId="0C0080F7" w:rsidR="00EB4A53" w:rsidRDefault="00EB4A53" w:rsidP="00EB4A53">
            <w:pPr>
              <w:overflowPunct w:val="0"/>
              <w:autoSpaceDE w:val="0"/>
              <w:autoSpaceDN w:val="0"/>
              <w:adjustRightInd w:val="0"/>
              <w:spacing w:after="120" w:line="300" w:lineRule="auto"/>
              <w:textAlignment w:val="baseline"/>
              <w:rPr>
                <w:rFonts w:eastAsia="DengXian"/>
              </w:rPr>
            </w:pPr>
            <w:r>
              <w:rPr>
                <w:rFonts w:eastAsia="DengXian"/>
              </w:rPr>
              <w:t>Apple</w:t>
            </w:r>
          </w:p>
        </w:tc>
        <w:tc>
          <w:tcPr>
            <w:tcW w:w="2003" w:type="dxa"/>
          </w:tcPr>
          <w:p w14:paraId="475FFAE0" w14:textId="0A6028AC" w:rsidR="00EB4A53" w:rsidRDefault="00EB4A53" w:rsidP="00EB4A53">
            <w:pPr>
              <w:overflowPunct w:val="0"/>
              <w:autoSpaceDE w:val="0"/>
              <w:autoSpaceDN w:val="0"/>
              <w:adjustRightInd w:val="0"/>
              <w:spacing w:after="120" w:line="300" w:lineRule="auto"/>
              <w:textAlignment w:val="baseline"/>
              <w:rPr>
                <w:rFonts w:eastAsia="DengXian"/>
              </w:rPr>
            </w:pPr>
            <w:r>
              <w:rPr>
                <w:rFonts w:eastAsia="DengXian"/>
              </w:rPr>
              <w:t>Agree with comments</w:t>
            </w:r>
          </w:p>
        </w:tc>
        <w:tc>
          <w:tcPr>
            <w:tcW w:w="5522" w:type="dxa"/>
          </w:tcPr>
          <w:p w14:paraId="26051704" w14:textId="77777777" w:rsidR="00EB4A53" w:rsidRDefault="00EB4A53" w:rsidP="00EB4A53">
            <w:pPr>
              <w:overflowPunct w:val="0"/>
              <w:autoSpaceDE w:val="0"/>
              <w:autoSpaceDN w:val="0"/>
              <w:adjustRightInd w:val="0"/>
              <w:spacing w:after="120" w:line="300" w:lineRule="auto"/>
              <w:textAlignment w:val="baseline"/>
              <w:rPr>
                <w:rFonts w:eastAsia="DengXian"/>
              </w:rPr>
            </w:pPr>
            <w:r w:rsidRPr="00321F95">
              <w:rPr>
                <w:rFonts w:eastAsia="DengXian"/>
              </w:rPr>
              <w:t>Our understanding is that “Scheme 2” is designed target for multiple groups. So, we are a bit confused why Rapporteur mentioned it supports single group (“</w:t>
            </w:r>
            <w:r w:rsidRPr="00321F95">
              <w:rPr>
                <w:b/>
              </w:rPr>
              <w:t xml:space="preserve">scheme2 enables the flexibility to support </w:t>
            </w:r>
            <w:r w:rsidRPr="00321F95">
              <w:rPr>
                <w:b/>
                <w:highlight w:val="yellow"/>
              </w:rPr>
              <w:t>either single group</w:t>
            </w:r>
            <w:r w:rsidRPr="00321F95">
              <w:rPr>
                <w:b/>
              </w:rPr>
              <w:t xml:space="preserve"> or multiple groups”)</w:t>
            </w:r>
            <w:r>
              <w:rPr>
                <w:b/>
              </w:rPr>
              <w:t xml:space="preserve">. </w:t>
            </w:r>
            <w:r w:rsidRPr="00DD7A49">
              <w:rPr>
                <w:rFonts w:eastAsia="DengXian"/>
              </w:rPr>
              <w:t>Maybe</w:t>
            </w:r>
            <w:r>
              <w:rPr>
                <w:rFonts w:eastAsia="DengXian"/>
              </w:rPr>
              <w:t>, the approach is that UE only indicates “</w:t>
            </w:r>
            <w:r w:rsidRPr="00DD7A49">
              <w:rPr>
                <w:rFonts w:eastAsia="DengXian"/>
              </w:rPr>
              <w:t>referenceBand1” or “scellWithoutSSB1” in Scheme 2</w:t>
            </w:r>
            <w:r>
              <w:rPr>
                <w:rFonts w:eastAsia="DengXian"/>
              </w:rPr>
              <w:t xml:space="preserve"> (i.e. </w:t>
            </w:r>
            <w:r w:rsidRPr="00DD7A49">
              <w:rPr>
                <w:rFonts w:eastAsia="DengXian"/>
              </w:rPr>
              <w:t>referenceBand</w:t>
            </w:r>
            <w:r>
              <w:rPr>
                <w:rFonts w:eastAsia="DengXian"/>
              </w:rPr>
              <w:t>2/</w:t>
            </w:r>
            <w:r w:rsidRPr="00DD7A49">
              <w:rPr>
                <w:rFonts w:eastAsia="DengXian"/>
              </w:rPr>
              <w:t xml:space="preserve"> </w:t>
            </w:r>
            <w:r w:rsidRPr="00DD7A49">
              <w:rPr>
                <w:rFonts w:eastAsia="DengXian"/>
              </w:rPr>
              <w:lastRenderedPageBreak/>
              <w:t>scellWithoutSSB1</w:t>
            </w:r>
            <w:r>
              <w:rPr>
                <w:rFonts w:eastAsia="DengXian"/>
              </w:rPr>
              <w:t xml:space="preserve"> is absent)?</w:t>
            </w:r>
            <w:r w:rsidRPr="00DD7A49">
              <w:rPr>
                <w:rFonts w:eastAsia="DengXian"/>
              </w:rPr>
              <w:t xml:space="preserve"> </w:t>
            </w:r>
          </w:p>
          <w:p w14:paraId="2C50C7B3" w14:textId="77777777" w:rsidR="00EB4A53" w:rsidRDefault="00EB4A53" w:rsidP="00EB4A53">
            <w:pPr>
              <w:overflowPunct w:val="0"/>
              <w:autoSpaceDE w:val="0"/>
              <w:autoSpaceDN w:val="0"/>
              <w:adjustRightInd w:val="0"/>
              <w:spacing w:after="120" w:line="300" w:lineRule="auto"/>
              <w:textAlignment w:val="baseline"/>
              <w:rPr>
                <w:rFonts w:eastAsia="DengXian"/>
              </w:rPr>
            </w:pPr>
            <w:r w:rsidRPr="003224B5">
              <w:rPr>
                <w:rFonts w:eastAsia="DengXian"/>
              </w:rPr>
              <w:t>Actually, if it is single group, “Scheme 1” is more flexible and has lower signaling overhead (3 values vs 4 values) as Qualcomm mentioned. Then, in case of single group, we don’t think UE will use “scheme 2”.</w:t>
            </w:r>
            <w:r>
              <w:rPr>
                <w:rFonts w:eastAsia="DengXian"/>
              </w:rPr>
              <w:t xml:space="preserve"> Furthermore, although we understand “Scheme 1” and “Scheme 2” are outcome of compromise, we still prefer to make them have non-overlapping use case (i.e. single vs multiple group) if possible, instead of two signaling options which looks ugly. It also will make both UE and NW behavior clearer.</w:t>
            </w:r>
          </w:p>
          <w:p w14:paraId="48283F9D" w14:textId="3209F04D" w:rsidR="00EB4A53" w:rsidRDefault="00EB4A53" w:rsidP="00EB4A53">
            <w:pPr>
              <w:overflowPunct w:val="0"/>
              <w:autoSpaceDE w:val="0"/>
              <w:autoSpaceDN w:val="0"/>
              <w:adjustRightInd w:val="0"/>
              <w:spacing w:after="120" w:line="300" w:lineRule="auto"/>
              <w:textAlignment w:val="baseline"/>
              <w:rPr>
                <w:rFonts w:eastAsia="DengXian"/>
              </w:rPr>
            </w:pPr>
            <w:r>
              <w:rPr>
                <w:rFonts w:eastAsia="DengXian"/>
              </w:rPr>
              <w:t>Based on above reason, we prefer to make clear “Scheme 1” is for single group and “Scheme 2” is for multiple groups.</w:t>
            </w:r>
          </w:p>
        </w:tc>
      </w:tr>
    </w:tbl>
    <w:p w14:paraId="4674F717" w14:textId="77777777" w:rsidR="002D240D" w:rsidRPr="002D240D" w:rsidRDefault="002D240D" w:rsidP="002D240D"/>
    <w:p w14:paraId="79499E77" w14:textId="3E8F27E7" w:rsidR="0024360C" w:rsidRDefault="0024360C" w:rsidP="009955C7">
      <w:pPr>
        <w:pStyle w:val="BodyText"/>
        <w:spacing w:before="120"/>
        <w:rPr>
          <w:rFonts w:eastAsiaTheme="minorEastAsia"/>
          <w:lang w:eastAsia="zh-CN"/>
        </w:rPr>
      </w:pPr>
      <w:r>
        <w:rPr>
          <w:rFonts w:eastAsiaTheme="minorEastAsia"/>
          <w:lang w:eastAsia="zh-CN"/>
        </w:rPr>
        <w:t>If Q1-1 is agreed, from rapporteur’s point of view, this understanding does not need to be</w:t>
      </w:r>
      <w:r w:rsidR="00FD5641">
        <w:rPr>
          <w:rFonts w:eastAsiaTheme="minorEastAsia"/>
          <w:lang w:eastAsia="zh-CN"/>
        </w:rPr>
        <w:t xml:space="preserve"> explicitly</w:t>
      </w:r>
      <w:r>
        <w:rPr>
          <w:rFonts w:eastAsiaTheme="minorEastAsia"/>
          <w:lang w:eastAsia="zh-CN"/>
        </w:rPr>
        <w:t xml:space="preserve"> captured in the field description, as it can be implicitly revealed according to the field description itself.</w:t>
      </w:r>
    </w:p>
    <w:p w14:paraId="1F302A55" w14:textId="782E3D1F" w:rsidR="0024360C" w:rsidRPr="00071B22" w:rsidRDefault="0024360C" w:rsidP="009955C7">
      <w:pPr>
        <w:spacing w:before="120" w:after="120"/>
        <w:rPr>
          <w:rFonts w:cs="Times New Roman"/>
          <w:b/>
        </w:rPr>
      </w:pPr>
      <w:r w:rsidRPr="00071B22">
        <w:rPr>
          <w:rFonts w:cs="Times New Roman"/>
          <w:b/>
        </w:rPr>
        <w:t>Q1</w:t>
      </w:r>
      <w:r>
        <w:rPr>
          <w:rFonts w:cs="Times New Roman"/>
          <w:b/>
        </w:rPr>
        <w:t>-2</w:t>
      </w:r>
      <w:r w:rsidRPr="00071B22">
        <w:rPr>
          <w:rFonts w:cs="Times New Roman"/>
          <w:b/>
        </w:rPr>
        <w:t xml:space="preserve">: </w:t>
      </w:r>
      <w:r>
        <w:rPr>
          <w:rFonts w:cs="Times New Roman"/>
          <w:b/>
        </w:rPr>
        <w:t xml:space="preserve">If Q1-1 is agreeable, do you agree that there is no need for explicitly capturing the understanding of Q1-1 to the field description, i.e. the understanding can be </w:t>
      </w:r>
      <w:r w:rsidRPr="0024360C">
        <w:rPr>
          <w:rFonts w:cs="Times New Roman"/>
          <w:b/>
        </w:rPr>
        <w:t>implicitly revealed according to the field description itself</w:t>
      </w:r>
      <w:r w:rsidR="002A3898">
        <w:rPr>
          <w:rFonts w:cs="Times New Roman"/>
          <w:b/>
        </w:rPr>
        <w:t xml:space="preserve"> (as draft</w:t>
      </w:r>
      <w:r w:rsidR="009955C7">
        <w:rPr>
          <w:rFonts w:cs="Times New Roman"/>
          <w:b/>
        </w:rPr>
        <w:t>ed</w:t>
      </w:r>
      <w:r w:rsidR="002A3898">
        <w:rPr>
          <w:rFonts w:cs="Times New Roman"/>
          <w:b/>
        </w:rPr>
        <w:t xml:space="preserve"> in v00 by rapporteur)</w:t>
      </w:r>
      <w:r>
        <w:rPr>
          <w:rFonts w:cs="Times New Roman"/>
          <w:b/>
        </w:rPr>
        <w:t>?</w:t>
      </w:r>
    </w:p>
    <w:tbl>
      <w:tblPr>
        <w:tblStyle w:val="TableGrid"/>
        <w:tblW w:w="9770" w:type="dxa"/>
        <w:tblLook w:val="04A0" w:firstRow="1" w:lastRow="0" w:firstColumn="1" w:lastColumn="0" w:noHBand="0" w:noVBand="1"/>
      </w:tblPr>
      <w:tblGrid>
        <w:gridCol w:w="2245"/>
        <w:gridCol w:w="2003"/>
        <w:gridCol w:w="5522"/>
      </w:tblGrid>
      <w:tr w:rsidR="0024360C" w:rsidRPr="00071B22" w14:paraId="45DFCF74" w14:textId="77777777" w:rsidTr="004B16A1">
        <w:tc>
          <w:tcPr>
            <w:tcW w:w="2245" w:type="dxa"/>
          </w:tcPr>
          <w:p w14:paraId="15D4CA09"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1F5775DE"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79517AC5"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24360C" w:rsidRPr="00071B22" w14:paraId="2F4657A6" w14:textId="77777777" w:rsidTr="004B16A1">
        <w:tc>
          <w:tcPr>
            <w:tcW w:w="2245" w:type="dxa"/>
          </w:tcPr>
          <w:p w14:paraId="36266098" w14:textId="761F64C7" w:rsidR="0024360C" w:rsidRPr="00071B22" w:rsidRDefault="005D01F2" w:rsidP="004B16A1">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79547DAF" w14:textId="683117A5" w:rsidR="0024360C" w:rsidRPr="00071B22" w:rsidRDefault="005D01F2"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396693F1" w14:textId="47E73C99" w:rsidR="0024360C" w:rsidRPr="00071B22" w:rsidRDefault="00ED0D9A" w:rsidP="004B16A1">
            <w:pPr>
              <w:overflowPunct w:val="0"/>
              <w:autoSpaceDE w:val="0"/>
              <w:autoSpaceDN w:val="0"/>
              <w:adjustRightInd w:val="0"/>
              <w:spacing w:after="120" w:line="300" w:lineRule="auto"/>
              <w:textAlignment w:val="baseline"/>
              <w:rPr>
                <w:lang w:eastAsia="ko-KR"/>
              </w:rPr>
            </w:pPr>
            <w:r>
              <w:rPr>
                <w:lang w:eastAsia="ko-KR"/>
              </w:rPr>
              <w:t xml:space="preserve">The proposed 331/306 CRs </w:t>
            </w:r>
            <w:r w:rsidR="00BF0555">
              <w:rPr>
                <w:lang w:eastAsia="ko-KR"/>
              </w:rPr>
              <w:t xml:space="preserve">by the rapporteur </w:t>
            </w:r>
            <w:r>
              <w:rPr>
                <w:lang w:eastAsia="ko-KR"/>
              </w:rPr>
              <w:t>are sufficiently clear.</w:t>
            </w:r>
          </w:p>
        </w:tc>
      </w:tr>
      <w:tr w:rsidR="0024360C" w:rsidRPr="00071B22" w14:paraId="12B5E322" w14:textId="77777777" w:rsidTr="004B16A1">
        <w:tc>
          <w:tcPr>
            <w:tcW w:w="2245" w:type="dxa"/>
          </w:tcPr>
          <w:p w14:paraId="389D3FA4" w14:textId="3A08EEF5"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039F433C" w14:textId="79E802CE"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comment</w:t>
            </w:r>
          </w:p>
        </w:tc>
        <w:tc>
          <w:tcPr>
            <w:tcW w:w="5522" w:type="dxa"/>
          </w:tcPr>
          <w:p w14:paraId="3CE7B821" w14:textId="77777777" w:rsidR="0024360C" w:rsidRDefault="00347969" w:rsidP="00347969">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our comment in Q1-1, we think the following requirement is also applicable to scheme2:</w:t>
            </w:r>
          </w:p>
          <w:p w14:paraId="373C155D" w14:textId="77777777" w:rsidR="00347969" w:rsidRDefault="00347969" w:rsidP="00347969">
            <w:pPr>
              <w:overflowPunct w:val="0"/>
              <w:autoSpaceDE w:val="0"/>
              <w:autoSpaceDN w:val="0"/>
              <w:adjustRightInd w:val="0"/>
              <w:spacing w:after="120" w:line="300" w:lineRule="auto"/>
              <w:ind w:leftChars="200" w:left="400"/>
              <w:textAlignment w:val="baseline"/>
              <w:rPr>
                <w:rFonts w:ascii="Arial" w:eastAsia="SimSun" w:hAnsi="Arial" w:cs="Arial"/>
                <w:bCs/>
                <w:iCs/>
                <w:kern w:val="2"/>
                <w:sz w:val="18"/>
                <w:szCs w:val="18"/>
              </w:rPr>
            </w:pPr>
            <w:bookmarkStart w:id="8" w:name="OLE_LINK1"/>
            <w:r w:rsidRPr="00347969">
              <w:rPr>
                <w:rFonts w:ascii="Arial" w:eastAsia="SimSun" w:hAnsi="Arial" w:cs="Arial"/>
                <w:bCs/>
                <w:iCs/>
                <w:kern w:val="2"/>
                <w:sz w:val="18"/>
                <w:szCs w:val="18"/>
              </w:rPr>
              <w:t>If the UE indicates “both” for any band, the UE shall not indicate ‘referenceBand’ or ‘scellWithoutSSB’ in any other band in the band combination.</w:t>
            </w:r>
            <w:bookmarkEnd w:id="8"/>
          </w:p>
          <w:p w14:paraId="0FE3014F" w14:textId="170C5B31" w:rsidR="002F0EC7" w:rsidRPr="00347969" w:rsidRDefault="002F0EC7" w:rsidP="00347969">
            <w:pPr>
              <w:overflowPunct w:val="0"/>
              <w:autoSpaceDE w:val="0"/>
              <w:autoSpaceDN w:val="0"/>
              <w:adjustRightInd w:val="0"/>
              <w:spacing w:after="120" w:line="300" w:lineRule="auto"/>
              <w:ind w:leftChars="200" w:left="400"/>
              <w:textAlignment w:val="baseline"/>
              <w:rPr>
                <w:rFonts w:ascii="Arial" w:eastAsia="PMingLiU" w:hAnsi="Arial" w:cs="Arial"/>
                <w:sz w:val="18"/>
                <w:szCs w:val="18"/>
                <w:lang w:eastAsia="zh-TW"/>
              </w:rPr>
            </w:pPr>
            <w:r w:rsidRPr="002F0EC7">
              <w:rPr>
                <w:rFonts w:eastAsia="PMingLiU"/>
                <w:color w:val="0070C0"/>
                <w:lang w:eastAsia="zh-TW"/>
              </w:rPr>
              <w:t>[Rapp] I response this in Q2-2, please refer to that part. Thanks.</w:t>
            </w:r>
          </w:p>
        </w:tc>
      </w:tr>
      <w:tr w:rsidR="0024360C" w:rsidRPr="00071B22" w14:paraId="650BB7A9" w14:textId="77777777" w:rsidTr="004B16A1">
        <w:tc>
          <w:tcPr>
            <w:tcW w:w="2245" w:type="dxa"/>
          </w:tcPr>
          <w:p w14:paraId="66D74200" w14:textId="54743685" w:rsidR="0024360C" w:rsidRPr="00071B22" w:rsidRDefault="00ED09D5"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6B0BF21C" w14:textId="7AFBCBAB" w:rsidR="0024360C" w:rsidRPr="00071B22" w:rsidRDefault="00ED09D5" w:rsidP="004B16A1">
            <w:pPr>
              <w:overflowPunct w:val="0"/>
              <w:autoSpaceDE w:val="0"/>
              <w:autoSpaceDN w:val="0"/>
              <w:adjustRightInd w:val="0"/>
              <w:spacing w:after="120" w:line="300" w:lineRule="auto"/>
              <w:textAlignment w:val="baseline"/>
              <w:rPr>
                <w:rFonts w:eastAsia="DengXian"/>
              </w:rPr>
            </w:pPr>
            <w:r>
              <w:rPr>
                <w:rFonts w:eastAsia="DengXian"/>
              </w:rPr>
              <w:t>Agree</w:t>
            </w:r>
            <w:r w:rsidR="006A6EE1">
              <w:rPr>
                <w:rFonts w:eastAsia="DengXian"/>
              </w:rPr>
              <w:t>, but</w:t>
            </w:r>
          </w:p>
        </w:tc>
        <w:tc>
          <w:tcPr>
            <w:tcW w:w="5522" w:type="dxa"/>
          </w:tcPr>
          <w:p w14:paraId="25299B03" w14:textId="77777777" w:rsidR="0024360C" w:rsidRDefault="006A6EE1" w:rsidP="004B16A1">
            <w:pPr>
              <w:overflowPunct w:val="0"/>
              <w:autoSpaceDE w:val="0"/>
              <w:autoSpaceDN w:val="0"/>
              <w:adjustRightInd w:val="0"/>
              <w:spacing w:after="120" w:line="300" w:lineRule="auto"/>
              <w:textAlignment w:val="baseline"/>
              <w:rPr>
                <w:rFonts w:eastAsia="DengXian"/>
              </w:rPr>
            </w:pPr>
            <w:r>
              <w:rPr>
                <w:rFonts w:eastAsia="DengXian"/>
              </w:rPr>
              <w:t xml:space="preserve">It would be good to change the names of scheme1 and scheme2 for mor meaningful names e.g. singleGroup and </w:t>
            </w:r>
            <w:r w:rsidR="000136C4">
              <w:rPr>
                <w:rFonts w:eastAsia="DengXian"/>
              </w:rPr>
              <w:t>m</w:t>
            </w:r>
            <w:r>
              <w:rPr>
                <w:rFonts w:eastAsia="DengXian"/>
              </w:rPr>
              <w:t>ultipleGroups</w:t>
            </w:r>
            <w:r w:rsidR="000136C4">
              <w:rPr>
                <w:rFonts w:eastAsia="DengXian"/>
              </w:rPr>
              <w:t>.</w:t>
            </w:r>
          </w:p>
          <w:p w14:paraId="4453FC88" w14:textId="17BA3288" w:rsidR="002F0EC7" w:rsidRPr="00071B22" w:rsidRDefault="002F0EC7" w:rsidP="004B16A1">
            <w:pPr>
              <w:overflowPunct w:val="0"/>
              <w:autoSpaceDE w:val="0"/>
              <w:autoSpaceDN w:val="0"/>
              <w:adjustRightInd w:val="0"/>
              <w:spacing w:after="120" w:line="300" w:lineRule="auto"/>
              <w:textAlignment w:val="baseline"/>
              <w:rPr>
                <w:rFonts w:eastAsia="DengXian"/>
              </w:rPr>
            </w:pPr>
            <w:r w:rsidRPr="002F0EC7">
              <w:rPr>
                <w:rFonts w:eastAsia="PMingLiU"/>
                <w:color w:val="0070C0"/>
                <w:lang w:eastAsia="zh-TW"/>
              </w:rPr>
              <w:t>[Rapp] Thanks</w:t>
            </w:r>
            <w:r>
              <w:rPr>
                <w:rFonts w:eastAsia="PMingLiU"/>
                <w:color w:val="0070C0"/>
                <w:lang w:eastAsia="zh-TW"/>
              </w:rPr>
              <w:t>, companies do not want scheme2 to be explained in the way that it only supports multiple groups. I’ll try another name, e.g. supportOfOnlySingleGroup (for scheme1) and supportOfSingle</w:t>
            </w:r>
            <w:r w:rsidR="00876A94">
              <w:rPr>
                <w:rFonts w:eastAsia="PMingLiU"/>
                <w:color w:val="0070C0"/>
                <w:lang w:eastAsia="zh-TW"/>
              </w:rPr>
              <w:t>And</w:t>
            </w:r>
            <w:r>
              <w:rPr>
                <w:rFonts w:eastAsia="PMingLiU"/>
                <w:color w:val="0070C0"/>
                <w:lang w:eastAsia="zh-TW"/>
              </w:rPr>
              <w:t>MultiGroup (for scheme2)</w:t>
            </w:r>
          </w:p>
        </w:tc>
      </w:tr>
      <w:tr w:rsidR="00D274E6" w:rsidRPr="00071B22" w14:paraId="05A75B5B" w14:textId="77777777" w:rsidTr="004B16A1">
        <w:tc>
          <w:tcPr>
            <w:tcW w:w="2245" w:type="dxa"/>
          </w:tcPr>
          <w:p w14:paraId="1E8BB5FE" w14:textId="42ACC41B"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Qualcomm</w:t>
            </w:r>
          </w:p>
        </w:tc>
        <w:tc>
          <w:tcPr>
            <w:tcW w:w="2003" w:type="dxa"/>
          </w:tcPr>
          <w:p w14:paraId="70D19561" w14:textId="78EC2003"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Agree w. comment</w:t>
            </w:r>
          </w:p>
        </w:tc>
        <w:tc>
          <w:tcPr>
            <w:tcW w:w="5522" w:type="dxa"/>
          </w:tcPr>
          <w:p w14:paraId="15951BFD" w14:textId="77777777" w:rsidR="00D274E6" w:rsidRDefault="00D274E6" w:rsidP="00D274E6">
            <w:pPr>
              <w:overflowPunct w:val="0"/>
              <w:autoSpaceDE w:val="0"/>
              <w:autoSpaceDN w:val="0"/>
              <w:adjustRightInd w:val="0"/>
              <w:spacing w:after="120" w:line="300" w:lineRule="auto"/>
              <w:textAlignment w:val="baseline"/>
              <w:rPr>
                <w:lang w:eastAsia="ko-KR"/>
              </w:rPr>
            </w:pPr>
            <w:r>
              <w:rPr>
                <w:lang w:eastAsia="ko-KR"/>
              </w:rPr>
              <w:t xml:space="preserve">The 331 CR proposed by the rapporteur is good. </w:t>
            </w:r>
          </w:p>
          <w:p w14:paraId="145F66FE" w14:textId="77777777" w:rsidR="00D274E6" w:rsidRDefault="00D274E6" w:rsidP="00D274E6">
            <w:pPr>
              <w:overflowPunct w:val="0"/>
              <w:autoSpaceDE w:val="0"/>
              <w:autoSpaceDN w:val="0"/>
              <w:adjustRightInd w:val="0"/>
              <w:spacing w:after="120" w:line="300" w:lineRule="auto"/>
              <w:textAlignment w:val="baseline"/>
              <w:rPr>
                <w:lang w:eastAsia="ko-KR"/>
              </w:rPr>
            </w:pPr>
            <w:r>
              <w:rPr>
                <w:lang w:eastAsia="ko-KR"/>
              </w:rPr>
              <w:lastRenderedPageBreak/>
              <w:t>The 306 CR proposed by the rapporteur is OK. But would like to suggest a minor rewording as shown in red color below.</w:t>
            </w:r>
          </w:p>
          <w:p w14:paraId="0A032F07" w14:textId="77777777" w:rsidR="00D274E6" w:rsidRDefault="00D274E6" w:rsidP="00D274E6">
            <w:pPr>
              <w:overflowPunct w:val="0"/>
              <w:autoSpaceDE w:val="0"/>
              <w:autoSpaceDN w:val="0"/>
              <w:adjustRightInd w:val="0"/>
              <w:spacing w:after="120" w:line="300" w:lineRule="auto"/>
              <w:textAlignment w:val="baseline"/>
              <w:rPr>
                <w:rFonts w:cs="Arial"/>
                <w:bCs/>
                <w:iCs/>
                <w:szCs w:val="18"/>
              </w:rPr>
            </w:pPr>
            <w:r>
              <w:t xml:space="preserve">“For </w:t>
            </w:r>
            <w:r w:rsidRPr="002F67CC">
              <w:rPr>
                <w:i/>
              </w:rPr>
              <w:t>scheme1</w:t>
            </w:r>
            <w:r>
              <w:t xml:space="preserve">, the </w:t>
            </w:r>
            <w:r w:rsidRPr="009C10EB">
              <w:rPr>
                <w:bCs/>
                <w:iCs/>
              </w:rPr>
              <w:t xml:space="preserve">band indicated as ‘referenceBand’ can be </w:t>
            </w:r>
            <w:r w:rsidRPr="00B07496">
              <w:rPr>
                <w:rFonts w:cs="Arial"/>
                <w:bCs/>
                <w:iCs/>
                <w:szCs w:val="18"/>
              </w:rPr>
              <w:t xml:space="preserve">configured as the reference band for all other band(s) indicated as </w:t>
            </w:r>
            <w:r>
              <w:rPr>
                <w:rFonts w:cs="Arial"/>
                <w:bCs/>
                <w:iCs/>
                <w:szCs w:val="18"/>
              </w:rPr>
              <w:t>‘</w:t>
            </w:r>
            <w:r w:rsidRPr="00B07496">
              <w:rPr>
                <w:rFonts w:cs="Arial"/>
                <w:bCs/>
                <w:iCs/>
                <w:szCs w:val="18"/>
              </w:rPr>
              <w:t>scellWithoutSSB</w:t>
            </w:r>
            <w:r>
              <w:rPr>
                <w:rFonts w:cs="Arial"/>
                <w:bCs/>
                <w:iCs/>
                <w:szCs w:val="18"/>
              </w:rPr>
              <w:t>’</w:t>
            </w:r>
            <w:r w:rsidRPr="00B07496">
              <w:rPr>
                <w:rFonts w:cs="Arial"/>
                <w:bCs/>
                <w:iCs/>
                <w:szCs w:val="18"/>
              </w:rPr>
              <w:t>.</w:t>
            </w:r>
            <w:r>
              <w:rPr>
                <w:rFonts w:cs="Arial"/>
                <w:bCs/>
                <w:iCs/>
                <w:szCs w:val="18"/>
              </w:rPr>
              <w:t xml:space="preserve"> </w:t>
            </w:r>
            <w:r w:rsidRPr="002F67CC">
              <w:rPr>
                <w:rFonts w:cs="Arial"/>
                <w:bCs/>
                <w:iCs/>
                <w:szCs w:val="18"/>
              </w:rPr>
              <w:t xml:space="preserve">The band indicated as ‘both’ can be configured as either </w:t>
            </w:r>
            <w:r w:rsidRPr="00B947C8">
              <w:rPr>
                <w:rFonts w:cs="Arial"/>
                <w:bCs/>
                <w:iCs/>
                <w:color w:val="FF0000"/>
                <w:szCs w:val="18"/>
              </w:rPr>
              <w:t>a</w:t>
            </w:r>
            <w:r w:rsidRPr="00B947C8">
              <w:rPr>
                <w:rFonts w:cs="Arial"/>
                <w:bCs/>
                <w:iCs/>
                <w:strike/>
                <w:color w:val="FF0000"/>
                <w:szCs w:val="18"/>
              </w:rPr>
              <w:t>the</w:t>
            </w:r>
            <w:r w:rsidRPr="002F67CC">
              <w:rPr>
                <w:rFonts w:cs="Arial"/>
                <w:bCs/>
                <w:iCs/>
                <w:szCs w:val="18"/>
              </w:rPr>
              <w:t xml:space="preserve"> reference band or </w:t>
            </w:r>
            <w:r>
              <w:rPr>
                <w:rFonts w:cs="Arial"/>
                <w:bCs/>
                <w:iCs/>
                <w:szCs w:val="18"/>
              </w:rPr>
              <w:t xml:space="preserve">an </w:t>
            </w:r>
            <w:r w:rsidRPr="002F67CC">
              <w:rPr>
                <w:rFonts w:cs="Arial"/>
                <w:bCs/>
                <w:iCs/>
                <w:szCs w:val="18"/>
              </w:rPr>
              <w:t>SSB-less band. If the UE indicates “both” for any band, the UE shall not indicate ‘referenceBand’ or ‘scellWithoutSSB’ in any other band in the band combination.</w:t>
            </w:r>
            <w:r>
              <w:rPr>
                <w:rFonts w:cs="Arial"/>
                <w:bCs/>
                <w:iCs/>
                <w:szCs w:val="18"/>
              </w:rPr>
              <w:t>”</w:t>
            </w:r>
          </w:p>
          <w:p w14:paraId="335CAEB6" w14:textId="149B0F84" w:rsidR="002F0EC7" w:rsidRDefault="002F0EC7" w:rsidP="00D274E6">
            <w:pPr>
              <w:overflowPunct w:val="0"/>
              <w:autoSpaceDE w:val="0"/>
              <w:autoSpaceDN w:val="0"/>
              <w:adjustRightInd w:val="0"/>
              <w:spacing w:after="120" w:line="300" w:lineRule="auto"/>
              <w:textAlignment w:val="baseline"/>
              <w:rPr>
                <w:rFonts w:eastAsia="DengXian"/>
              </w:rPr>
            </w:pPr>
            <w:r w:rsidRPr="002F0EC7">
              <w:rPr>
                <w:rFonts w:eastAsia="PMingLiU"/>
                <w:color w:val="0070C0"/>
                <w:lang w:eastAsia="zh-TW"/>
              </w:rPr>
              <w:t>[Rapp] Thanks</w:t>
            </w:r>
            <w:r>
              <w:rPr>
                <w:rFonts w:eastAsia="PMingLiU"/>
                <w:color w:val="0070C0"/>
                <w:lang w:eastAsia="zh-TW"/>
              </w:rPr>
              <w:t>, it is reasonable and adopted in draft_v01.</w:t>
            </w:r>
          </w:p>
        </w:tc>
      </w:tr>
      <w:tr w:rsidR="00145A59" w:rsidRPr="00071B22" w14:paraId="45C478E6" w14:textId="77777777" w:rsidTr="004B16A1">
        <w:tc>
          <w:tcPr>
            <w:tcW w:w="2245" w:type="dxa"/>
          </w:tcPr>
          <w:p w14:paraId="173D2C73" w14:textId="76132F94" w:rsidR="00145A59" w:rsidRDefault="00145A59" w:rsidP="00145A59">
            <w:pPr>
              <w:overflowPunct w:val="0"/>
              <w:autoSpaceDE w:val="0"/>
              <w:autoSpaceDN w:val="0"/>
              <w:adjustRightInd w:val="0"/>
              <w:spacing w:after="120" w:line="300" w:lineRule="auto"/>
              <w:textAlignment w:val="baseline"/>
              <w:rPr>
                <w:rFonts w:eastAsia="DengXian"/>
              </w:rPr>
            </w:pPr>
            <w:r>
              <w:rPr>
                <w:rFonts w:eastAsia="DengXian"/>
              </w:rPr>
              <w:lastRenderedPageBreak/>
              <w:t>Apple</w:t>
            </w:r>
          </w:p>
        </w:tc>
        <w:tc>
          <w:tcPr>
            <w:tcW w:w="2003" w:type="dxa"/>
          </w:tcPr>
          <w:p w14:paraId="20DEF42C" w14:textId="591538F3" w:rsidR="00145A59" w:rsidRDefault="00145A59" w:rsidP="00145A59">
            <w:pPr>
              <w:overflowPunct w:val="0"/>
              <w:autoSpaceDE w:val="0"/>
              <w:autoSpaceDN w:val="0"/>
              <w:adjustRightInd w:val="0"/>
              <w:spacing w:after="120" w:line="300" w:lineRule="auto"/>
              <w:textAlignment w:val="baseline"/>
              <w:rPr>
                <w:rFonts w:eastAsia="DengXian"/>
              </w:rPr>
            </w:pPr>
            <w:r>
              <w:rPr>
                <w:rFonts w:eastAsia="DengXian"/>
              </w:rPr>
              <w:t>Agree with comments</w:t>
            </w:r>
          </w:p>
        </w:tc>
        <w:tc>
          <w:tcPr>
            <w:tcW w:w="5522" w:type="dxa"/>
          </w:tcPr>
          <w:p w14:paraId="2449FEE6" w14:textId="1E36A99B" w:rsidR="00145A59" w:rsidRDefault="00145A59" w:rsidP="00145A59">
            <w:pPr>
              <w:overflowPunct w:val="0"/>
              <w:autoSpaceDE w:val="0"/>
              <w:autoSpaceDN w:val="0"/>
              <w:adjustRightInd w:val="0"/>
              <w:spacing w:after="120" w:line="300" w:lineRule="auto"/>
              <w:textAlignment w:val="baseline"/>
              <w:rPr>
                <w:lang w:eastAsia="ko-KR"/>
              </w:rPr>
            </w:pPr>
            <w:r>
              <w:rPr>
                <w:lang w:eastAsia="ko-KR"/>
              </w:rPr>
              <w:t>We agree with Ericsson’s suggestion. And on top of that, we think it is better to capture that scheme1 is for single group and scheme 2 is for multiple groups.</w:t>
            </w:r>
          </w:p>
        </w:tc>
      </w:tr>
    </w:tbl>
    <w:p w14:paraId="38A51AC6" w14:textId="6D1D8B56" w:rsidR="0024360C" w:rsidRPr="002A3898" w:rsidRDefault="0024360C" w:rsidP="009955C7">
      <w:pPr>
        <w:pStyle w:val="BodyText"/>
        <w:spacing w:before="120"/>
        <w:rPr>
          <w:rFonts w:eastAsiaTheme="minorEastAsia"/>
          <w:szCs w:val="20"/>
          <w:lang w:eastAsia="zh-CN"/>
        </w:rPr>
      </w:pPr>
      <w:r w:rsidRPr="002A3898">
        <w:rPr>
          <w:rFonts w:eastAsiaTheme="minorEastAsia"/>
          <w:szCs w:val="20"/>
          <w:lang w:eastAsia="zh-CN"/>
        </w:rPr>
        <w:t>As for the enumerated value</w:t>
      </w:r>
      <w:r w:rsidR="00285D0F">
        <w:rPr>
          <w:rFonts w:eastAsiaTheme="minorEastAsia"/>
          <w:szCs w:val="20"/>
          <w:lang w:eastAsia="zh-CN"/>
        </w:rPr>
        <w:t>s</w:t>
      </w:r>
      <w:r w:rsidRPr="002A3898">
        <w:rPr>
          <w:rFonts w:eastAsiaTheme="minorEastAsia"/>
          <w:szCs w:val="20"/>
          <w:lang w:eastAsia="zh-CN"/>
        </w:rPr>
        <w:t xml:space="preserve"> of </w:t>
      </w:r>
      <w:r w:rsidR="0065313B">
        <w:rPr>
          <w:rFonts w:eastAsiaTheme="minorEastAsia"/>
          <w:szCs w:val="20"/>
          <w:lang w:eastAsia="zh-CN"/>
        </w:rPr>
        <w:t>‘</w:t>
      </w:r>
      <w:r w:rsidRPr="002A3898">
        <w:rPr>
          <w:rFonts w:eastAsiaTheme="minorEastAsia"/>
          <w:szCs w:val="20"/>
          <w:lang w:eastAsia="zh-CN"/>
        </w:rPr>
        <w:t>scheme1</w:t>
      </w:r>
      <w:r w:rsidR="0065313B">
        <w:rPr>
          <w:rFonts w:eastAsiaTheme="minorEastAsia"/>
          <w:szCs w:val="20"/>
          <w:lang w:eastAsia="zh-CN"/>
        </w:rPr>
        <w:t>’</w:t>
      </w:r>
      <w:r w:rsidRPr="002A3898">
        <w:rPr>
          <w:rFonts w:eastAsiaTheme="minorEastAsia"/>
          <w:szCs w:val="20"/>
          <w:lang w:eastAsia="zh-CN"/>
        </w:rPr>
        <w:t xml:space="preserve"> and </w:t>
      </w:r>
      <w:r w:rsidR="0065313B">
        <w:rPr>
          <w:rFonts w:eastAsiaTheme="minorEastAsia"/>
          <w:szCs w:val="20"/>
          <w:lang w:eastAsia="zh-CN"/>
        </w:rPr>
        <w:t>‘</w:t>
      </w:r>
      <w:r w:rsidRPr="002A3898">
        <w:rPr>
          <w:rFonts w:eastAsiaTheme="minorEastAsia"/>
          <w:szCs w:val="20"/>
          <w:lang w:eastAsia="zh-CN"/>
        </w:rPr>
        <w:t>scheme2</w:t>
      </w:r>
      <w:r w:rsidR="0065313B">
        <w:rPr>
          <w:rFonts w:eastAsiaTheme="minorEastAsia"/>
          <w:szCs w:val="20"/>
          <w:lang w:eastAsia="zh-CN"/>
        </w:rPr>
        <w:t>’</w:t>
      </w:r>
      <w:r w:rsidRPr="002A3898">
        <w:rPr>
          <w:rFonts w:eastAsiaTheme="minorEastAsia"/>
          <w:szCs w:val="20"/>
          <w:lang w:eastAsia="zh-CN"/>
        </w:rPr>
        <w:t xml:space="preserve">, </w:t>
      </w:r>
      <w:r w:rsidR="002A3898" w:rsidRPr="002A3898">
        <w:rPr>
          <w:rFonts w:eastAsiaTheme="minorEastAsia"/>
          <w:szCs w:val="20"/>
          <w:lang w:eastAsia="zh-CN"/>
        </w:rPr>
        <w:t>rapporteur proposes as follows according to the agreements for single inter-band SSB-less group, compromise solution for support of multiple inter-band SSB-less groups</w:t>
      </w:r>
      <w:r w:rsidR="0065313B">
        <w:rPr>
          <w:rFonts w:eastAsiaTheme="minorEastAsia"/>
          <w:szCs w:val="20"/>
          <w:lang w:eastAsia="zh-CN"/>
        </w:rPr>
        <w:t xml:space="preserve"> at CB session</w:t>
      </w:r>
      <w:r w:rsidR="002A3898" w:rsidRPr="002A3898">
        <w:rPr>
          <w:rFonts w:eastAsiaTheme="minorEastAsia"/>
          <w:szCs w:val="20"/>
          <w:lang w:eastAsia="zh-CN"/>
        </w:rPr>
        <w:t xml:space="preserve">, and companies understanding </w:t>
      </w:r>
      <w:r w:rsidR="0065313B">
        <w:rPr>
          <w:rFonts w:eastAsiaTheme="minorEastAsia"/>
          <w:szCs w:val="20"/>
          <w:lang w:eastAsia="zh-CN"/>
        </w:rPr>
        <w:t>on how</w:t>
      </w:r>
      <w:r w:rsidR="002A3898" w:rsidRPr="002A3898">
        <w:rPr>
          <w:rFonts w:eastAsiaTheme="minorEastAsia"/>
          <w:szCs w:val="20"/>
          <w:lang w:eastAsia="zh-CN"/>
        </w:rPr>
        <w:t xml:space="preserve"> the </w:t>
      </w:r>
      <w:r w:rsidR="0065313B" w:rsidRPr="002A3898">
        <w:rPr>
          <w:rFonts w:eastAsiaTheme="minorEastAsia"/>
          <w:szCs w:val="20"/>
          <w:lang w:eastAsia="zh-CN"/>
        </w:rPr>
        <w:t xml:space="preserve">enumerated </w:t>
      </w:r>
      <w:r w:rsidR="0065313B">
        <w:rPr>
          <w:rFonts w:eastAsiaTheme="minorEastAsia"/>
          <w:szCs w:val="20"/>
          <w:lang w:eastAsia="zh-CN"/>
        </w:rPr>
        <w:t>values are used</w:t>
      </w:r>
      <w:r w:rsidR="002A3898" w:rsidRPr="002A3898">
        <w:rPr>
          <w:rFonts w:eastAsiaTheme="minorEastAsia"/>
          <w:szCs w:val="20"/>
          <w:lang w:eastAsia="zh-CN"/>
        </w:rPr>
        <w:t>:</w:t>
      </w:r>
    </w:p>
    <w:p w14:paraId="19958376" w14:textId="3DBED3AD" w:rsidR="002A3898" w:rsidRDefault="002A3898" w:rsidP="009955C7">
      <w:pPr>
        <w:pStyle w:val="BodyText"/>
        <w:numPr>
          <w:ilvl w:val="0"/>
          <w:numId w:val="26"/>
        </w:numPr>
        <w:spacing w:before="120"/>
        <w:rPr>
          <w:rFonts w:eastAsiaTheme="minorEastAsia"/>
          <w:szCs w:val="20"/>
          <w:lang w:eastAsia="zh-CN"/>
        </w:rPr>
      </w:pPr>
      <w:r>
        <w:rPr>
          <w:rFonts w:eastAsiaTheme="minorEastAsia"/>
          <w:szCs w:val="20"/>
          <w:lang w:eastAsia="zh-CN"/>
        </w:rPr>
        <w:t>For ‘scheme1’, the Enumerated values include {</w:t>
      </w:r>
      <w:r w:rsidRPr="0065313B">
        <w:rPr>
          <w:rFonts w:eastAsiaTheme="minorEastAsia"/>
          <w:b/>
          <w:szCs w:val="20"/>
          <w:lang w:eastAsia="zh-CN"/>
        </w:rPr>
        <w:t>referenceBand, scellWithoutSSB, both</w:t>
      </w:r>
      <w:r>
        <w:rPr>
          <w:rFonts w:eastAsiaTheme="minorEastAsia"/>
          <w:szCs w:val="20"/>
          <w:lang w:eastAsia="zh-CN"/>
        </w:rPr>
        <w:t>}</w:t>
      </w:r>
      <w:r w:rsidR="00EF7D0A">
        <w:rPr>
          <w:rFonts w:eastAsiaTheme="minorEastAsia"/>
          <w:szCs w:val="20"/>
          <w:lang w:eastAsia="zh-CN"/>
        </w:rPr>
        <w:t>.</w:t>
      </w:r>
      <w:r>
        <w:rPr>
          <w:rFonts w:eastAsiaTheme="minorEastAsia"/>
          <w:szCs w:val="20"/>
          <w:lang w:eastAsia="zh-CN"/>
        </w:rPr>
        <w:t xml:space="preserve"> </w:t>
      </w:r>
      <w:r w:rsidR="00EF7D0A">
        <w:rPr>
          <w:rFonts w:eastAsiaTheme="minorEastAsia"/>
          <w:szCs w:val="20"/>
          <w:lang w:eastAsia="zh-CN"/>
        </w:rPr>
        <w:t>T</w:t>
      </w:r>
      <w:r>
        <w:rPr>
          <w:rFonts w:eastAsiaTheme="minorEastAsia"/>
          <w:szCs w:val="20"/>
          <w:lang w:eastAsia="zh-CN"/>
        </w:rPr>
        <w:t>he value</w:t>
      </w:r>
      <w:r w:rsidR="00EF7D0A">
        <w:rPr>
          <w:rFonts w:eastAsiaTheme="minorEastAsia"/>
          <w:szCs w:val="20"/>
          <w:lang w:eastAsia="zh-CN"/>
        </w:rPr>
        <w:t>s</w:t>
      </w:r>
      <w:r>
        <w:rPr>
          <w:rFonts w:eastAsiaTheme="minorEastAsia"/>
          <w:szCs w:val="20"/>
          <w:lang w:eastAsia="zh-CN"/>
        </w:rPr>
        <w:t xml:space="preserve"> </w:t>
      </w:r>
      <w:r w:rsidRPr="0065313B">
        <w:rPr>
          <w:rFonts w:eastAsiaTheme="minorEastAsia"/>
          <w:b/>
          <w:szCs w:val="20"/>
          <w:lang w:eastAsia="zh-CN"/>
        </w:rPr>
        <w:t>‘referenceBand’</w:t>
      </w:r>
      <w:r>
        <w:rPr>
          <w:rFonts w:eastAsiaTheme="minorEastAsia"/>
          <w:szCs w:val="20"/>
          <w:lang w:eastAsia="zh-CN"/>
        </w:rPr>
        <w:t xml:space="preserve"> and </w:t>
      </w:r>
      <w:r w:rsidRPr="0065313B">
        <w:rPr>
          <w:rFonts w:eastAsiaTheme="minorEastAsia"/>
          <w:b/>
          <w:szCs w:val="20"/>
          <w:lang w:eastAsia="zh-CN"/>
        </w:rPr>
        <w:t>‘scellWithoutSSB’</w:t>
      </w:r>
      <w:r>
        <w:rPr>
          <w:rFonts w:eastAsiaTheme="minorEastAsia"/>
          <w:szCs w:val="20"/>
          <w:lang w:eastAsia="zh-CN"/>
        </w:rPr>
        <w:t xml:space="preserve"> are used for case1</w:t>
      </w:r>
      <w:r w:rsidR="00EF7D0A">
        <w:rPr>
          <w:rFonts w:eastAsiaTheme="minorEastAsia"/>
          <w:szCs w:val="20"/>
          <w:lang w:eastAsia="zh-CN"/>
        </w:rPr>
        <w:t>.</w:t>
      </w:r>
      <w:r>
        <w:rPr>
          <w:rFonts w:eastAsiaTheme="minorEastAsia"/>
          <w:szCs w:val="20"/>
          <w:lang w:eastAsia="zh-CN"/>
        </w:rPr>
        <w:t xml:space="preserve"> </w:t>
      </w:r>
      <w:r w:rsidRPr="0065313B">
        <w:rPr>
          <w:rFonts w:eastAsiaTheme="minorEastAsia"/>
          <w:b/>
          <w:szCs w:val="20"/>
          <w:lang w:eastAsia="zh-CN"/>
        </w:rPr>
        <w:t>‘both’</w:t>
      </w:r>
      <w:r>
        <w:rPr>
          <w:rFonts w:eastAsiaTheme="minorEastAsia"/>
          <w:szCs w:val="20"/>
          <w:lang w:eastAsia="zh-CN"/>
        </w:rPr>
        <w:t xml:space="preserve"> is used for case2</w:t>
      </w:r>
      <w:r w:rsidR="0065313B">
        <w:rPr>
          <w:rFonts w:eastAsiaTheme="minorEastAsia"/>
          <w:szCs w:val="20"/>
          <w:lang w:eastAsia="zh-CN"/>
        </w:rPr>
        <w:t xml:space="preserve"> as an optimization of reporting with ‘referenceBand’ and ‘</w:t>
      </w:r>
      <w:r w:rsidR="0065313B" w:rsidRPr="002A3898">
        <w:rPr>
          <w:rFonts w:eastAsiaTheme="minorEastAsia"/>
          <w:szCs w:val="20"/>
          <w:lang w:eastAsia="zh-CN"/>
        </w:rPr>
        <w:t>scellWithoutSSB</w:t>
      </w:r>
      <w:r w:rsidR="0065313B">
        <w:rPr>
          <w:rFonts w:eastAsiaTheme="minorEastAsia"/>
          <w:szCs w:val="20"/>
          <w:lang w:eastAsia="zh-CN"/>
        </w:rPr>
        <w:t>’</w:t>
      </w:r>
      <w:r w:rsidR="00EF7D0A">
        <w:rPr>
          <w:rFonts w:eastAsiaTheme="minorEastAsia"/>
          <w:szCs w:val="20"/>
          <w:lang w:eastAsia="zh-CN"/>
        </w:rPr>
        <w:t xml:space="preserve">. </w:t>
      </w:r>
      <w:r w:rsidR="009955C7">
        <w:rPr>
          <w:rFonts w:eastAsiaTheme="minorEastAsia"/>
          <w:szCs w:val="20"/>
          <w:lang w:eastAsia="zh-CN"/>
        </w:rPr>
        <w:t>O</w:t>
      </w:r>
      <w:r w:rsidR="0065313B">
        <w:rPr>
          <w:rFonts w:eastAsiaTheme="minorEastAsia"/>
          <w:szCs w:val="20"/>
          <w:lang w:eastAsia="zh-CN"/>
        </w:rPr>
        <w:t xml:space="preserve">therwise, the UE needs to report 3 entries </w:t>
      </w:r>
      <w:r w:rsidR="00285D0F">
        <w:rPr>
          <w:rFonts w:eastAsiaTheme="minorEastAsia"/>
          <w:szCs w:val="20"/>
          <w:lang w:eastAsia="zh-CN"/>
        </w:rPr>
        <w:t xml:space="preserve">with </w:t>
      </w:r>
      <w:r w:rsidR="00285D0F" w:rsidRPr="0065313B">
        <w:rPr>
          <w:rFonts w:eastAsiaTheme="minorEastAsia"/>
          <w:b/>
          <w:szCs w:val="20"/>
          <w:lang w:eastAsia="zh-CN"/>
        </w:rPr>
        <w:t>‘referenceBand’</w:t>
      </w:r>
      <w:r w:rsidR="00285D0F">
        <w:rPr>
          <w:rFonts w:eastAsiaTheme="minorEastAsia"/>
          <w:szCs w:val="20"/>
          <w:lang w:eastAsia="zh-CN"/>
        </w:rPr>
        <w:t xml:space="preserve"> and </w:t>
      </w:r>
      <w:r w:rsidR="00285D0F" w:rsidRPr="0065313B">
        <w:rPr>
          <w:rFonts w:eastAsiaTheme="minorEastAsia"/>
          <w:b/>
          <w:szCs w:val="20"/>
          <w:lang w:eastAsia="zh-CN"/>
        </w:rPr>
        <w:t>‘scellWithoutSSB’</w:t>
      </w:r>
      <w:r w:rsidR="00285D0F">
        <w:rPr>
          <w:rFonts w:eastAsiaTheme="minorEastAsia"/>
          <w:szCs w:val="20"/>
          <w:lang w:eastAsia="zh-CN"/>
        </w:rPr>
        <w:t xml:space="preserve"> </w:t>
      </w:r>
      <w:r w:rsidR="0065313B">
        <w:rPr>
          <w:rFonts w:eastAsiaTheme="minorEastAsia"/>
          <w:szCs w:val="20"/>
          <w:lang w:eastAsia="zh-CN"/>
        </w:rPr>
        <w:t xml:space="preserve">as explained in [2] for case2, which </w:t>
      </w:r>
      <w:r w:rsidR="00863EDA">
        <w:rPr>
          <w:rFonts w:eastAsiaTheme="minorEastAsia"/>
          <w:szCs w:val="20"/>
          <w:lang w:eastAsia="zh-CN"/>
        </w:rPr>
        <w:t>may</w:t>
      </w:r>
      <w:r w:rsidR="0065313B">
        <w:rPr>
          <w:rFonts w:eastAsiaTheme="minorEastAsia"/>
          <w:szCs w:val="20"/>
          <w:lang w:eastAsia="zh-CN"/>
        </w:rPr>
        <w:t xml:space="preserve"> cause severe signalling overhead considering there are some other features </w:t>
      </w:r>
      <w:r w:rsidR="00863EDA">
        <w:rPr>
          <w:rFonts w:eastAsiaTheme="minorEastAsia"/>
          <w:szCs w:val="20"/>
          <w:lang w:eastAsia="zh-CN"/>
        </w:rPr>
        <w:t xml:space="preserve">that </w:t>
      </w:r>
      <w:r w:rsidR="0065313B">
        <w:rPr>
          <w:rFonts w:eastAsiaTheme="minorEastAsia"/>
          <w:szCs w:val="20"/>
          <w:lang w:eastAsia="zh-CN"/>
        </w:rPr>
        <w:t>also require the UE to report multiple UE capabilities entries, e.g. MIMO-related UE capabilities</w:t>
      </w:r>
      <w:r>
        <w:rPr>
          <w:rFonts w:eastAsiaTheme="minorEastAsia"/>
          <w:szCs w:val="20"/>
          <w:lang w:eastAsia="zh-CN"/>
        </w:rPr>
        <w:t>:</w:t>
      </w:r>
    </w:p>
    <w:p w14:paraId="0A364631" w14:textId="77777777" w:rsidR="002A3898" w:rsidRPr="002A3898" w:rsidRDefault="002A3898" w:rsidP="009955C7">
      <w:pPr>
        <w:pStyle w:val="BodyText"/>
        <w:numPr>
          <w:ilvl w:val="0"/>
          <w:numId w:val="27"/>
        </w:numPr>
        <w:spacing w:before="120"/>
        <w:rPr>
          <w:rFonts w:eastAsiaTheme="minorEastAsia"/>
          <w:szCs w:val="20"/>
          <w:lang w:eastAsia="zh-CN"/>
        </w:rPr>
      </w:pPr>
      <w:r w:rsidRPr="002A3898">
        <w:rPr>
          <w:rFonts w:eastAsiaTheme="minorEastAsia"/>
          <w:szCs w:val="20"/>
          <w:lang w:eastAsia="zh-CN"/>
        </w:rPr>
        <w:t xml:space="preserve">case 1: </w:t>
      </w:r>
      <w:r w:rsidRPr="002A3898">
        <w:rPr>
          <w:rFonts w:eastAsiaTheme="minorEastAsia"/>
          <w:b/>
          <w:szCs w:val="20"/>
          <w:lang w:eastAsia="zh-CN"/>
        </w:rPr>
        <w:t>A</w:t>
      </w:r>
      <w:r w:rsidRPr="002A3898">
        <w:rPr>
          <w:rFonts w:eastAsiaTheme="minorEastAsia"/>
          <w:szCs w:val="20"/>
          <w:lang w:eastAsia="zh-CN"/>
        </w:rPr>
        <w:t xml:space="preserve"> can be the reference band of </w:t>
      </w:r>
      <w:r w:rsidRPr="002A3898">
        <w:rPr>
          <w:rFonts w:eastAsiaTheme="minorEastAsia"/>
          <w:b/>
          <w:szCs w:val="20"/>
          <w:lang w:eastAsia="zh-CN"/>
        </w:rPr>
        <w:t>B</w:t>
      </w:r>
      <w:r w:rsidRPr="002A3898">
        <w:rPr>
          <w:rFonts w:eastAsiaTheme="minorEastAsia"/>
          <w:szCs w:val="20"/>
          <w:lang w:eastAsia="zh-CN"/>
        </w:rPr>
        <w:t xml:space="preserve"> and </w:t>
      </w:r>
      <w:r w:rsidRPr="002A3898">
        <w:rPr>
          <w:rFonts w:eastAsiaTheme="minorEastAsia"/>
          <w:b/>
          <w:szCs w:val="20"/>
          <w:lang w:eastAsia="zh-CN"/>
        </w:rPr>
        <w:t>C</w:t>
      </w:r>
      <w:r w:rsidRPr="002A3898">
        <w:rPr>
          <w:rFonts w:eastAsiaTheme="minorEastAsia"/>
          <w:szCs w:val="20"/>
          <w:lang w:eastAsia="zh-CN"/>
        </w:rPr>
        <w:t xml:space="preserve">, but </w:t>
      </w:r>
      <w:r w:rsidRPr="002A3898">
        <w:rPr>
          <w:rFonts w:eastAsiaTheme="minorEastAsia"/>
          <w:b/>
          <w:szCs w:val="20"/>
          <w:lang w:eastAsia="zh-CN"/>
        </w:rPr>
        <w:t>B</w:t>
      </w:r>
      <w:r w:rsidRPr="002A3898">
        <w:rPr>
          <w:rFonts w:eastAsiaTheme="minorEastAsia"/>
          <w:szCs w:val="20"/>
          <w:lang w:eastAsia="zh-CN"/>
        </w:rPr>
        <w:t xml:space="preserve"> cannot be the reference band of </w:t>
      </w:r>
      <w:r w:rsidRPr="002A3898">
        <w:rPr>
          <w:rFonts w:eastAsiaTheme="minorEastAsia"/>
          <w:b/>
          <w:szCs w:val="20"/>
          <w:lang w:eastAsia="zh-CN"/>
        </w:rPr>
        <w:t>C</w:t>
      </w:r>
      <w:r w:rsidRPr="002A3898">
        <w:rPr>
          <w:rFonts w:eastAsiaTheme="minorEastAsia"/>
          <w:szCs w:val="20"/>
          <w:lang w:eastAsia="zh-CN"/>
        </w:rPr>
        <w:t xml:space="preserve"> and vice versa.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13145AF4" w14:textId="50DA50A2" w:rsidR="0065313B" w:rsidRPr="0065313B" w:rsidRDefault="002A3898" w:rsidP="009955C7">
      <w:pPr>
        <w:pStyle w:val="BodyText"/>
        <w:numPr>
          <w:ilvl w:val="0"/>
          <w:numId w:val="27"/>
        </w:numPr>
        <w:spacing w:before="120"/>
        <w:rPr>
          <w:rFonts w:eastAsiaTheme="minorEastAsia"/>
          <w:szCs w:val="20"/>
          <w:lang w:eastAsia="zh-CN"/>
        </w:rPr>
      </w:pPr>
      <w:r w:rsidRPr="002A3898">
        <w:rPr>
          <w:rFonts w:eastAsiaTheme="minorEastAsia"/>
          <w:szCs w:val="20"/>
          <w:lang w:eastAsia="zh-CN"/>
        </w:rPr>
        <w:t xml:space="preserve">case 2: for </w:t>
      </w:r>
      <w:r w:rsidRPr="002A3898">
        <w:rPr>
          <w:rFonts w:eastAsiaTheme="minorEastAsia"/>
          <w:b/>
          <w:szCs w:val="20"/>
          <w:lang w:eastAsia="zh-CN"/>
        </w:rPr>
        <w:t>A+B+C</w:t>
      </w:r>
      <w:r w:rsidRPr="002A3898">
        <w:rPr>
          <w:rFonts w:eastAsiaTheme="minorEastAsia"/>
          <w:szCs w:val="20"/>
          <w:lang w:eastAsia="zh-CN"/>
        </w:rPr>
        <w:t>, either band can be the reference band of the other two bands, i.e. the operation within {</w:t>
      </w:r>
      <w:r w:rsidRPr="002A3898">
        <w:rPr>
          <w:rFonts w:eastAsiaTheme="minorEastAsia"/>
          <w:b/>
          <w:szCs w:val="20"/>
          <w:lang w:eastAsia="zh-CN"/>
        </w:rPr>
        <w:t>A, B, C</w:t>
      </w:r>
      <w:r w:rsidRPr="002A3898">
        <w:rPr>
          <w:rFonts w:eastAsiaTheme="minorEastAsia"/>
          <w:szCs w:val="20"/>
          <w:lang w:eastAsia="zh-CN"/>
        </w:rPr>
        <w:t xml:space="preserve">} is fully interchangable.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2EFC0EDC" w14:textId="49B6F9AA" w:rsidR="00FD5641" w:rsidRDefault="002A3898" w:rsidP="009955C7">
      <w:pPr>
        <w:pStyle w:val="BodyText"/>
        <w:numPr>
          <w:ilvl w:val="0"/>
          <w:numId w:val="26"/>
        </w:numPr>
        <w:spacing w:before="120"/>
        <w:rPr>
          <w:rFonts w:eastAsiaTheme="minorEastAsia"/>
          <w:szCs w:val="20"/>
          <w:lang w:eastAsia="zh-CN"/>
        </w:rPr>
      </w:pPr>
      <w:r>
        <w:rPr>
          <w:rFonts w:eastAsiaTheme="minorEastAsia"/>
          <w:szCs w:val="20"/>
          <w:lang w:eastAsia="zh-CN"/>
        </w:rPr>
        <w:t>For ‘scheme2’, the Enumerated values include {</w:t>
      </w:r>
      <w:r w:rsidRPr="0065313B">
        <w:rPr>
          <w:rFonts w:eastAsiaTheme="minorEastAsia"/>
          <w:b/>
          <w:szCs w:val="20"/>
          <w:lang w:eastAsia="zh-CN"/>
        </w:rPr>
        <w:t>referenceBand1, scellWithoutSSB1, referenceBand2, scellWithoutSSB2</w:t>
      </w:r>
      <w:r>
        <w:rPr>
          <w:rFonts w:eastAsiaTheme="minorEastAsia"/>
          <w:szCs w:val="20"/>
          <w:lang w:eastAsia="zh-CN"/>
        </w:rPr>
        <w:t>},</w:t>
      </w:r>
      <w:r w:rsidR="0065313B">
        <w:rPr>
          <w:rFonts w:eastAsiaTheme="minorEastAsia"/>
          <w:szCs w:val="20"/>
          <w:lang w:eastAsia="zh-CN"/>
        </w:rPr>
        <w:t xml:space="preserve"> where </w:t>
      </w:r>
      <w:r w:rsidR="0065313B" w:rsidRPr="0065313B">
        <w:rPr>
          <w:rFonts w:eastAsiaTheme="minorEastAsia"/>
          <w:b/>
          <w:szCs w:val="20"/>
          <w:lang w:eastAsia="zh-CN"/>
        </w:rPr>
        <w:t>‘referenceBand1’</w:t>
      </w:r>
      <w:r w:rsidR="0065313B">
        <w:rPr>
          <w:rFonts w:eastAsiaTheme="minorEastAsia"/>
          <w:szCs w:val="20"/>
          <w:lang w:eastAsia="zh-CN"/>
        </w:rPr>
        <w:t xml:space="preserve">, </w:t>
      </w:r>
      <w:r w:rsidR="0065313B" w:rsidRPr="0065313B">
        <w:rPr>
          <w:rFonts w:eastAsiaTheme="minorEastAsia"/>
          <w:b/>
          <w:szCs w:val="20"/>
          <w:lang w:eastAsia="zh-CN"/>
        </w:rPr>
        <w:t>‘scellWithoutSSB1’</w:t>
      </w:r>
      <w:r w:rsidR="0065313B">
        <w:rPr>
          <w:rFonts w:eastAsiaTheme="minorEastAsia"/>
          <w:szCs w:val="20"/>
          <w:lang w:eastAsia="zh-CN"/>
        </w:rPr>
        <w:t xml:space="preserve"> are used for the first inter-band SSB-less group, and </w:t>
      </w:r>
      <w:r w:rsidR="0065313B" w:rsidRPr="0065313B">
        <w:rPr>
          <w:rFonts w:eastAsiaTheme="minorEastAsia"/>
          <w:b/>
          <w:szCs w:val="20"/>
          <w:lang w:eastAsia="zh-CN"/>
        </w:rPr>
        <w:t>‘referenceBand2’</w:t>
      </w:r>
      <w:r w:rsidR="0065313B">
        <w:rPr>
          <w:rFonts w:eastAsiaTheme="minorEastAsia"/>
          <w:szCs w:val="20"/>
          <w:lang w:eastAsia="zh-CN"/>
        </w:rPr>
        <w:t xml:space="preserve">, </w:t>
      </w:r>
      <w:r w:rsidR="0065313B" w:rsidRPr="0065313B">
        <w:rPr>
          <w:rFonts w:eastAsiaTheme="minorEastAsia"/>
          <w:b/>
          <w:szCs w:val="20"/>
          <w:lang w:eastAsia="zh-CN"/>
        </w:rPr>
        <w:t>‘scellWithoutSSB2’</w:t>
      </w:r>
      <w:r w:rsidR="0065313B">
        <w:rPr>
          <w:rFonts w:eastAsiaTheme="minorEastAsia"/>
          <w:szCs w:val="20"/>
          <w:lang w:eastAsia="zh-CN"/>
        </w:rPr>
        <w:t xml:space="preserve"> are used for the second inter-band SSB-less group. </w:t>
      </w:r>
    </w:p>
    <w:p w14:paraId="0B94CFDE" w14:textId="2C133D67" w:rsidR="00FD5641" w:rsidRDefault="00FD5641" w:rsidP="00FD5641">
      <w:pPr>
        <w:pStyle w:val="BodyText"/>
        <w:spacing w:before="120"/>
        <w:rPr>
          <w:rFonts w:eastAsiaTheme="minorEastAsia"/>
          <w:szCs w:val="20"/>
          <w:lang w:eastAsia="zh-CN"/>
        </w:rPr>
      </w:pPr>
      <w:r>
        <w:rPr>
          <w:rFonts w:eastAsiaTheme="minorEastAsia"/>
          <w:szCs w:val="20"/>
          <w:lang w:eastAsia="zh-CN"/>
        </w:rPr>
        <w:t>Detailed usage of the values can be referred to the field description as drafted in v00.</w:t>
      </w:r>
    </w:p>
    <w:p w14:paraId="2E6F067D" w14:textId="000B6F58" w:rsidR="0065313B" w:rsidRPr="00071B22" w:rsidRDefault="0065313B" w:rsidP="009955C7">
      <w:pPr>
        <w:spacing w:before="120" w:after="120"/>
        <w:rPr>
          <w:rFonts w:cs="Times New Roman"/>
          <w:b/>
        </w:rPr>
      </w:pPr>
      <w:r w:rsidRPr="00071B22">
        <w:rPr>
          <w:rFonts w:cs="Times New Roman"/>
          <w:b/>
        </w:rPr>
        <w:t>Q</w:t>
      </w:r>
      <w:r>
        <w:rPr>
          <w:rFonts w:cs="Times New Roman"/>
          <w:b/>
        </w:rPr>
        <w:t>2</w:t>
      </w:r>
      <w:r w:rsidR="00285D0F">
        <w:rPr>
          <w:rFonts w:cs="Times New Roman"/>
          <w:b/>
        </w:rPr>
        <w:t>-1</w:t>
      </w:r>
      <w:r w:rsidRPr="00071B22">
        <w:rPr>
          <w:rFonts w:cs="Times New Roman"/>
          <w:b/>
        </w:rPr>
        <w:t xml:space="preserve">: </w:t>
      </w:r>
      <w:r>
        <w:rPr>
          <w:rFonts w:cs="Times New Roman"/>
          <w:b/>
        </w:rPr>
        <w:t>Do you agree with the enumerated values for ‘scheme1’ and ‘scheme2’ as proposed above?</w:t>
      </w:r>
    </w:p>
    <w:tbl>
      <w:tblPr>
        <w:tblStyle w:val="TableGrid"/>
        <w:tblW w:w="9770" w:type="dxa"/>
        <w:tblLook w:val="04A0" w:firstRow="1" w:lastRow="0" w:firstColumn="1" w:lastColumn="0" w:noHBand="0" w:noVBand="1"/>
      </w:tblPr>
      <w:tblGrid>
        <w:gridCol w:w="2245"/>
        <w:gridCol w:w="2003"/>
        <w:gridCol w:w="5522"/>
      </w:tblGrid>
      <w:tr w:rsidR="0065313B" w:rsidRPr="00071B22" w14:paraId="224B880E" w14:textId="77777777" w:rsidTr="004B16A1">
        <w:tc>
          <w:tcPr>
            <w:tcW w:w="2245" w:type="dxa"/>
          </w:tcPr>
          <w:p w14:paraId="7458BBFA"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0B306C78"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5BBDFACE"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65313B" w:rsidRPr="00071B22" w14:paraId="00EEAF07" w14:textId="77777777" w:rsidTr="004B16A1">
        <w:tc>
          <w:tcPr>
            <w:tcW w:w="2245" w:type="dxa"/>
          </w:tcPr>
          <w:p w14:paraId="46AF450C" w14:textId="075658B2" w:rsidR="0065313B" w:rsidRPr="00071B22" w:rsidRDefault="00BF0555" w:rsidP="004B16A1">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4CF8AD88" w14:textId="3B6D3A03" w:rsidR="0065313B" w:rsidRPr="00071B22" w:rsidRDefault="00BF0555"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2B0ECEC0" w14:textId="77777777" w:rsidR="0065313B" w:rsidRDefault="00717A50" w:rsidP="004B16A1">
            <w:pPr>
              <w:overflowPunct w:val="0"/>
              <w:autoSpaceDE w:val="0"/>
              <w:autoSpaceDN w:val="0"/>
              <w:adjustRightInd w:val="0"/>
              <w:spacing w:after="120" w:line="300" w:lineRule="auto"/>
              <w:textAlignment w:val="baseline"/>
              <w:rPr>
                <w:lang w:eastAsia="ko-KR"/>
              </w:rPr>
            </w:pPr>
            <w:r>
              <w:rPr>
                <w:lang w:eastAsia="ko-KR"/>
              </w:rPr>
              <w:t xml:space="preserve">For scheme1, we think it’s simpler to only keep ENUMERATED {support} (for overhead reduction). We </w:t>
            </w:r>
            <w:r w:rsidR="00FD08A4">
              <w:rPr>
                <w:lang w:eastAsia="ko-KR"/>
              </w:rPr>
              <w:t>are also ok with</w:t>
            </w:r>
            <w:r>
              <w:rPr>
                <w:lang w:eastAsia="ko-KR"/>
              </w:rPr>
              <w:t xml:space="preserve"> the current signaling.</w:t>
            </w:r>
          </w:p>
          <w:p w14:paraId="7B2621E1" w14:textId="50935E54" w:rsidR="006F1638" w:rsidRPr="00071B22" w:rsidRDefault="006F1638" w:rsidP="004B16A1">
            <w:pPr>
              <w:overflowPunct w:val="0"/>
              <w:autoSpaceDE w:val="0"/>
              <w:autoSpaceDN w:val="0"/>
              <w:adjustRightInd w:val="0"/>
              <w:spacing w:after="120" w:line="300" w:lineRule="auto"/>
              <w:textAlignment w:val="baseline"/>
              <w:rPr>
                <w:lang w:eastAsia="ko-KR"/>
              </w:rPr>
            </w:pPr>
            <w:r w:rsidRPr="004274ED">
              <w:rPr>
                <w:color w:val="0070C0"/>
                <w:lang w:eastAsia="ko-KR"/>
              </w:rPr>
              <w:lastRenderedPageBreak/>
              <w:t xml:space="preserve">[Rapp] With only ‘support’, the UE is unable to report case 1 in </w:t>
            </w:r>
            <w:r w:rsidRPr="004274ED">
              <w:rPr>
                <w:i/>
                <w:color w:val="0070C0"/>
                <w:lang w:eastAsia="ko-KR"/>
              </w:rPr>
              <w:t>scheme1</w:t>
            </w:r>
            <w:r w:rsidRPr="004274ED">
              <w:rPr>
                <w:color w:val="0070C0"/>
                <w:lang w:eastAsia="ko-KR"/>
              </w:rPr>
              <w:t>.</w:t>
            </w:r>
            <w:r w:rsidR="00730ADF" w:rsidRPr="004274ED">
              <w:rPr>
                <w:color w:val="0070C0"/>
                <w:lang w:eastAsia="ko-KR"/>
              </w:rPr>
              <w:t xml:space="preserve"> That is the reason why we first reached the agreements for UE capabilities supporting only single inter-band SSB-less SCell group.</w:t>
            </w:r>
          </w:p>
        </w:tc>
      </w:tr>
      <w:tr w:rsidR="0065313B" w:rsidRPr="00071B22" w14:paraId="12B854AB" w14:textId="77777777" w:rsidTr="004B16A1">
        <w:tc>
          <w:tcPr>
            <w:tcW w:w="2245" w:type="dxa"/>
          </w:tcPr>
          <w:p w14:paraId="5FBD3D70" w14:textId="46AE26E2"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lastRenderedPageBreak/>
              <w:t>M</w:t>
            </w:r>
            <w:r>
              <w:rPr>
                <w:rFonts w:eastAsia="PMingLiU"/>
                <w:lang w:eastAsia="zh-TW"/>
              </w:rPr>
              <w:t>ediaTek</w:t>
            </w:r>
          </w:p>
        </w:tc>
        <w:tc>
          <w:tcPr>
            <w:tcW w:w="2003" w:type="dxa"/>
          </w:tcPr>
          <w:p w14:paraId="79EADDBB" w14:textId="71F1D279"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A</w:t>
            </w:r>
            <w:r>
              <w:rPr>
                <w:rFonts w:eastAsia="PMingLiU"/>
                <w:lang w:eastAsia="zh-TW"/>
              </w:rPr>
              <w:t>gree with comment</w:t>
            </w:r>
          </w:p>
        </w:tc>
        <w:tc>
          <w:tcPr>
            <w:tcW w:w="5522" w:type="dxa"/>
          </w:tcPr>
          <w:p w14:paraId="7090C988" w14:textId="77777777" w:rsid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T</w:t>
            </w:r>
            <w:r>
              <w:rPr>
                <w:rFonts w:eastAsia="PMingLiU"/>
                <w:lang w:eastAsia="zh-TW"/>
              </w:rPr>
              <w:t>hanks the rapporteur for the nice explanation!</w:t>
            </w:r>
            <w:r>
              <w:rPr>
                <w:rFonts w:eastAsia="PMingLiU" w:hint="eastAsia"/>
                <w:lang w:eastAsia="zh-TW"/>
              </w:rPr>
              <w:t xml:space="preserve"> </w:t>
            </w:r>
            <w:r>
              <w:rPr>
                <w:rFonts w:eastAsia="PMingLiU"/>
                <w:lang w:eastAsia="zh-TW"/>
              </w:rPr>
              <w:t>So please see our comments in Q1-1 and Q1-2. We see a significant benefit to have an equivalent flexibility for scheme2 to adopt additional enumerated values “both1” and “both2”.</w:t>
            </w:r>
          </w:p>
          <w:p w14:paraId="424957C1" w14:textId="7D9046FC" w:rsidR="002F0EC7" w:rsidRPr="00347969" w:rsidRDefault="002F0EC7" w:rsidP="004B16A1">
            <w:pPr>
              <w:overflowPunct w:val="0"/>
              <w:autoSpaceDE w:val="0"/>
              <w:autoSpaceDN w:val="0"/>
              <w:adjustRightInd w:val="0"/>
              <w:spacing w:after="120" w:line="300" w:lineRule="auto"/>
              <w:textAlignment w:val="baseline"/>
              <w:rPr>
                <w:rFonts w:eastAsia="PMingLiU"/>
                <w:lang w:eastAsia="zh-TW"/>
              </w:rPr>
            </w:pPr>
            <w:r w:rsidRPr="002F0EC7">
              <w:rPr>
                <w:rFonts w:eastAsia="PMingLiU"/>
                <w:color w:val="0070C0"/>
                <w:lang w:eastAsia="zh-TW"/>
              </w:rPr>
              <w:t>[Rapp] I response this in Q2-2, please refer to that part. Thanks.</w:t>
            </w:r>
          </w:p>
        </w:tc>
      </w:tr>
      <w:tr w:rsidR="0065313B" w:rsidRPr="00071B22" w14:paraId="5153A963" w14:textId="77777777" w:rsidTr="004B16A1">
        <w:tc>
          <w:tcPr>
            <w:tcW w:w="2245" w:type="dxa"/>
          </w:tcPr>
          <w:p w14:paraId="4494D786" w14:textId="69F1B843" w:rsidR="0065313B" w:rsidRPr="00071B22" w:rsidRDefault="00E84368"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1D1CFA63" w14:textId="1A89D567" w:rsidR="0065313B" w:rsidRPr="00071B22" w:rsidRDefault="00E84368" w:rsidP="004B16A1">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7BBE5F1C" w14:textId="77777777" w:rsidR="0065313B" w:rsidRPr="00071B22" w:rsidRDefault="0065313B" w:rsidP="004B16A1">
            <w:pPr>
              <w:overflowPunct w:val="0"/>
              <w:autoSpaceDE w:val="0"/>
              <w:autoSpaceDN w:val="0"/>
              <w:adjustRightInd w:val="0"/>
              <w:spacing w:after="120" w:line="300" w:lineRule="auto"/>
              <w:textAlignment w:val="baseline"/>
              <w:rPr>
                <w:rFonts w:eastAsia="DengXian"/>
              </w:rPr>
            </w:pPr>
          </w:p>
        </w:tc>
      </w:tr>
      <w:tr w:rsidR="00D274E6" w:rsidRPr="00071B22" w14:paraId="73E8CC5D" w14:textId="77777777" w:rsidTr="004B16A1">
        <w:tc>
          <w:tcPr>
            <w:tcW w:w="2245" w:type="dxa"/>
          </w:tcPr>
          <w:p w14:paraId="711CA09E" w14:textId="70FB6C62"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Qualcomm</w:t>
            </w:r>
          </w:p>
        </w:tc>
        <w:tc>
          <w:tcPr>
            <w:tcW w:w="2003" w:type="dxa"/>
          </w:tcPr>
          <w:p w14:paraId="724AB3E6" w14:textId="7879CE6E"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36E46AFA" w14:textId="73F14247" w:rsidR="00D274E6" w:rsidRPr="00071B22" w:rsidRDefault="00D274E6" w:rsidP="00D274E6">
            <w:pPr>
              <w:overflowPunct w:val="0"/>
              <w:autoSpaceDE w:val="0"/>
              <w:autoSpaceDN w:val="0"/>
              <w:adjustRightInd w:val="0"/>
              <w:spacing w:after="120" w:line="300" w:lineRule="auto"/>
              <w:textAlignment w:val="baseline"/>
              <w:rPr>
                <w:rFonts w:eastAsia="DengXian"/>
              </w:rPr>
            </w:pPr>
            <w:r>
              <w:rPr>
                <w:rFonts w:eastAsia="DengXian"/>
              </w:rPr>
              <w:t>Agree with Rapp’s view.</w:t>
            </w:r>
          </w:p>
        </w:tc>
      </w:tr>
      <w:tr w:rsidR="004C14A6" w:rsidRPr="00071B22" w14:paraId="26A04E07" w14:textId="77777777" w:rsidTr="004B16A1">
        <w:tc>
          <w:tcPr>
            <w:tcW w:w="2245" w:type="dxa"/>
          </w:tcPr>
          <w:p w14:paraId="46AA0EA0" w14:textId="4A7E5789" w:rsidR="004C14A6" w:rsidRDefault="004C14A6" w:rsidP="004C14A6">
            <w:pPr>
              <w:overflowPunct w:val="0"/>
              <w:autoSpaceDE w:val="0"/>
              <w:autoSpaceDN w:val="0"/>
              <w:adjustRightInd w:val="0"/>
              <w:spacing w:after="120" w:line="300" w:lineRule="auto"/>
              <w:textAlignment w:val="baseline"/>
              <w:rPr>
                <w:rFonts w:eastAsia="DengXian"/>
              </w:rPr>
            </w:pPr>
            <w:r>
              <w:rPr>
                <w:rFonts w:eastAsia="DengXian"/>
              </w:rPr>
              <w:t>Apple</w:t>
            </w:r>
          </w:p>
        </w:tc>
        <w:tc>
          <w:tcPr>
            <w:tcW w:w="2003" w:type="dxa"/>
          </w:tcPr>
          <w:p w14:paraId="04FFE506" w14:textId="6BF108BF" w:rsidR="004C14A6" w:rsidRDefault="004C14A6" w:rsidP="004C14A6">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6801C2F0" w14:textId="18E96965" w:rsidR="004C14A6" w:rsidRDefault="004C14A6" w:rsidP="004C14A6">
            <w:pPr>
              <w:overflowPunct w:val="0"/>
              <w:autoSpaceDE w:val="0"/>
              <w:autoSpaceDN w:val="0"/>
              <w:adjustRightInd w:val="0"/>
              <w:spacing w:after="120" w:line="300" w:lineRule="auto"/>
              <w:textAlignment w:val="baseline"/>
              <w:rPr>
                <w:rFonts w:eastAsia="DengXian"/>
              </w:rPr>
            </w:pPr>
            <w:r>
              <w:rPr>
                <w:rFonts w:eastAsia="DengXian"/>
              </w:rPr>
              <w:t>Same view as Rapporteur</w:t>
            </w:r>
          </w:p>
        </w:tc>
      </w:tr>
    </w:tbl>
    <w:p w14:paraId="6F1A5765" w14:textId="7BA53744" w:rsidR="0065313B" w:rsidRDefault="0065313B" w:rsidP="009955C7">
      <w:pPr>
        <w:pStyle w:val="BodyText"/>
        <w:spacing w:before="120"/>
        <w:rPr>
          <w:rFonts w:eastAsiaTheme="minorEastAsia"/>
          <w:lang w:eastAsia="zh-CN"/>
        </w:rPr>
      </w:pPr>
      <w:r w:rsidRPr="0065313B">
        <w:rPr>
          <w:rFonts w:eastAsiaTheme="minorEastAsia"/>
          <w:lang w:eastAsia="zh-CN"/>
        </w:rPr>
        <w:t>The</w:t>
      </w:r>
      <w:r>
        <w:rPr>
          <w:rFonts w:eastAsiaTheme="minorEastAsia"/>
          <w:lang w:eastAsia="zh-CN"/>
        </w:rPr>
        <w:t xml:space="preserve"> following </w:t>
      </w:r>
      <w:r w:rsidR="009955C7">
        <w:rPr>
          <w:rFonts w:eastAsiaTheme="minorEastAsia"/>
          <w:lang w:eastAsia="zh-CN"/>
        </w:rPr>
        <w:t>comment</w:t>
      </w:r>
      <w:r>
        <w:rPr>
          <w:rFonts w:eastAsiaTheme="minorEastAsia"/>
          <w:lang w:eastAsia="zh-CN"/>
        </w:rPr>
        <w:t xml:space="preserve"> </w:t>
      </w:r>
      <w:r w:rsidR="009955C7">
        <w:rPr>
          <w:rFonts w:eastAsiaTheme="minorEastAsia"/>
          <w:lang w:eastAsia="zh-CN"/>
        </w:rPr>
        <w:t>was</w:t>
      </w:r>
      <w:r>
        <w:rPr>
          <w:rFonts w:eastAsiaTheme="minorEastAsia"/>
          <w:lang w:eastAsia="zh-CN"/>
        </w:rPr>
        <w:t xml:space="preserve"> raised by </w:t>
      </w:r>
      <w:r w:rsidR="009955C7">
        <w:rPr>
          <w:rFonts w:eastAsiaTheme="minorEastAsia"/>
          <w:lang w:eastAsia="zh-CN"/>
        </w:rPr>
        <w:t>a</w:t>
      </w:r>
      <w:r>
        <w:rPr>
          <w:rFonts w:eastAsiaTheme="minorEastAsia"/>
          <w:lang w:eastAsia="zh-CN"/>
        </w:rPr>
        <w:t xml:space="preserve"> compan</w:t>
      </w:r>
      <w:r w:rsidR="009955C7">
        <w:rPr>
          <w:rFonts w:eastAsiaTheme="minorEastAsia"/>
          <w:lang w:eastAsia="zh-CN"/>
        </w:rPr>
        <w:t>y</w:t>
      </w:r>
      <w:r>
        <w:rPr>
          <w:rFonts w:eastAsiaTheme="minorEastAsia"/>
          <w:lang w:eastAsia="zh-CN"/>
        </w:rPr>
        <w:t xml:space="preserve">, the rapporteur would like to share the understanding on </w:t>
      </w:r>
      <w:r w:rsidR="009955C7">
        <w:rPr>
          <w:rFonts w:eastAsiaTheme="minorEastAsia"/>
          <w:lang w:eastAsia="zh-CN"/>
        </w:rPr>
        <w:t>it</w:t>
      </w:r>
      <w:r>
        <w:rPr>
          <w:rFonts w:eastAsiaTheme="minorEastAsia"/>
          <w:lang w:eastAsia="zh-CN"/>
        </w:rPr>
        <w:t>.</w:t>
      </w:r>
    </w:p>
    <w:p w14:paraId="345742E9" w14:textId="2211F000" w:rsidR="0065313B" w:rsidRPr="00A16653" w:rsidRDefault="009955C7" w:rsidP="009955C7">
      <w:pPr>
        <w:pStyle w:val="BodyText"/>
        <w:spacing w:before="120"/>
        <w:rPr>
          <w:rFonts w:eastAsiaTheme="minorEastAsia"/>
          <w:b/>
          <w:lang w:eastAsia="zh-CN"/>
        </w:rPr>
      </w:pPr>
      <w:r>
        <w:rPr>
          <w:rFonts w:eastAsiaTheme="minorEastAsia"/>
          <w:b/>
          <w:lang w:eastAsia="zh-CN"/>
        </w:rPr>
        <w:t>Comment</w:t>
      </w:r>
      <w:r w:rsidR="0065313B" w:rsidRPr="00A16653">
        <w:rPr>
          <w:rFonts w:eastAsiaTheme="minorEastAsia"/>
          <w:b/>
          <w:lang w:eastAsia="zh-CN"/>
        </w:rPr>
        <w:t xml:space="preserve">: </w:t>
      </w:r>
      <w:r w:rsidR="00A16653" w:rsidRPr="00A16653">
        <w:rPr>
          <w:rFonts w:eastAsiaTheme="minorEastAsia"/>
          <w:b/>
          <w:lang w:eastAsia="zh-CN"/>
        </w:rPr>
        <w:t>D</w:t>
      </w:r>
      <w:r w:rsidR="0065313B" w:rsidRPr="00A16653">
        <w:rPr>
          <w:rFonts w:eastAsiaTheme="minorEastAsia"/>
          <w:b/>
          <w:lang w:eastAsia="zh-CN"/>
        </w:rPr>
        <w:t xml:space="preserve">oes the </w:t>
      </w:r>
      <w:r w:rsidR="0065313B" w:rsidRPr="00A16653">
        <w:rPr>
          <w:rFonts w:eastAsiaTheme="minorEastAsia"/>
          <w:b/>
          <w:szCs w:val="20"/>
          <w:lang w:eastAsia="zh-CN"/>
        </w:rPr>
        <w:t>Enumerated values for ‘scheme2’ need to include {both1, both2} for the same consideration</w:t>
      </w:r>
      <w:r w:rsidR="00A16653" w:rsidRPr="00A16653">
        <w:rPr>
          <w:rFonts w:eastAsiaTheme="minorEastAsia"/>
          <w:b/>
          <w:szCs w:val="20"/>
          <w:lang w:eastAsia="zh-CN"/>
        </w:rPr>
        <w:t xml:space="preserve"> of ‘scheme1’?</w:t>
      </w:r>
    </w:p>
    <w:p w14:paraId="0C2DB5EE" w14:textId="0BAD15CB" w:rsidR="0065313B" w:rsidRDefault="00A16653" w:rsidP="009955C7">
      <w:pPr>
        <w:pStyle w:val="BodyText"/>
        <w:spacing w:before="120"/>
        <w:rPr>
          <w:rFonts w:eastAsiaTheme="minorEastAsia"/>
          <w:lang w:eastAsia="zh-CN"/>
        </w:rPr>
      </w:pPr>
      <w:r>
        <w:rPr>
          <w:rFonts w:eastAsiaTheme="minorEastAsia"/>
          <w:lang w:eastAsia="zh-CN"/>
        </w:rPr>
        <w:t xml:space="preserve">From rapporteur’s observation, after checking with the RAN4 colleague, there is no need for ‘scheme2’ to include ‘both1’ and ‘both2’. </w:t>
      </w:r>
      <w:bookmarkStart w:id="9" w:name="OLE_LINK2"/>
      <w:r>
        <w:rPr>
          <w:rFonts w:eastAsiaTheme="minorEastAsia"/>
          <w:lang w:eastAsia="zh-CN"/>
        </w:rPr>
        <w:t xml:space="preserve">Currently, RAN4 </w:t>
      </w:r>
      <w:r>
        <w:rPr>
          <w:rFonts w:eastAsiaTheme="minorEastAsia" w:hint="eastAsia"/>
          <w:lang w:eastAsia="zh-CN"/>
        </w:rPr>
        <w:t>only</w:t>
      </w:r>
      <w:r>
        <w:rPr>
          <w:rFonts w:eastAsiaTheme="minorEastAsia"/>
          <w:lang w:eastAsia="zh-CN"/>
        </w:rPr>
        <w:t xml:space="preserve"> specifies the support of 4-band CA.</w:t>
      </w:r>
      <w:bookmarkEnd w:id="9"/>
      <w:r>
        <w:rPr>
          <w:rFonts w:eastAsiaTheme="minorEastAsia"/>
          <w:lang w:eastAsia="zh-CN"/>
        </w:rPr>
        <w:t xml:space="preserve"> For the support of inter-band SSB-less operation, grouping among the 4 bands has only two possibilities:</w:t>
      </w:r>
    </w:p>
    <w:p w14:paraId="0A29CE50" w14:textId="47577426" w:rsidR="00A16653" w:rsidRDefault="00A16653" w:rsidP="009955C7">
      <w:pPr>
        <w:pStyle w:val="BodyText"/>
        <w:numPr>
          <w:ilvl w:val="0"/>
          <w:numId w:val="26"/>
        </w:numPr>
        <w:spacing w:before="120"/>
        <w:rPr>
          <w:rFonts w:eastAsiaTheme="minorEastAsia"/>
          <w:lang w:eastAsia="zh-CN"/>
        </w:rPr>
      </w:pPr>
      <w:r>
        <w:rPr>
          <w:rFonts w:eastAsiaTheme="minorEastAsia"/>
          <w:lang w:eastAsia="zh-CN"/>
        </w:rPr>
        <w:t xml:space="preserve">Possibility 1: {A, B, </w:t>
      </w:r>
      <w:r>
        <w:rPr>
          <w:rFonts w:eastAsiaTheme="minorEastAsia" w:hint="eastAsia"/>
          <w:lang w:eastAsia="zh-CN"/>
        </w:rPr>
        <w:t>C</w:t>
      </w:r>
      <w:r>
        <w:rPr>
          <w:rFonts w:eastAsiaTheme="minorEastAsia"/>
          <w:lang w:eastAsia="zh-CN"/>
        </w:rPr>
        <w:t>} belongs to a group, and {D} belongs to another group.</w:t>
      </w:r>
    </w:p>
    <w:p w14:paraId="7DAA0084" w14:textId="2FD2C171" w:rsidR="00A16653" w:rsidRDefault="00A16653" w:rsidP="009955C7">
      <w:pPr>
        <w:pStyle w:val="BodyText"/>
        <w:numPr>
          <w:ilvl w:val="0"/>
          <w:numId w:val="26"/>
        </w:numPr>
        <w:spacing w:before="120"/>
        <w:rPr>
          <w:rFonts w:eastAsiaTheme="minorEastAsia"/>
          <w:lang w:eastAsia="zh-CN"/>
        </w:rPr>
      </w:pPr>
      <w:r>
        <w:rPr>
          <w:rFonts w:eastAsiaTheme="minorEastAsia"/>
          <w:lang w:eastAsia="zh-CN"/>
        </w:rPr>
        <w:t>Possibility 2: {A, B} belongs to a group, and {C, D} belongs to another group.</w:t>
      </w:r>
    </w:p>
    <w:p w14:paraId="6D0CB53B" w14:textId="77777777" w:rsidR="00A16653" w:rsidRDefault="00A16653" w:rsidP="009955C7">
      <w:pPr>
        <w:pStyle w:val="BodyText"/>
        <w:spacing w:before="120"/>
        <w:rPr>
          <w:rFonts w:eastAsiaTheme="minorEastAsia"/>
          <w:lang w:eastAsia="zh-CN"/>
        </w:rPr>
      </w:pPr>
      <w:r>
        <w:rPr>
          <w:rFonts w:eastAsiaTheme="minorEastAsia"/>
          <w:lang w:eastAsia="zh-CN"/>
        </w:rPr>
        <w:t xml:space="preserve">For Possibility 1, the UE can use either ‘scheme1’ or ‘scheme2’ to report, as D is not involved in the inter-band SSB-less operation. </w:t>
      </w:r>
    </w:p>
    <w:p w14:paraId="2D7750FE" w14:textId="08ED6EA2" w:rsidR="009955C7" w:rsidRPr="009955C7" w:rsidRDefault="00A16653" w:rsidP="009955C7">
      <w:pPr>
        <w:pStyle w:val="BodyText"/>
        <w:spacing w:before="120"/>
        <w:rPr>
          <w:rFonts w:eastAsiaTheme="minorEastAsia"/>
          <w:lang w:eastAsia="zh-CN"/>
        </w:rPr>
      </w:pPr>
      <w:r>
        <w:rPr>
          <w:rFonts w:eastAsiaTheme="minorEastAsia"/>
          <w:lang w:eastAsia="zh-CN"/>
        </w:rPr>
        <w:t>For Possibility 2, the UE use all the values from ‘scheme2’ for the 4 bands to indicate the operation for two groups, i.e. {</w:t>
      </w:r>
      <w:r w:rsidRPr="00A16653">
        <w:rPr>
          <w:rFonts w:eastAsiaTheme="minorEastAsia"/>
          <w:lang w:eastAsia="zh-CN"/>
        </w:rPr>
        <w:t>referenceBand1, scellWithoutSSB1, referenceBand2, scellWithoutSSB2}</w:t>
      </w:r>
      <w:r>
        <w:rPr>
          <w:rFonts w:eastAsiaTheme="minorEastAsia"/>
          <w:lang w:eastAsia="zh-CN"/>
        </w:rPr>
        <w:t xml:space="preserve"> for band A, B, </w:t>
      </w:r>
      <w:r>
        <w:rPr>
          <w:rFonts w:eastAsiaTheme="minorEastAsia" w:hint="eastAsia"/>
          <w:lang w:eastAsia="zh-CN"/>
        </w:rPr>
        <w:t>C</w:t>
      </w:r>
      <w:r>
        <w:rPr>
          <w:rFonts w:eastAsiaTheme="minorEastAsia"/>
          <w:lang w:eastAsia="zh-CN"/>
        </w:rPr>
        <w:t>, D respectively. Since it has been agreed ‘</w:t>
      </w:r>
      <w:r>
        <w:t>If inter-band SSB-less SCell operation is supported between two bands, it is understood that there is no direction between the two bands, which means that the network can configure either band as the reference band and the other band as the SSB-less band.’, the NW can configure either band A or band B as the reference band within group {A, B}, and</w:t>
      </w:r>
      <w:r w:rsidRPr="00A16653">
        <w:t xml:space="preserve"> </w:t>
      </w:r>
      <w:r w:rsidRPr="009955C7">
        <w:t>either band C or band D as the reference band within group {C, D}. The UE does not need ‘both1’ or ‘both2’ for {A, B}, {C, D}</w:t>
      </w:r>
      <w:r w:rsidRPr="009955C7">
        <w:rPr>
          <w:rFonts w:eastAsiaTheme="minorEastAsia"/>
          <w:lang w:eastAsia="zh-CN"/>
        </w:rPr>
        <w:t>.</w:t>
      </w:r>
    </w:p>
    <w:p w14:paraId="17B9FD84" w14:textId="08100015" w:rsidR="009955C7" w:rsidRPr="009955C7" w:rsidRDefault="009955C7" w:rsidP="009955C7">
      <w:pPr>
        <w:pStyle w:val="BodyText"/>
        <w:spacing w:before="120"/>
        <w:rPr>
          <w:rFonts w:eastAsiaTheme="minorEastAsia"/>
          <w:lang w:eastAsia="zh-CN"/>
        </w:rPr>
      </w:pPr>
      <w:r w:rsidRPr="009955C7">
        <w:rPr>
          <w:rFonts w:eastAsiaTheme="minorEastAsia"/>
          <w:lang w:eastAsia="zh-CN"/>
        </w:rPr>
        <w:t>For</w:t>
      </w:r>
      <w:r>
        <w:rPr>
          <w:rFonts w:eastAsiaTheme="minorEastAsia"/>
          <w:lang w:eastAsia="zh-CN"/>
        </w:rPr>
        <w:t xml:space="preserve"> future potential support of more than 4 band CA, the value can be extended if real need is </w:t>
      </w:r>
      <w:r w:rsidR="00FD5641">
        <w:rPr>
          <w:rFonts w:eastAsiaTheme="minorEastAsia"/>
          <w:lang w:eastAsia="zh-CN"/>
        </w:rPr>
        <w:t>identified in future releases</w:t>
      </w:r>
      <w:r>
        <w:rPr>
          <w:rFonts w:eastAsiaTheme="minorEastAsia"/>
          <w:lang w:eastAsia="zh-CN"/>
        </w:rPr>
        <w:t xml:space="preserve">. Rapporteur proposes not to include the values </w:t>
      </w:r>
      <w:r w:rsidRPr="009955C7">
        <w:t>‘both1’ or ‘both2’</w:t>
      </w:r>
      <w:r>
        <w:t xml:space="preserve"> for ‘scheme2’</w:t>
      </w:r>
      <w:r w:rsidR="00FD5641">
        <w:t xml:space="preserve"> for Rel-18 NES.</w:t>
      </w:r>
    </w:p>
    <w:p w14:paraId="450F25D2" w14:textId="1876AFFA" w:rsidR="00A16653" w:rsidRPr="00071B22" w:rsidRDefault="00A16653" w:rsidP="009955C7">
      <w:pPr>
        <w:spacing w:before="120" w:after="120"/>
        <w:rPr>
          <w:rFonts w:cs="Times New Roman"/>
          <w:b/>
        </w:rPr>
      </w:pPr>
      <w:r w:rsidRPr="00071B22">
        <w:rPr>
          <w:rFonts w:cs="Times New Roman"/>
          <w:b/>
        </w:rPr>
        <w:t>Q</w:t>
      </w:r>
      <w:r w:rsidR="00285D0F">
        <w:rPr>
          <w:rFonts w:cs="Times New Roman"/>
          <w:b/>
        </w:rPr>
        <w:t>2-2</w:t>
      </w:r>
      <w:r w:rsidRPr="00071B22">
        <w:rPr>
          <w:rFonts w:cs="Times New Roman"/>
          <w:b/>
        </w:rPr>
        <w:t xml:space="preserve">: </w:t>
      </w:r>
      <w:r>
        <w:rPr>
          <w:rFonts w:cs="Times New Roman"/>
          <w:b/>
        </w:rPr>
        <w:t xml:space="preserve">Do you agree with rapporteur’s observation </w:t>
      </w:r>
      <w:r w:rsidR="009955C7">
        <w:rPr>
          <w:rFonts w:cs="Times New Roman"/>
          <w:b/>
        </w:rPr>
        <w:t xml:space="preserve">and proposal on not </w:t>
      </w:r>
      <w:r>
        <w:rPr>
          <w:rFonts w:cs="Times New Roman"/>
          <w:b/>
        </w:rPr>
        <w:t>to include</w:t>
      </w:r>
      <w:r w:rsidR="009955C7">
        <w:rPr>
          <w:rFonts w:cs="Times New Roman"/>
          <w:b/>
        </w:rPr>
        <w:t xml:space="preserve"> the values</w:t>
      </w:r>
      <w:r>
        <w:rPr>
          <w:rFonts w:cs="Times New Roman"/>
          <w:b/>
        </w:rPr>
        <w:t xml:space="preserve"> ‘both1’ and ‘both2’</w:t>
      </w:r>
      <w:r w:rsidR="009955C7">
        <w:rPr>
          <w:rFonts w:cs="Times New Roman"/>
          <w:b/>
        </w:rPr>
        <w:t xml:space="preserve"> for ‘scheme2’</w:t>
      </w:r>
      <w:r>
        <w:rPr>
          <w:rFonts w:cs="Times New Roman"/>
          <w:b/>
        </w:rPr>
        <w:t>?</w:t>
      </w:r>
    </w:p>
    <w:tbl>
      <w:tblPr>
        <w:tblStyle w:val="TableGrid"/>
        <w:tblW w:w="9770" w:type="dxa"/>
        <w:tblLook w:val="04A0" w:firstRow="1" w:lastRow="0" w:firstColumn="1" w:lastColumn="0" w:noHBand="0" w:noVBand="1"/>
      </w:tblPr>
      <w:tblGrid>
        <w:gridCol w:w="2245"/>
        <w:gridCol w:w="2003"/>
        <w:gridCol w:w="5522"/>
      </w:tblGrid>
      <w:tr w:rsidR="00A16653" w:rsidRPr="00071B22" w14:paraId="6871B476" w14:textId="77777777" w:rsidTr="004B16A1">
        <w:tc>
          <w:tcPr>
            <w:tcW w:w="2245" w:type="dxa"/>
          </w:tcPr>
          <w:p w14:paraId="712AC39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109DD9E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12BC9A22"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A16653" w:rsidRPr="00071B22" w14:paraId="70876BA6" w14:textId="77777777" w:rsidTr="004B16A1">
        <w:tc>
          <w:tcPr>
            <w:tcW w:w="2245" w:type="dxa"/>
          </w:tcPr>
          <w:p w14:paraId="6D24EFDA" w14:textId="572401B5" w:rsidR="00A16653" w:rsidRPr="00071B22" w:rsidRDefault="0095302C" w:rsidP="004B16A1">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3D1267FF" w14:textId="78B5D787" w:rsidR="00A16653" w:rsidRPr="00071B22" w:rsidRDefault="0095302C"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062C6766" w14:textId="464022B7" w:rsidR="00A16653" w:rsidRPr="00071B22" w:rsidRDefault="0095302C" w:rsidP="004B16A1">
            <w:pPr>
              <w:overflowPunct w:val="0"/>
              <w:autoSpaceDE w:val="0"/>
              <w:autoSpaceDN w:val="0"/>
              <w:adjustRightInd w:val="0"/>
              <w:spacing w:after="120" w:line="300" w:lineRule="auto"/>
              <w:textAlignment w:val="baseline"/>
              <w:rPr>
                <w:lang w:eastAsia="ko-KR"/>
              </w:rPr>
            </w:pPr>
            <w:r>
              <w:rPr>
                <w:rFonts w:eastAsiaTheme="minorEastAsia"/>
              </w:rPr>
              <w:t xml:space="preserve">Agree with the rapporteur that there is no need for ‘scheme2’ to </w:t>
            </w:r>
            <w:r>
              <w:rPr>
                <w:rFonts w:eastAsiaTheme="minorEastAsia"/>
              </w:rPr>
              <w:lastRenderedPageBreak/>
              <w:t>include ‘both1’ and ‘both2’</w:t>
            </w:r>
          </w:p>
        </w:tc>
      </w:tr>
      <w:tr w:rsidR="00A16653" w:rsidRPr="00071B22" w14:paraId="495C3BEA" w14:textId="77777777" w:rsidTr="004B16A1">
        <w:tc>
          <w:tcPr>
            <w:tcW w:w="2245" w:type="dxa"/>
          </w:tcPr>
          <w:p w14:paraId="1639B6F8" w14:textId="10E6E96B"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lastRenderedPageBreak/>
              <w:t>M</w:t>
            </w:r>
            <w:r>
              <w:rPr>
                <w:rFonts w:eastAsia="PMingLiU"/>
                <w:lang w:eastAsia="zh-TW"/>
              </w:rPr>
              <w:t>ediaTek</w:t>
            </w:r>
          </w:p>
        </w:tc>
        <w:tc>
          <w:tcPr>
            <w:tcW w:w="2003" w:type="dxa"/>
          </w:tcPr>
          <w:p w14:paraId="3F2CFEB8" w14:textId="57FBE714"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Disagree</w:t>
            </w:r>
          </w:p>
        </w:tc>
        <w:tc>
          <w:tcPr>
            <w:tcW w:w="5522" w:type="dxa"/>
          </w:tcPr>
          <w:p w14:paraId="5A4A9B71" w14:textId="77777777" w:rsidR="003F38E3"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Our RAN4 colleagues indicate that there are configurations for inter-band CA (</w:t>
            </w:r>
            <w:r w:rsidRPr="003F38E3">
              <w:rPr>
                <w:rFonts w:eastAsia="PMingLiU"/>
                <w:b/>
                <w:bCs/>
                <w:lang w:eastAsia="zh-TW"/>
              </w:rPr>
              <w:t>five</w:t>
            </w:r>
            <w:r>
              <w:rPr>
                <w:rFonts w:eastAsia="PMingLiU"/>
                <w:lang w:eastAsia="zh-TW"/>
              </w:rPr>
              <w:t xml:space="preserve"> bands), see the Table 5.5A.3.4-1 in TS 38.101-1 v17.8.0. For these</w:t>
            </w:r>
            <w:r w:rsidR="003F38E3">
              <w:rPr>
                <w:rFonts w:eastAsia="PMingLiU"/>
                <w:lang w:eastAsia="zh-TW"/>
              </w:rPr>
              <w:t xml:space="preserve"> 5 bands</w:t>
            </w:r>
            <w:r>
              <w:rPr>
                <w:rFonts w:eastAsia="PMingLiU"/>
                <w:lang w:eastAsia="zh-TW"/>
              </w:rPr>
              <w:t xml:space="preserve"> CA cases, it is beneficial to have ‘both1’ and ‘both2’ in scheme2</w:t>
            </w:r>
            <w:r w:rsidR="003F38E3">
              <w:rPr>
                <w:rFonts w:eastAsia="PMingLiU"/>
                <w:lang w:eastAsia="zh-TW"/>
              </w:rPr>
              <w:t xml:space="preserve"> (see our previous comments).</w:t>
            </w:r>
          </w:p>
          <w:p w14:paraId="3F0136B3" w14:textId="77777777" w:rsidR="00876A94" w:rsidRDefault="002F0EC7" w:rsidP="004B16A1">
            <w:pPr>
              <w:overflowPunct w:val="0"/>
              <w:autoSpaceDE w:val="0"/>
              <w:autoSpaceDN w:val="0"/>
              <w:adjustRightInd w:val="0"/>
              <w:spacing w:after="120" w:line="300" w:lineRule="auto"/>
              <w:textAlignment w:val="baseline"/>
              <w:rPr>
                <w:rFonts w:eastAsia="PMingLiU"/>
                <w:color w:val="0070C0"/>
                <w:lang w:eastAsia="zh-TW"/>
              </w:rPr>
            </w:pPr>
            <w:r w:rsidRPr="002F0EC7">
              <w:rPr>
                <w:rFonts w:eastAsia="PMingLiU"/>
                <w:color w:val="0070C0"/>
                <w:lang w:eastAsia="zh-TW"/>
              </w:rPr>
              <w:t>[Rapp] Thanks</w:t>
            </w:r>
            <w:r>
              <w:rPr>
                <w:rFonts w:eastAsia="PMingLiU"/>
                <w:color w:val="0070C0"/>
                <w:lang w:eastAsia="zh-TW"/>
              </w:rPr>
              <w:t xml:space="preserve"> for the comment. Although RAN4 has defined band combination for support of up to 6 bands inter-band CA, they did not discuss any issue for support of inter-band SSB-less operation for multiple groups. Theoratically, up to 5-6 band CA or more than 2 groups for inter-band SSB-less operation may be </w:t>
            </w:r>
            <w:r w:rsidR="00876A94">
              <w:rPr>
                <w:rFonts w:eastAsia="PMingLiU"/>
                <w:color w:val="0070C0"/>
                <w:lang w:eastAsia="zh-TW"/>
              </w:rPr>
              <w:t>configured,</w:t>
            </w:r>
            <w:r>
              <w:rPr>
                <w:rFonts w:eastAsia="PMingLiU"/>
                <w:color w:val="0070C0"/>
                <w:lang w:eastAsia="zh-TW"/>
              </w:rPr>
              <w:t xml:space="preserve"> </w:t>
            </w:r>
            <w:r w:rsidR="00876A94">
              <w:rPr>
                <w:rFonts w:eastAsia="PMingLiU"/>
                <w:color w:val="0070C0"/>
                <w:lang w:eastAsia="zh-TW"/>
              </w:rPr>
              <w:t>but from the opinion of the majority companies I heard during the meeting, the current signalling should be enough for the potential needed flexibility. Therefore, Rapporteur suggests to follow the majority not to include ‘both1’ and ‘both2’ for scheme2 in this release. The value can also be extended in future releases, if the real need is identified.</w:t>
            </w:r>
          </w:p>
          <w:p w14:paraId="3C349C48" w14:textId="553D36BC" w:rsidR="00B92ABE" w:rsidRPr="00876A94" w:rsidRDefault="00B92ABE" w:rsidP="004B16A1">
            <w:pPr>
              <w:overflowPunct w:val="0"/>
              <w:autoSpaceDE w:val="0"/>
              <w:autoSpaceDN w:val="0"/>
              <w:adjustRightInd w:val="0"/>
              <w:spacing w:after="120" w:line="300" w:lineRule="auto"/>
              <w:textAlignment w:val="baseline"/>
              <w:rPr>
                <w:rFonts w:eastAsia="PMingLiU"/>
                <w:color w:val="0070C0"/>
                <w:lang w:eastAsia="zh-TW"/>
              </w:rPr>
            </w:pPr>
            <w:r>
              <w:rPr>
                <w:rFonts w:eastAsia="PMingLiU"/>
                <w:color w:val="0070C0"/>
                <w:lang w:eastAsia="zh-TW"/>
              </w:rPr>
              <w:t>Rapporteur has communicated with MediaTek, and MediaTek is fine with not to include ‘both1’ and ‘both2’ for scheme2.</w:t>
            </w:r>
          </w:p>
        </w:tc>
      </w:tr>
      <w:tr w:rsidR="00A16653" w:rsidRPr="00071B22" w14:paraId="1FE29FDD" w14:textId="77777777" w:rsidTr="004B16A1">
        <w:tc>
          <w:tcPr>
            <w:tcW w:w="2245" w:type="dxa"/>
          </w:tcPr>
          <w:p w14:paraId="72735DF7" w14:textId="3E1041C3"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4EE8C464" w14:textId="2CFACEF9"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52C30D50" w14:textId="347B500F"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Further flexibility can always be added</w:t>
            </w:r>
            <w:r w:rsidR="00CF6E22">
              <w:rPr>
                <w:rFonts w:eastAsia="DengXian"/>
              </w:rPr>
              <w:t xml:space="preserve"> with the cost of complexity</w:t>
            </w:r>
            <w:r>
              <w:rPr>
                <w:rFonts w:eastAsia="DengXian"/>
              </w:rPr>
              <w:t>, but we</w:t>
            </w:r>
            <w:r w:rsidR="00CF6E22">
              <w:rPr>
                <w:rFonts w:eastAsia="DengXian"/>
              </w:rPr>
              <w:t xml:space="preserve"> understand that the current version of the signaling is already a compromise between flexibility and complexity.</w:t>
            </w:r>
          </w:p>
        </w:tc>
      </w:tr>
      <w:tr w:rsidR="00135647" w:rsidRPr="00071B22" w14:paraId="3E1BDB9A" w14:textId="77777777" w:rsidTr="004B16A1">
        <w:tc>
          <w:tcPr>
            <w:tcW w:w="2245" w:type="dxa"/>
          </w:tcPr>
          <w:p w14:paraId="09DC2E8D" w14:textId="305A9FFB" w:rsidR="00135647" w:rsidRDefault="00135647" w:rsidP="00135647">
            <w:pPr>
              <w:overflowPunct w:val="0"/>
              <w:autoSpaceDE w:val="0"/>
              <w:autoSpaceDN w:val="0"/>
              <w:adjustRightInd w:val="0"/>
              <w:spacing w:after="120" w:line="300" w:lineRule="auto"/>
              <w:textAlignment w:val="baseline"/>
              <w:rPr>
                <w:rFonts w:eastAsia="DengXian"/>
              </w:rPr>
            </w:pPr>
            <w:r>
              <w:rPr>
                <w:rFonts w:eastAsia="DengXian"/>
              </w:rPr>
              <w:t>Qualcomm</w:t>
            </w:r>
          </w:p>
        </w:tc>
        <w:tc>
          <w:tcPr>
            <w:tcW w:w="2003" w:type="dxa"/>
          </w:tcPr>
          <w:p w14:paraId="5EF28467" w14:textId="1FB83E25" w:rsidR="00135647" w:rsidRDefault="00135647" w:rsidP="00135647">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18CE5191" w14:textId="77777777" w:rsidR="00135647" w:rsidRDefault="00135647" w:rsidP="00135647">
            <w:pPr>
              <w:overflowPunct w:val="0"/>
              <w:autoSpaceDE w:val="0"/>
              <w:autoSpaceDN w:val="0"/>
              <w:adjustRightInd w:val="0"/>
              <w:spacing w:after="120" w:line="300" w:lineRule="auto"/>
              <w:textAlignment w:val="baseline"/>
              <w:rPr>
                <w:rFonts w:eastAsia="DengXian"/>
              </w:rPr>
            </w:pPr>
          </w:p>
        </w:tc>
      </w:tr>
      <w:tr w:rsidR="009502F8" w:rsidRPr="00071B22" w14:paraId="11DACA31" w14:textId="77777777" w:rsidTr="004B16A1">
        <w:tc>
          <w:tcPr>
            <w:tcW w:w="2245" w:type="dxa"/>
          </w:tcPr>
          <w:p w14:paraId="1B8F8E47" w14:textId="45E39B7F" w:rsidR="009502F8" w:rsidRDefault="009502F8" w:rsidP="009502F8">
            <w:pPr>
              <w:overflowPunct w:val="0"/>
              <w:autoSpaceDE w:val="0"/>
              <w:autoSpaceDN w:val="0"/>
              <w:adjustRightInd w:val="0"/>
              <w:spacing w:after="120" w:line="300" w:lineRule="auto"/>
              <w:textAlignment w:val="baseline"/>
              <w:rPr>
                <w:rFonts w:eastAsia="DengXian"/>
              </w:rPr>
            </w:pPr>
            <w:r>
              <w:rPr>
                <w:rFonts w:eastAsia="DengXian"/>
              </w:rPr>
              <w:t>Apple</w:t>
            </w:r>
          </w:p>
        </w:tc>
        <w:tc>
          <w:tcPr>
            <w:tcW w:w="2003" w:type="dxa"/>
          </w:tcPr>
          <w:p w14:paraId="6D520C10" w14:textId="47D1365F" w:rsidR="009502F8" w:rsidRDefault="009502F8" w:rsidP="009502F8">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7FA5AC95" w14:textId="401FAF2E" w:rsidR="009502F8" w:rsidRDefault="009502F8" w:rsidP="009502F8">
            <w:pPr>
              <w:overflowPunct w:val="0"/>
              <w:autoSpaceDE w:val="0"/>
              <w:autoSpaceDN w:val="0"/>
              <w:adjustRightInd w:val="0"/>
              <w:spacing w:after="120" w:line="300" w:lineRule="auto"/>
              <w:textAlignment w:val="baseline"/>
              <w:rPr>
                <w:rFonts w:eastAsia="DengXian"/>
              </w:rPr>
            </w:pPr>
            <w:r>
              <w:rPr>
                <w:rFonts w:eastAsia="DengXian"/>
              </w:rPr>
              <w:t xml:space="preserve">As the current signaling is already a compromise between two camps on single vs multiple groups, we tend to think multiple groups with more than 4 bands is a kind of optimization. </w:t>
            </w:r>
          </w:p>
        </w:tc>
      </w:tr>
    </w:tbl>
    <w:p w14:paraId="0A625040" w14:textId="77777777" w:rsidR="00785972" w:rsidRPr="00785972" w:rsidRDefault="00785972" w:rsidP="00785972"/>
    <w:p w14:paraId="2A6B21FB" w14:textId="6AB3AF8B" w:rsidR="00785972" w:rsidRPr="00785972" w:rsidRDefault="00785972" w:rsidP="00785972">
      <w:pPr>
        <w:pStyle w:val="Heading2"/>
      </w:pPr>
      <w:r>
        <w:t>Other issues if any</w:t>
      </w:r>
    </w:p>
    <w:p w14:paraId="65CD881C" w14:textId="6E50CCC3" w:rsidR="00A16653" w:rsidRPr="00785972" w:rsidRDefault="00040EE6" w:rsidP="00785972">
      <w:pPr>
        <w:pStyle w:val="BodyText"/>
        <w:spacing w:before="120"/>
        <w:rPr>
          <w:rFonts w:eastAsiaTheme="minorEastAsia"/>
          <w:lang w:eastAsia="zh-CN"/>
        </w:rPr>
      </w:pPr>
      <w:r w:rsidRPr="00785972">
        <w:rPr>
          <w:rFonts w:eastAsiaTheme="minorEastAsia"/>
          <w:lang w:eastAsia="zh-CN"/>
        </w:rPr>
        <w:t xml:space="preserve">If any </w:t>
      </w:r>
      <w:r w:rsidR="00785972" w:rsidRPr="00785972">
        <w:rPr>
          <w:rFonts w:eastAsiaTheme="minorEastAsia"/>
          <w:lang w:eastAsia="zh-CN"/>
        </w:rPr>
        <w:t xml:space="preserve">other </w:t>
      </w:r>
      <w:r w:rsidRPr="00785972">
        <w:rPr>
          <w:rFonts w:eastAsiaTheme="minorEastAsia"/>
          <w:lang w:eastAsia="zh-CN"/>
        </w:rPr>
        <w:t>critical issue is identified</w:t>
      </w:r>
      <w:r w:rsidR="00785972" w:rsidRPr="00785972">
        <w:rPr>
          <w:rFonts w:eastAsiaTheme="minorEastAsia"/>
          <w:lang w:eastAsia="zh-CN"/>
        </w:rPr>
        <w:t xml:space="preserve"> for the current draftCR</w:t>
      </w:r>
      <w:r w:rsidRPr="00785972">
        <w:rPr>
          <w:rFonts w:eastAsiaTheme="minorEastAsia"/>
          <w:lang w:eastAsia="zh-CN"/>
        </w:rPr>
        <w:t xml:space="preserve">, </w:t>
      </w:r>
      <w:r w:rsidR="00785972" w:rsidRPr="00785972">
        <w:rPr>
          <w:rFonts w:eastAsiaTheme="minorEastAsia"/>
          <w:lang w:eastAsia="zh-CN"/>
        </w:rPr>
        <w:t xml:space="preserve">Please provide your comments in the below table. </w:t>
      </w:r>
      <w:r w:rsidR="00785972" w:rsidRPr="00785972">
        <w:rPr>
          <w:rFonts w:eastAsiaTheme="minorEastAsia"/>
          <w:b/>
          <w:lang w:eastAsia="zh-CN"/>
        </w:rPr>
        <w:t>Rapporteur suggests to comment only on functional critical issues</w:t>
      </w:r>
      <w:r w:rsidR="00785972" w:rsidRPr="00785972">
        <w:rPr>
          <w:rFonts w:eastAsiaTheme="minorEastAsia"/>
          <w:lang w:eastAsia="zh-CN"/>
        </w:rPr>
        <w:t>, if any, as this is the last meeting for ASN.1 freeze.</w:t>
      </w:r>
    </w:p>
    <w:tbl>
      <w:tblPr>
        <w:tblStyle w:val="TableGrid"/>
        <w:tblW w:w="9776" w:type="dxa"/>
        <w:tblLook w:val="04A0" w:firstRow="1" w:lastRow="0" w:firstColumn="1" w:lastColumn="0" w:noHBand="0" w:noVBand="1"/>
      </w:tblPr>
      <w:tblGrid>
        <w:gridCol w:w="2245"/>
        <w:gridCol w:w="7531"/>
      </w:tblGrid>
      <w:tr w:rsidR="00785972" w:rsidRPr="00071B22" w14:paraId="408E86A6" w14:textId="77777777" w:rsidTr="00785972">
        <w:tc>
          <w:tcPr>
            <w:tcW w:w="2245" w:type="dxa"/>
          </w:tcPr>
          <w:p w14:paraId="1E5F29D2"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7531" w:type="dxa"/>
          </w:tcPr>
          <w:p w14:paraId="3BA4E914"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785972" w:rsidRPr="00071B22" w14:paraId="75E607F4" w14:textId="77777777" w:rsidTr="00785972">
        <w:tc>
          <w:tcPr>
            <w:tcW w:w="2245" w:type="dxa"/>
          </w:tcPr>
          <w:p w14:paraId="36D054BD" w14:textId="2691A8EB" w:rsidR="00785972" w:rsidRP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7531" w:type="dxa"/>
          </w:tcPr>
          <w:p w14:paraId="06F56D95" w14:textId="4A98787C" w:rsidR="00785972"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W</w:t>
            </w:r>
            <w:r>
              <w:rPr>
                <w:rFonts w:eastAsia="PMingLiU"/>
                <w:lang w:eastAsia="zh-TW"/>
              </w:rPr>
              <w:t>e would like to further calibrate the understanding on the TP of ‘</w:t>
            </w:r>
            <w:r>
              <w:rPr>
                <w:b/>
                <w:i/>
              </w:rPr>
              <w:t>scellWithoutSSB-InterBandCA-r18</w:t>
            </w:r>
            <w:r>
              <w:rPr>
                <w:rFonts w:eastAsia="PMingLiU"/>
                <w:lang w:eastAsia="zh-TW"/>
              </w:rPr>
              <w:t xml:space="preserve">’. We understand that current TP is clear to capture the applicability, but the intention is not to prohibit the necessary forms of capability reporting that consists of </w:t>
            </w:r>
            <w:r>
              <w:rPr>
                <w:rFonts w:eastAsia="PMingLiU"/>
                <w:lang w:eastAsia="zh-TW"/>
              </w:rPr>
              <w:lastRenderedPageBreak/>
              <w:t>CA band combo part which is out of scope. For example, the network would never think the R18 NES inter-band SSB-less feature is applicable to the intra-band NCCA part even if the UE reports the capabilities as follows:</w:t>
            </w:r>
          </w:p>
          <w:tbl>
            <w:tblPr>
              <w:tblStyle w:val="TableGrid"/>
              <w:tblW w:w="0" w:type="auto"/>
              <w:tblLook w:val="04A0" w:firstRow="1" w:lastRow="0" w:firstColumn="1" w:lastColumn="0" w:noHBand="0" w:noVBand="1"/>
            </w:tblPr>
            <w:tblGrid>
              <w:gridCol w:w="1469"/>
              <w:gridCol w:w="1945"/>
              <w:gridCol w:w="1945"/>
              <w:gridCol w:w="1946"/>
            </w:tblGrid>
            <w:tr w:rsidR="00ED7DC5" w14:paraId="1EBFBFBA" w14:textId="77777777" w:rsidTr="00ED7DC5">
              <w:tc>
                <w:tcPr>
                  <w:tcW w:w="1469" w:type="dxa"/>
                </w:tcPr>
                <w:p w14:paraId="200490F1" w14:textId="62887FFE" w:rsidR="00ED7DC5" w:rsidRDefault="00ED7DC5" w:rsidP="00ED7DC5">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B</w:t>
                  </w:r>
                  <w:r>
                    <w:rPr>
                      <w:rFonts w:eastAsia="PMingLiU"/>
                      <w:lang w:eastAsia="zh-TW"/>
                    </w:rPr>
                    <w:t>C_n1(2A)-n3</w:t>
                  </w:r>
                </w:p>
              </w:tc>
              <w:tc>
                <w:tcPr>
                  <w:tcW w:w="1945" w:type="dxa"/>
                </w:tcPr>
                <w:p w14:paraId="6A39412B" w14:textId="2E46BD5F"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5" w:type="dxa"/>
                </w:tcPr>
                <w:p w14:paraId="318603BC" w14:textId="06F0436C"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6" w:type="dxa"/>
                </w:tcPr>
                <w:p w14:paraId="7D4A1976" w14:textId="0CC9E9C3"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n3A</w:t>
                  </w:r>
                </w:p>
              </w:tc>
            </w:tr>
            <w:tr w:rsidR="00ED7DC5" w14:paraId="1E936077" w14:textId="77777777" w:rsidTr="00ED7DC5">
              <w:tc>
                <w:tcPr>
                  <w:tcW w:w="1469" w:type="dxa"/>
                </w:tcPr>
                <w:p w14:paraId="3D2AFFCA" w14:textId="4E553713"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F</w:t>
                  </w:r>
                  <w:r>
                    <w:rPr>
                      <w:rFonts w:eastAsia="PMingLiU"/>
                      <w:lang w:eastAsia="zh-TW"/>
                    </w:rPr>
                    <w:t>SperBand</w:t>
                  </w:r>
                </w:p>
              </w:tc>
              <w:tc>
                <w:tcPr>
                  <w:tcW w:w="1945" w:type="dxa"/>
                </w:tcPr>
                <w:p w14:paraId="35A3AB38" w14:textId="1BD21FCC" w:rsidR="00ED7DC5" w:rsidRDefault="00ED7DC5" w:rsidP="004B16A1">
                  <w:pPr>
                    <w:overflowPunct w:val="0"/>
                    <w:autoSpaceDE w:val="0"/>
                    <w:autoSpaceDN w:val="0"/>
                    <w:adjustRightInd w:val="0"/>
                    <w:spacing w:after="120" w:line="300" w:lineRule="auto"/>
                    <w:textAlignment w:val="baseline"/>
                    <w:rPr>
                      <w:rFonts w:eastAsia="PMingLiU"/>
                      <w:lang w:eastAsia="zh-TW"/>
                    </w:rPr>
                  </w:pPr>
                  <w:bookmarkStart w:id="10" w:name="OLE_LINK4"/>
                  <w:r>
                    <w:rPr>
                      <w:rFonts w:eastAsia="PMingLiU"/>
                      <w:lang w:eastAsia="zh-TW"/>
                    </w:rPr>
                    <w:t>scheme1.</w:t>
                  </w:r>
                  <w:r>
                    <w:rPr>
                      <w:rFonts w:eastAsia="PMingLiU" w:hint="eastAsia"/>
                      <w:lang w:eastAsia="zh-TW"/>
                    </w:rPr>
                    <w:t>b</w:t>
                  </w:r>
                  <w:r>
                    <w:rPr>
                      <w:rFonts w:eastAsia="PMingLiU"/>
                      <w:lang w:eastAsia="zh-TW"/>
                    </w:rPr>
                    <w:t>oth</w:t>
                  </w:r>
                  <w:bookmarkEnd w:id="10"/>
                </w:p>
              </w:tc>
              <w:tc>
                <w:tcPr>
                  <w:tcW w:w="1945" w:type="dxa"/>
                </w:tcPr>
                <w:p w14:paraId="62EC5E15" w14:textId="26F7289A"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c>
                <w:tcPr>
                  <w:tcW w:w="1946" w:type="dxa"/>
                </w:tcPr>
                <w:p w14:paraId="20E22432" w14:textId="3CB38CC6"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r>
          </w:tbl>
          <w:p w14:paraId="7054528C" w14:textId="77777777"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The UE just indicates that n3 and n1 in different inter-band CA pairs both support inter-band SSB-less operation and fully interchangeable respectively.</w:t>
            </w:r>
          </w:p>
          <w:p w14:paraId="24139BCE" w14:textId="77777777" w:rsidR="0037005D"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[Ericsson]</w:t>
            </w:r>
          </w:p>
          <w:p w14:paraId="767440A7" w14:textId="77777777" w:rsidR="0037005D"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 xml:space="preserve">Good point! We </w:t>
            </w:r>
            <w:r w:rsidR="00184B1A">
              <w:rPr>
                <w:rFonts w:eastAsia="PMingLiU"/>
                <w:lang w:eastAsia="zh-TW"/>
              </w:rPr>
              <w:t>think this may not be so obvious but we agree with your interpretation that ultimately those capabilities are for inter-band and thus the NW should not consider intra-band pairs for the configuration.</w:t>
            </w:r>
          </w:p>
          <w:p w14:paraId="17B7813F" w14:textId="3B688A08" w:rsidR="00876A94" w:rsidRPr="00ED7DC5" w:rsidRDefault="00876A94" w:rsidP="004B16A1">
            <w:pPr>
              <w:overflowPunct w:val="0"/>
              <w:autoSpaceDE w:val="0"/>
              <w:autoSpaceDN w:val="0"/>
              <w:adjustRightInd w:val="0"/>
              <w:spacing w:after="120" w:line="300" w:lineRule="auto"/>
              <w:textAlignment w:val="baseline"/>
              <w:rPr>
                <w:rFonts w:eastAsia="PMingLiU"/>
                <w:lang w:eastAsia="zh-TW"/>
              </w:rPr>
            </w:pPr>
            <w:r w:rsidRPr="00876A94">
              <w:rPr>
                <w:rFonts w:eastAsia="PMingLiU"/>
                <w:color w:val="0070C0"/>
                <w:lang w:eastAsia="zh-TW"/>
              </w:rPr>
              <w:t>[Rapp] The first sentence of the FD ‘</w:t>
            </w:r>
            <w:r w:rsidRPr="00876A94">
              <w:rPr>
                <w:b/>
                <w:i/>
                <w:color w:val="0070C0"/>
              </w:rPr>
              <w:t>scellWithoutSSB-InterBandCA-r18</w:t>
            </w:r>
            <w:r w:rsidRPr="00876A94">
              <w:rPr>
                <w:rFonts w:eastAsia="PMingLiU"/>
                <w:color w:val="0070C0"/>
                <w:lang w:eastAsia="zh-TW"/>
              </w:rPr>
              <w:t>’ has pointed out the feature is for inter-band CA, and hence further clarification is not needed.</w:t>
            </w:r>
          </w:p>
        </w:tc>
      </w:tr>
      <w:tr w:rsidR="00951882" w:rsidRPr="00071B22" w14:paraId="219EB307" w14:textId="77777777" w:rsidTr="00785972">
        <w:tc>
          <w:tcPr>
            <w:tcW w:w="2245" w:type="dxa"/>
          </w:tcPr>
          <w:p w14:paraId="14CC1314" w14:textId="211E85CC" w:rsidR="00951882" w:rsidRPr="00071B22" w:rsidRDefault="00951882" w:rsidP="00951882">
            <w:pPr>
              <w:overflowPunct w:val="0"/>
              <w:autoSpaceDE w:val="0"/>
              <w:autoSpaceDN w:val="0"/>
              <w:adjustRightInd w:val="0"/>
              <w:spacing w:after="120" w:line="300" w:lineRule="auto"/>
              <w:textAlignment w:val="baseline"/>
              <w:rPr>
                <w:rFonts w:eastAsia="DengXian"/>
              </w:rPr>
            </w:pPr>
            <w:r>
              <w:rPr>
                <w:rFonts w:eastAsia="DengXian"/>
              </w:rPr>
              <w:lastRenderedPageBreak/>
              <w:t>Apple</w:t>
            </w:r>
          </w:p>
        </w:tc>
        <w:tc>
          <w:tcPr>
            <w:tcW w:w="7531" w:type="dxa"/>
          </w:tcPr>
          <w:p w14:paraId="72A43C00" w14:textId="2AFFADAA" w:rsidR="00951882" w:rsidRPr="00071B22" w:rsidRDefault="00951882" w:rsidP="00951882">
            <w:pPr>
              <w:overflowPunct w:val="0"/>
              <w:autoSpaceDE w:val="0"/>
              <w:autoSpaceDN w:val="0"/>
              <w:adjustRightInd w:val="0"/>
              <w:spacing w:after="120" w:line="300" w:lineRule="auto"/>
              <w:textAlignment w:val="baseline"/>
              <w:rPr>
                <w:rFonts w:eastAsia="DengXian"/>
              </w:rPr>
            </w:pPr>
            <w:r>
              <w:rPr>
                <w:rFonts w:eastAsia="DengXian"/>
              </w:rPr>
              <w:t xml:space="preserve">We agree with MediaTek’s </w:t>
            </w:r>
            <w:r>
              <w:rPr>
                <w:rFonts w:eastAsia="PMingLiU"/>
                <w:lang w:eastAsia="zh-TW"/>
              </w:rPr>
              <w:t>interpretation.</w:t>
            </w:r>
          </w:p>
        </w:tc>
      </w:tr>
      <w:tr w:rsidR="00785972" w:rsidRPr="00071B22" w14:paraId="47D3955F" w14:textId="77777777" w:rsidTr="00785972">
        <w:tc>
          <w:tcPr>
            <w:tcW w:w="2245" w:type="dxa"/>
          </w:tcPr>
          <w:p w14:paraId="6046E417"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c>
          <w:tcPr>
            <w:tcW w:w="7531" w:type="dxa"/>
          </w:tcPr>
          <w:p w14:paraId="66C8FE60"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r>
    </w:tbl>
    <w:p w14:paraId="069AA4FA" w14:textId="77777777" w:rsidR="00785972" w:rsidRPr="0065313B" w:rsidRDefault="00785972" w:rsidP="00785972">
      <w:pPr>
        <w:pStyle w:val="BodyText"/>
        <w:spacing w:before="120"/>
        <w:rPr>
          <w:rFonts w:eastAsiaTheme="minorEastAsia"/>
          <w:lang w:eastAsia="zh-CN"/>
        </w:rPr>
      </w:pPr>
    </w:p>
    <w:p w14:paraId="4C76D2D3" w14:textId="2FB392A7" w:rsidR="006A07E3" w:rsidRDefault="006A07E3" w:rsidP="006A07E3">
      <w:pPr>
        <w:pStyle w:val="Heading2"/>
      </w:pPr>
      <w:r>
        <w:t>Running CR review</w:t>
      </w:r>
    </w:p>
    <w:p w14:paraId="14A4564F" w14:textId="1D005F82" w:rsidR="00372110" w:rsidRDefault="00372110" w:rsidP="00372110">
      <w:r>
        <w:t xml:space="preserve">The running CRs on UE capabilities are provided in the discussion folder. </w:t>
      </w:r>
      <w:r w:rsidRPr="00B646B5">
        <w:t xml:space="preserve">Please do not insert / make comments in the </w:t>
      </w:r>
      <w:r>
        <w:t>CR</w:t>
      </w:r>
      <w:r w:rsidRPr="00B646B5">
        <w:t xml:space="preserve"> document</w:t>
      </w:r>
      <w:r>
        <w:t>s</w:t>
      </w:r>
      <w:r w:rsidRPr="00B646B5">
        <w:t>.</w:t>
      </w:r>
      <w:r>
        <w:t xml:space="preserve"> If you have comments, please provide them in the table below. Rapporteur will provide response and decide whether to update the CRs.</w:t>
      </w:r>
    </w:p>
    <w:p w14:paraId="7351686E" w14:textId="77777777" w:rsidR="00A335EE" w:rsidRDefault="00A335EE" w:rsidP="00A335EE"/>
    <w:p w14:paraId="4DBA678B" w14:textId="631E506D" w:rsidR="00372110" w:rsidRDefault="00372110" w:rsidP="00372110">
      <w:pPr>
        <w:pStyle w:val="BodyText"/>
        <w:spacing w:after="0"/>
        <w:rPr>
          <w:b/>
          <w:bCs/>
          <w:color w:val="FF0000"/>
        </w:rPr>
      </w:pPr>
      <w:r>
        <w:rPr>
          <w:b/>
          <w:bCs/>
        </w:rPr>
        <w:t>Please provide your comments before Thursday</w:t>
      </w:r>
      <w:r w:rsidR="00071B22">
        <w:rPr>
          <w:b/>
          <w:bCs/>
        </w:rPr>
        <w:t xml:space="preserve"> May 30</w:t>
      </w:r>
      <w:r>
        <w:rPr>
          <w:b/>
          <w:bCs/>
          <w:vertAlign w:val="superscript"/>
        </w:rPr>
        <w:t>th</w:t>
      </w:r>
      <w:r>
        <w:rPr>
          <w:b/>
          <w:bCs/>
        </w:rPr>
        <w:t xml:space="preserve"> </w:t>
      </w:r>
      <w:r w:rsidR="00071B22">
        <w:rPr>
          <w:b/>
          <w:bCs/>
        </w:rPr>
        <w:t>22:00 UTC</w:t>
      </w:r>
      <w:r>
        <w:rPr>
          <w:b/>
          <w:bCs/>
        </w:rPr>
        <w:t xml:space="preserve"> to allow the rapporteur to update the CR. Per the Chair</w:t>
      </w:r>
      <w:r w:rsidR="00071B22">
        <w:rPr>
          <w:b/>
          <w:bCs/>
        </w:rPr>
        <w:t>laday</w:t>
      </w:r>
      <w:r>
        <w:rPr>
          <w:b/>
          <w:bCs/>
        </w:rPr>
        <w:t>’s guidance, the steady version of the CRs will be approved by email</w:t>
      </w:r>
      <w:r w:rsidRPr="00372110">
        <w:rPr>
          <w:b/>
          <w:bCs/>
          <w:vertAlign w:val="subscript"/>
        </w:rPr>
        <w:t>.</w:t>
      </w:r>
    </w:p>
    <w:p w14:paraId="1D11C4DF" w14:textId="77777777" w:rsidR="00372110" w:rsidRDefault="00372110" w:rsidP="00A335EE"/>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72110" w:rsidRPr="00D45311" w14:paraId="735EC185" w14:textId="77777777" w:rsidTr="00151990">
        <w:trPr>
          <w:trHeight w:val="132"/>
        </w:trPr>
        <w:tc>
          <w:tcPr>
            <w:tcW w:w="1271" w:type="dxa"/>
            <w:shd w:val="clear" w:color="auto" w:fill="D9D9D9"/>
          </w:tcPr>
          <w:p w14:paraId="1005BC76" w14:textId="77777777" w:rsidR="00372110" w:rsidRPr="00D45311" w:rsidRDefault="00372110" w:rsidP="00151990">
            <w:pPr>
              <w:pStyle w:val="BodyText"/>
              <w:keepNext/>
              <w:rPr>
                <w:b/>
                <w:bCs/>
              </w:rPr>
            </w:pPr>
            <w:r w:rsidRPr="00D45311">
              <w:rPr>
                <w:b/>
                <w:bCs/>
              </w:rPr>
              <w:lastRenderedPageBreak/>
              <w:t>Company</w:t>
            </w:r>
          </w:p>
        </w:tc>
        <w:tc>
          <w:tcPr>
            <w:tcW w:w="4394" w:type="dxa"/>
            <w:shd w:val="clear" w:color="auto" w:fill="D9D9D9"/>
          </w:tcPr>
          <w:p w14:paraId="471BBC5B" w14:textId="77777777" w:rsidR="00372110" w:rsidRPr="00D45311" w:rsidRDefault="00372110" w:rsidP="00151990">
            <w:pPr>
              <w:pStyle w:val="BodyText"/>
              <w:keepNext/>
              <w:rPr>
                <w:b/>
                <w:bCs/>
              </w:rPr>
            </w:pPr>
            <w:r w:rsidRPr="00D45311">
              <w:rPr>
                <w:b/>
                <w:bCs/>
              </w:rPr>
              <w:t>Detailed comments</w:t>
            </w:r>
          </w:p>
        </w:tc>
        <w:tc>
          <w:tcPr>
            <w:tcW w:w="4191" w:type="dxa"/>
            <w:shd w:val="clear" w:color="auto" w:fill="D9D9D9"/>
          </w:tcPr>
          <w:p w14:paraId="0E15BF76" w14:textId="77777777" w:rsidR="00372110" w:rsidRPr="00D45311" w:rsidRDefault="00372110" w:rsidP="00151990">
            <w:pPr>
              <w:pStyle w:val="BodyText"/>
              <w:keepNext/>
              <w:rPr>
                <w:b/>
                <w:bCs/>
              </w:rPr>
            </w:pPr>
            <w:r w:rsidRPr="00D45311">
              <w:rPr>
                <w:b/>
                <w:bCs/>
              </w:rPr>
              <w:t>Rapporteur response</w:t>
            </w:r>
          </w:p>
        </w:tc>
      </w:tr>
      <w:tr w:rsidR="00372110" w:rsidRPr="00D45311" w14:paraId="2555559E" w14:textId="77777777" w:rsidTr="00151990">
        <w:trPr>
          <w:trHeight w:val="127"/>
        </w:trPr>
        <w:tc>
          <w:tcPr>
            <w:tcW w:w="1271" w:type="dxa"/>
            <w:shd w:val="clear" w:color="auto" w:fill="auto"/>
          </w:tcPr>
          <w:p w14:paraId="1532F93D" w14:textId="5D7CA1E4" w:rsidR="00372110" w:rsidRPr="00ED7DC5" w:rsidRDefault="00ED7DC5" w:rsidP="00151990">
            <w:pPr>
              <w:pStyle w:val="BodyText"/>
              <w:keepNext/>
              <w:rPr>
                <w:rFonts w:eastAsia="PMingLiU"/>
                <w:bCs/>
                <w:lang w:eastAsia="zh-TW"/>
              </w:rPr>
            </w:pPr>
            <w:r>
              <w:rPr>
                <w:rFonts w:eastAsia="PMingLiU" w:hint="eastAsia"/>
                <w:bCs/>
                <w:lang w:eastAsia="zh-TW"/>
              </w:rPr>
              <w:t>M</w:t>
            </w:r>
            <w:r>
              <w:rPr>
                <w:rFonts w:eastAsia="PMingLiU"/>
                <w:bCs/>
                <w:lang w:eastAsia="zh-TW"/>
              </w:rPr>
              <w:t>ediaTek</w:t>
            </w:r>
          </w:p>
        </w:tc>
        <w:tc>
          <w:tcPr>
            <w:tcW w:w="4394" w:type="dxa"/>
          </w:tcPr>
          <w:p w14:paraId="5F905E9E" w14:textId="47F85F85" w:rsidR="00372110" w:rsidRPr="00ED7DC5" w:rsidRDefault="00ED7DC5" w:rsidP="00151990">
            <w:pPr>
              <w:pStyle w:val="BodyText"/>
              <w:keepNext/>
              <w:rPr>
                <w:rFonts w:eastAsia="PMingLiU"/>
                <w:bCs/>
                <w:lang w:eastAsia="zh-TW"/>
              </w:rPr>
            </w:pPr>
            <w:r>
              <w:rPr>
                <w:rFonts w:eastAsia="PMingLiU" w:hint="eastAsia"/>
                <w:bCs/>
                <w:lang w:eastAsia="zh-TW"/>
              </w:rPr>
              <w:t>T</w:t>
            </w:r>
            <w:r>
              <w:rPr>
                <w:rFonts w:eastAsia="PMingLiU"/>
                <w:bCs/>
                <w:lang w:eastAsia="zh-TW"/>
              </w:rPr>
              <w:t>he TP is in wrong section of 306 CR. It should have been in section 4.2.7.5.</w:t>
            </w:r>
          </w:p>
        </w:tc>
        <w:tc>
          <w:tcPr>
            <w:tcW w:w="4191" w:type="dxa"/>
          </w:tcPr>
          <w:p w14:paraId="408ABBD9" w14:textId="12E096BF" w:rsidR="00372110" w:rsidRPr="00D45311" w:rsidRDefault="00876A94" w:rsidP="00151990">
            <w:pPr>
              <w:pStyle w:val="BodyText"/>
              <w:keepNext/>
              <w:rPr>
                <w:bCs/>
              </w:rPr>
            </w:pPr>
            <w:r>
              <w:rPr>
                <w:bCs/>
              </w:rPr>
              <w:t>Thanks. It is corrected in draft v01.</w:t>
            </w:r>
          </w:p>
        </w:tc>
      </w:tr>
      <w:tr w:rsidR="00372110" w:rsidRPr="00D45311" w14:paraId="5752193B" w14:textId="77777777" w:rsidTr="00151990">
        <w:trPr>
          <w:trHeight w:val="127"/>
        </w:trPr>
        <w:tc>
          <w:tcPr>
            <w:tcW w:w="1271" w:type="dxa"/>
            <w:shd w:val="clear" w:color="auto" w:fill="auto"/>
          </w:tcPr>
          <w:p w14:paraId="55C24372" w14:textId="45E1D151" w:rsidR="00372110" w:rsidRPr="00D45311" w:rsidRDefault="00D776E0" w:rsidP="00151990">
            <w:pPr>
              <w:pStyle w:val="BodyText"/>
              <w:keepNext/>
              <w:rPr>
                <w:bCs/>
              </w:rPr>
            </w:pPr>
            <w:r>
              <w:rPr>
                <w:bCs/>
              </w:rPr>
              <w:t>Ericsson</w:t>
            </w:r>
          </w:p>
        </w:tc>
        <w:tc>
          <w:tcPr>
            <w:tcW w:w="4394" w:type="dxa"/>
          </w:tcPr>
          <w:p w14:paraId="18A25D55" w14:textId="52E7F77F" w:rsidR="00372110" w:rsidRPr="00D45311" w:rsidRDefault="00D2425A" w:rsidP="00151990">
            <w:pPr>
              <w:pStyle w:val="BodyText"/>
              <w:keepNext/>
              <w:rPr>
                <w:bCs/>
              </w:rPr>
            </w:pPr>
            <w:r>
              <w:rPr>
                <w:bCs/>
              </w:rPr>
              <w:t xml:space="preserve">If our suggestion on </w:t>
            </w:r>
            <w:r w:rsidRPr="00D2425A">
              <w:rPr>
                <w:bCs/>
              </w:rPr>
              <w:t>Q1-2</w:t>
            </w:r>
            <w:r>
              <w:rPr>
                <w:bCs/>
              </w:rPr>
              <w:t xml:space="preserve"> is adopted (</w:t>
            </w:r>
            <w:r>
              <w:rPr>
                <w:rFonts w:eastAsia="DengXian"/>
              </w:rPr>
              <w:t>change the names of scheme1 and scheme2 for mor meaningful names e.g. singleGroup and multipleGroups</w:t>
            </w:r>
            <w:r>
              <w:rPr>
                <w:bCs/>
              </w:rPr>
              <w:t>) then both 38.331 and 38.306 have to be updated accordingly.</w:t>
            </w:r>
          </w:p>
        </w:tc>
        <w:tc>
          <w:tcPr>
            <w:tcW w:w="4191" w:type="dxa"/>
          </w:tcPr>
          <w:p w14:paraId="27E35574" w14:textId="428446B8" w:rsidR="00372110" w:rsidRPr="00D45311" w:rsidRDefault="00876A94" w:rsidP="00151990">
            <w:pPr>
              <w:pStyle w:val="BodyText"/>
              <w:keepNext/>
              <w:rPr>
                <w:bCs/>
                <w:i/>
              </w:rPr>
            </w:pPr>
            <w:r>
              <w:rPr>
                <w:bCs/>
              </w:rPr>
              <w:t>Thanks. I’ll change the name of scheme1 to supportOfOnlySingleGroup and scheme2 to supportOfSingleAndMultiGroup</w:t>
            </w:r>
          </w:p>
        </w:tc>
      </w:tr>
      <w:tr w:rsidR="00372110" w:rsidRPr="00D45311" w14:paraId="4D7CE42B" w14:textId="77777777" w:rsidTr="00151990">
        <w:trPr>
          <w:trHeight w:val="127"/>
        </w:trPr>
        <w:tc>
          <w:tcPr>
            <w:tcW w:w="1271" w:type="dxa"/>
            <w:shd w:val="clear" w:color="auto" w:fill="auto"/>
          </w:tcPr>
          <w:p w14:paraId="039EE153" w14:textId="15E180DC" w:rsidR="00372110" w:rsidRPr="00D45311" w:rsidRDefault="00AF4BE1" w:rsidP="00151990">
            <w:pPr>
              <w:pStyle w:val="BodyText"/>
              <w:keepNext/>
              <w:rPr>
                <w:bCs/>
              </w:rPr>
            </w:pPr>
            <w:r>
              <w:rPr>
                <w:bCs/>
              </w:rPr>
              <w:t>Qualcomm</w:t>
            </w:r>
          </w:p>
        </w:tc>
        <w:tc>
          <w:tcPr>
            <w:tcW w:w="4394" w:type="dxa"/>
          </w:tcPr>
          <w:p w14:paraId="1C7D405B" w14:textId="77777777" w:rsidR="00372110" w:rsidRDefault="00AF4BE1" w:rsidP="00151990">
            <w:pPr>
              <w:pStyle w:val="BodyText"/>
              <w:keepNext/>
              <w:rPr>
                <w:bCs/>
              </w:rPr>
            </w:pPr>
            <w:r>
              <w:rPr>
                <w:bCs/>
              </w:rPr>
              <w:t>Minor rewording suggestion:</w:t>
            </w:r>
          </w:p>
          <w:p w14:paraId="0136EE6B" w14:textId="0C1A9663" w:rsidR="00AF4BE1" w:rsidRPr="00D45311" w:rsidRDefault="00AF4BE1" w:rsidP="00151990">
            <w:pPr>
              <w:pStyle w:val="BodyText"/>
              <w:keepNext/>
              <w:rPr>
                <w:bCs/>
              </w:rPr>
            </w:pPr>
            <w:r>
              <w:t xml:space="preserve">“For </w:t>
            </w:r>
            <w:r w:rsidRPr="002F67CC">
              <w:rPr>
                <w:i/>
              </w:rPr>
              <w:t>scheme1</w:t>
            </w:r>
            <w:r>
              <w:t xml:space="preserve">, the </w:t>
            </w:r>
            <w:r w:rsidRPr="009C10EB">
              <w:rPr>
                <w:bCs/>
                <w:iCs/>
              </w:rPr>
              <w:t xml:space="preserve">band indicated as ‘referenceBand’ can be </w:t>
            </w:r>
            <w:r w:rsidRPr="00B07496">
              <w:rPr>
                <w:rFonts w:cs="Arial"/>
                <w:bCs/>
                <w:iCs/>
                <w:szCs w:val="18"/>
              </w:rPr>
              <w:t xml:space="preserve">configured as the reference band for all other band(s) indicated as </w:t>
            </w:r>
            <w:r>
              <w:rPr>
                <w:rFonts w:cs="Arial"/>
                <w:bCs/>
                <w:iCs/>
                <w:szCs w:val="18"/>
              </w:rPr>
              <w:t>‘</w:t>
            </w:r>
            <w:r w:rsidRPr="00B07496">
              <w:rPr>
                <w:rFonts w:cs="Arial"/>
                <w:bCs/>
                <w:iCs/>
                <w:szCs w:val="18"/>
              </w:rPr>
              <w:t>scellWithoutSSB</w:t>
            </w:r>
            <w:r>
              <w:rPr>
                <w:rFonts w:cs="Arial"/>
                <w:bCs/>
                <w:iCs/>
                <w:szCs w:val="18"/>
              </w:rPr>
              <w:t>’</w:t>
            </w:r>
            <w:r w:rsidRPr="00B07496">
              <w:rPr>
                <w:rFonts w:cs="Arial"/>
                <w:bCs/>
                <w:iCs/>
                <w:szCs w:val="18"/>
              </w:rPr>
              <w:t>.</w:t>
            </w:r>
            <w:r>
              <w:rPr>
                <w:rFonts w:cs="Arial"/>
                <w:bCs/>
                <w:iCs/>
                <w:szCs w:val="18"/>
              </w:rPr>
              <w:t xml:space="preserve"> </w:t>
            </w:r>
            <w:r w:rsidRPr="002F67CC">
              <w:rPr>
                <w:rFonts w:cs="Arial"/>
                <w:bCs/>
                <w:iCs/>
                <w:szCs w:val="18"/>
              </w:rPr>
              <w:t xml:space="preserve">The band indicated as ‘both’ can be configured as either </w:t>
            </w:r>
            <w:r w:rsidRPr="00B947C8">
              <w:rPr>
                <w:rFonts w:cs="Arial"/>
                <w:bCs/>
                <w:iCs/>
                <w:color w:val="FF0000"/>
                <w:szCs w:val="18"/>
              </w:rPr>
              <w:t>a</w:t>
            </w:r>
            <w:r w:rsidRPr="00B947C8">
              <w:rPr>
                <w:rFonts w:cs="Arial"/>
                <w:bCs/>
                <w:iCs/>
                <w:strike/>
                <w:color w:val="FF0000"/>
                <w:szCs w:val="18"/>
              </w:rPr>
              <w:t>the</w:t>
            </w:r>
            <w:r w:rsidRPr="002F67CC">
              <w:rPr>
                <w:rFonts w:cs="Arial"/>
                <w:bCs/>
                <w:iCs/>
                <w:szCs w:val="18"/>
              </w:rPr>
              <w:t xml:space="preserve"> reference band or </w:t>
            </w:r>
            <w:r>
              <w:rPr>
                <w:rFonts w:cs="Arial"/>
                <w:bCs/>
                <w:iCs/>
                <w:szCs w:val="18"/>
              </w:rPr>
              <w:t xml:space="preserve">an </w:t>
            </w:r>
            <w:r w:rsidRPr="002F67CC">
              <w:rPr>
                <w:rFonts w:cs="Arial"/>
                <w:bCs/>
                <w:iCs/>
                <w:szCs w:val="18"/>
              </w:rPr>
              <w:t>SSB-less band. If the UE indicates “both” for any band, the UE shall not indicate ‘referenceBand’ or ‘scellWithoutSSB’ in any other band in the band combination.</w:t>
            </w:r>
            <w:r>
              <w:rPr>
                <w:rFonts w:cs="Arial"/>
                <w:bCs/>
                <w:iCs/>
                <w:szCs w:val="18"/>
              </w:rPr>
              <w:t>”</w:t>
            </w:r>
          </w:p>
        </w:tc>
        <w:tc>
          <w:tcPr>
            <w:tcW w:w="4191" w:type="dxa"/>
          </w:tcPr>
          <w:p w14:paraId="33653A5E" w14:textId="1C026786" w:rsidR="00372110" w:rsidRPr="00D45311" w:rsidRDefault="00876A94" w:rsidP="00151990">
            <w:pPr>
              <w:pStyle w:val="BodyText"/>
              <w:keepNext/>
              <w:rPr>
                <w:bCs/>
              </w:rPr>
            </w:pPr>
            <w:r>
              <w:rPr>
                <w:bCs/>
              </w:rPr>
              <w:t>Thanks. It is corrected in draft v01.</w:t>
            </w:r>
          </w:p>
        </w:tc>
      </w:tr>
      <w:tr w:rsidR="00372110" w:rsidRPr="00D45311" w14:paraId="5A5FC6A4" w14:textId="77777777" w:rsidTr="00151990">
        <w:trPr>
          <w:trHeight w:val="127"/>
        </w:trPr>
        <w:tc>
          <w:tcPr>
            <w:tcW w:w="1271" w:type="dxa"/>
            <w:shd w:val="clear" w:color="auto" w:fill="auto"/>
          </w:tcPr>
          <w:p w14:paraId="4B4A178E" w14:textId="77777777" w:rsidR="00372110" w:rsidRPr="00D45311" w:rsidRDefault="00372110" w:rsidP="00151990">
            <w:pPr>
              <w:pStyle w:val="BodyText"/>
              <w:keepNext/>
              <w:rPr>
                <w:bCs/>
              </w:rPr>
            </w:pPr>
          </w:p>
        </w:tc>
        <w:tc>
          <w:tcPr>
            <w:tcW w:w="4394" w:type="dxa"/>
          </w:tcPr>
          <w:p w14:paraId="74768124" w14:textId="77777777" w:rsidR="00372110" w:rsidRPr="00D45311" w:rsidRDefault="00372110" w:rsidP="00151990">
            <w:pPr>
              <w:pStyle w:val="BodyText"/>
              <w:keepNext/>
              <w:rPr>
                <w:bCs/>
              </w:rPr>
            </w:pPr>
          </w:p>
        </w:tc>
        <w:tc>
          <w:tcPr>
            <w:tcW w:w="4191" w:type="dxa"/>
          </w:tcPr>
          <w:p w14:paraId="01454B20" w14:textId="77777777" w:rsidR="00372110" w:rsidRPr="00D45311" w:rsidRDefault="00372110" w:rsidP="00151990">
            <w:pPr>
              <w:pStyle w:val="BodyText"/>
              <w:keepNext/>
              <w:rPr>
                <w:bCs/>
              </w:rPr>
            </w:pPr>
          </w:p>
        </w:tc>
      </w:tr>
      <w:tr w:rsidR="00372110" w:rsidRPr="00D45311" w14:paraId="09F02957" w14:textId="77777777" w:rsidTr="00151990">
        <w:trPr>
          <w:trHeight w:val="127"/>
        </w:trPr>
        <w:tc>
          <w:tcPr>
            <w:tcW w:w="1271" w:type="dxa"/>
            <w:shd w:val="clear" w:color="auto" w:fill="auto"/>
          </w:tcPr>
          <w:p w14:paraId="27546E61" w14:textId="77777777" w:rsidR="00372110" w:rsidRPr="00D45311" w:rsidRDefault="00372110" w:rsidP="00151990">
            <w:pPr>
              <w:pStyle w:val="BodyText"/>
              <w:keepNext/>
              <w:rPr>
                <w:bCs/>
              </w:rPr>
            </w:pPr>
          </w:p>
        </w:tc>
        <w:tc>
          <w:tcPr>
            <w:tcW w:w="4394" w:type="dxa"/>
          </w:tcPr>
          <w:p w14:paraId="6D1B3449" w14:textId="77777777" w:rsidR="00372110" w:rsidRPr="00D45311" w:rsidRDefault="00372110" w:rsidP="00151990">
            <w:pPr>
              <w:pStyle w:val="BodyText"/>
              <w:keepNext/>
              <w:rPr>
                <w:bCs/>
              </w:rPr>
            </w:pPr>
          </w:p>
        </w:tc>
        <w:tc>
          <w:tcPr>
            <w:tcW w:w="4191" w:type="dxa"/>
          </w:tcPr>
          <w:p w14:paraId="47B1C570" w14:textId="77777777" w:rsidR="00372110" w:rsidRPr="00D45311" w:rsidRDefault="00372110" w:rsidP="00151990">
            <w:pPr>
              <w:pStyle w:val="BodyText"/>
              <w:keepNext/>
              <w:rPr>
                <w:bCs/>
                <w:i/>
              </w:rPr>
            </w:pPr>
          </w:p>
        </w:tc>
      </w:tr>
      <w:tr w:rsidR="00372110" w:rsidRPr="00D45311" w14:paraId="391746BB" w14:textId="77777777" w:rsidTr="00151990">
        <w:trPr>
          <w:trHeight w:val="127"/>
        </w:trPr>
        <w:tc>
          <w:tcPr>
            <w:tcW w:w="1271" w:type="dxa"/>
            <w:shd w:val="clear" w:color="auto" w:fill="auto"/>
          </w:tcPr>
          <w:p w14:paraId="5D6EA54D" w14:textId="77777777" w:rsidR="00372110" w:rsidRPr="00D45311" w:rsidRDefault="00372110" w:rsidP="00151990">
            <w:pPr>
              <w:pStyle w:val="BodyText"/>
              <w:keepNext/>
              <w:rPr>
                <w:bCs/>
              </w:rPr>
            </w:pPr>
          </w:p>
        </w:tc>
        <w:tc>
          <w:tcPr>
            <w:tcW w:w="4394" w:type="dxa"/>
          </w:tcPr>
          <w:p w14:paraId="78C86BBD" w14:textId="77777777" w:rsidR="00372110" w:rsidRPr="00D45311" w:rsidRDefault="00372110" w:rsidP="00151990">
            <w:pPr>
              <w:pStyle w:val="BodyText"/>
              <w:keepNext/>
              <w:rPr>
                <w:bCs/>
              </w:rPr>
            </w:pPr>
          </w:p>
        </w:tc>
        <w:tc>
          <w:tcPr>
            <w:tcW w:w="4191" w:type="dxa"/>
          </w:tcPr>
          <w:p w14:paraId="3BDA19A9" w14:textId="77777777" w:rsidR="00372110" w:rsidRPr="00D45311" w:rsidRDefault="00372110" w:rsidP="00151990">
            <w:pPr>
              <w:pStyle w:val="BodyText"/>
              <w:keepNext/>
              <w:rPr>
                <w:bCs/>
              </w:rPr>
            </w:pPr>
          </w:p>
        </w:tc>
      </w:tr>
      <w:tr w:rsidR="00372110" w:rsidRPr="00D45311" w14:paraId="2B29FFD3" w14:textId="77777777" w:rsidTr="00151990">
        <w:trPr>
          <w:trHeight w:val="127"/>
        </w:trPr>
        <w:tc>
          <w:tcPr>
            <w:tcW w:w="1271" w:type="dxa"/>
            <w:shd w:val="clear" w:color="auto" w:fill="auto"/>
          </w:tcPr>
          <w:p w14:paraId="4D0141B5" w14:textId="77777777" w:rsidR="00372110" w:rsidRPr="00D45311" w:rsidRDefault="00372110" w:rsidP="00151990">
            <w:pPr>
              <w:pStyle w:val="BodyText"/>
              <w:keepNext/>
              <w:rPr>
                <w:bCs/>
              </w:rPr>
            </w:pPr>
          </w:p>
        </w:tc>
        <w:tc>
          <w:tcPr>
            <w:tcW w:w="4394" w:type="dxa"/>
          </w:tcPr>
          <w:p w14:paraId="4442AB6C" w14:textId="77777777" w:rsidR="00372110" w:rsidRPr="00D45311" w:rsidRDefault="00372110" w:rsidP="00151990">
            <w:pPr>
              <w:pStyle w:val="BodyText"/>
              <w:keepNext/>
              <w:rPr>
                <w:bCs/>
              </w:rPr>
            </w:pPr>
          </w:p>
        </w:tc>
        <w:tc>
          <w:tcPr>
            <w:tcW w:w="4191" w:type="dxa"/>
          </w:tcPr>
          <w:p w14:paraId="4CB732F0" w14:textId="77777777" w:rsidR="00372110" w:rsidRPr="00D45311" w:rsidRDefault="00372110" w:rsidP="00151990">
            <w:pPr>
              <w:pStyle w:val="BodyText"/>
              <w:keepNext/>
              <w:rPr>
                <w:bCs/>
              </w:rPr>
            </w:pPr>
          </w:p>
        </w:tc>
      </w:tr>
      <w:tr w:rsidR="00372110" w:rsidRPr="00D45311" w14:paraId="762FE807" w14:textId="77777777" w:rsidTr="00151990">
        <w:trPr>
          <w:trHeight w:val="127"/>
        </w:trPr>
        <w:tc>
          <w:tcPr>
            <w:tcW w:w="1271" w:type="dxa"/>
            <w:shd w:val="clear" w:color="auto" w:fill="auto"/>
          </w:tcPr>
          <w:p w14:paraId="054804F1" w14:textId="77777777" w:rsidR="00372110" w:rsidRPr="00D45311" w:rsidRDefault="00372110" w:rsidP="00151990">
            <w:pPr>
              <w:pStyle w:val="BodyText"/>
              <w:keepNext/>
              <w:rPr>
                <w:bCs/>
              </w:rPr>
            </w:pPr>
          </w:p>
        </w:tc>
        <w:tc>
          <w:tcPr>
            <w:tcW w:w="4394" w:type="dxa"/>
          </w:tcPr>
          <w:p w14:paraId="36F24960" w14:textId="77777777" w:rsidR="00372110" w:rsidRPr="00D45311" w:rsidRDefault="00372110" w:rsidP="00151990">
            <w:pPr>
              <w:pStyle w:val="BodyText"/>
              <w:keepNext/>
            </w:pPr>
          </w:p>
        </w:tc>
        <w:tc>
          <w:tcPr>
            <w:tcW w:w="4191" w:type="dxa"/>
          </w:tcPr>
          <w:p w14:paraId="07F5A7B8" w14:textId="77777777" w:rsidR="00372110" w:rsidRPr="00D45311" w:rsidRDefault="00372110" w:rsidP="00151990">
            <w:pPr>
              <w:pStyle w:val="BodyText"/>
              <w:keepNext/>
              <w:rPr>
                <w:bCs/>
                <w:i/>
              </w:rPr>
            </w:pPr>
          </w:p>
        </w:tc>
      </w:tr>
      <w:tr w:rsidR="00372110" w:rsidRPr="00D45311" w14:paraId="1174D2AC" w14:textId="77777777" w:rsidTr="00151990">
        <w:trPr>
          <w:trHeight w:val="127"/>
        </w:trPr>
        <w:tc>
          <w:tcPr>
            <w:tcW w:w="1271" w:type="dxa"/>
            <w:shd w:val="clear" w:color="auto" w:fill="auto"/>
          </w:tcPr>
          <w:p w14:paraId="26E53880" w14:textId="77777777" w:rsidR="00372110" w:rsidRPr="00D45311" w:rsidRDefault="00372110" w:rsidP="00151990">
            <w:pPr>
              <w:pStyle w:val="BodyText"/>
              <w:keepNext/>
              <w:rPr>
                <w:bCs/>
              </w:rPr>
            </w:pPr>
          </w:p>
        </w:tc>
        <w:tc>
          <w:tcPr>
            <w:tcW w:w="4394" w:type="dxa"/>
          </w:tcPr>
          <w:p w14:paraId="42B545F7" w14:textId="77777777" w:rsidR="00372110" w:rsidRPr="00D45311" w:rsidRDefault="00372110" w:rsidP="00151990">
            <w:pPr>
              <w:pStyle w:val="BodyText"/>
              <w:keepNext/>
              <w:rPr>
                <w:bCs/>
              </w:rPr>
            </w:pPr>
          </w:p>
        </w:tc>
        <w:tc>
          <w:tcPr>
            <w:tcW w:w="4191" w:type="dxa"/>
          </w:tcPr>
          <w:p w14:paraId="3F49E8CD" w14:textId="77777777" w:rsidR="00372110" w:rsidRPr="00D45311" w:rsidRDefault="00372110" w:rsidP="00151990">
            <w:pPr>
              <w:pStyle w:val="BodyText"/>
              <w:keepNext/>
              <w:rPr>
                <w:bCs/>
              </w:rPr>
            </w:pPr>
          </w:p>
        </w:tc>
      </w:tr>
    </w:tbl>
    <w:p w14:paraId="5D2FDB87" w14:textId="2B472AEA" w:rsidR="00372110" w:rsidRDefault="00372110" w:rsidP="00A335EE"/>
    <w:p w14:paraId="71FF588A" w14:textId="247957EA" w:rsidR="00757C20" w:rsidRDefault="00757C20" w:rsidP="00757C20">
      <w:pPr>
        <w:pStyle w:val="Heading1"/>
      </w:pPr>
      <w:r>
        <w:t>References</w:t>
      </w:r>
    </w:p>
    <w:p w14:paraId="60FD0869" w14:textId="43D8C745" w:rsidR="00757C20" w:rsidRDefault="00757C20" w:rsidP="00757C20">
      <w:pPr>
        <w:pStyle w:val="ListParagraph"/>
        <w:widowControl/>
        <w:numPr>
          <w:ilvl w:val="0"/>
          <w:numId w:val="13"/>
        </w:numPr>
        <w:ind w:firstLineChars="0"/>
        <w:jc w:val="left"/>
        <w:rPr>
          <w:rFonts w:ascii="Times New Roman" w:hAnsi="Times New Roman"/>
          <w:sz w:val="20"/>
          <w:szCs w:val="20"/>
        </w:rPr>
      </w:pPr>
      <w:r w:rsidRPr="00C619DC">
        <w:rPr>
          <w:rFonts w:ascii="Times New Roman" w:hAnsi="Times New Roman"/>
          <w:sz w:val="20"/>
          <w:szCs w:val="20"/>
        </w:rPr>
        <w:t>R2-</w:t>
      </w:r>
      <w:r w:rsidRPr="00757C20">
        <w:rPr>
          <w:rFonts w:ascii="Times New Roman" w:hAnsi="Times New Roman"/>
          <w:sz w:val="20"/>
          <w:szCs w:val="20"/>
        </w:rPr>
        <w:t>2405659</w:t>
      </w:r>
      <w:r>
        <w:rPr>
          <w:rFonts w:ascii="Times New Roman" w:hAnsi="Times New Roman"/>
          <w:sz w:val="20"/>
          <w:szCs w:val="20"/>
        </w:rPr>
        <w:t xml:space="preserve"> </w:t>
      </w:r>
      <w:r w:rsidRPr="00757C20">
        <w:rPr>
          <w:rFonts w:ascii="Times New Roman" w:hAnsi="Times New Roman"/>
          <w:sz w:val="20"/>
          <w:szCs w:val="20"/>
        </w:rPr>
        <w:t>Discussion on UE capabilities for inter-band SSB-less SCell operation</w:t>
      </w:r>
    </w:p>
    <w:p w14:paraId="6E6176CF" w14:textId="5EC31D37" w:rsidR="009955C7" w:rsidRPr="00E14384" w:rsidRDefault="00FD5641" w:rsidP="00757C20">
      <w:pPr>
        <w:pStyle w:val="ListParagraph"/>
        <w:widowControl/>
        <w:numPr>
          <w:ilvl w:val="0"/>
          <w:numId w:val="13"/>
        </w:numPr>
        <w:ind w:firstLineChars="0"/>
        <w:jc w:val="left"/>
        <w:rPr>
          <w:rFonts w:ascii="Times New Roman" w:hAnsi="Times New Roman"/>
          <w:sz w:val="20"/>
          <w:szCs w:val="20"/>
        </w:rPr>
      </w:pPr>
      <w:r w:rsidRPr="00FD5641">
        <w:rPr>
          <w:rFonts w:ascii="Times New Roman" w:hAnsi="Times New Roman"/>
          <w:sz w:val="20"/>
          <w:szCs w:val="20"/>
        </w:rPr>
        <w:t>R2-2405304</w:t>
      </w:r>
      <w:r>
        <w:rPr>
          <w:rFonts w:ascii="Times New Roman" w:hAnsi="Times New Roman"/>
          <w:sz w:val="20"/>
          <w:szCs w:val="20"/>
        </w:rPr>
        <w:t xml:space="preserve"> </w:t>
      </w:r>
      <w:r w:rsidRPr="00FD5641">
        <w:rPr>
          <w:rFonts w:ascii="Times New Roman" w:hAnsi="Times New Roman"/>
          <w:sz w:val="20"/>
          <w:szCs w:val="20"/>
        </w:rPr>
        <w:t>UE Capability for Inter-band SSB-less CA</w:t>
      </w:r>
    </w:p>
    <w:p w14:paraId="64460B0D" w14:textId="77777777" w:rsidR="00757C20" w:rsidRDefault="00757C20" w:rsidP="00A335EE"/>
    <w:sectPr w:rsidR="00757C2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CCAD" w14:textId="77777777" w:rsidR="00C92D20" w:rsidRDefault="00C92D20" w:rsidP="003E7FE5">
      <w:r>
        <w:separator/>
      </w:r>
    </w:p>
  </w:endnote>
  <w:endnote w:type="continuationSeparator" w:id="0">
    <w:p w14:paraId="7FD351B3" w14:textId="77777777" w:rsidR="00C92D20" w:rsidRDefault="00C92D20"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ms Rmn">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C432" w14:textId="77777777" w:rsidR="00C92D20" w:rsidRDefault="00C92D20" w:rsidP="003E7FE5">
      <w:r>
        <w:separator/>
      </w:r>
    </w:p>
  </w:footnote>
  <w:footnote w:type="continuationSeparator" w:id="0">
    <w:p w14:paraId="74CCCBC1" w14:textId="77777777" w:rsidR="00C92D20" w:rsidRDefault="00C92D20"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33B87"/>
    <w:multiLevelType w:val="hybridMultilevel"/>
    <w:tmpl w:val="C2F85556"/>
    <w:lvl w:ilvl="0" w:tplc="ACD4C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77CD5"/>
    <w:multiLevelType w:val="hybridMultilevel"/>
    <w:tmpl w:val="9F94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C621B81"/>
    <w:multiLevelType w:val="hybridMultilevel"/>
    <w:tmpl w:val="C3007200"/>
    <w:lvl w:ilvl="0" w:tplc="8006054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7130E3"/>
    <w:multiLevelType w:val="hybridMultilevel"/>
    <w:tmpl w:val="90405862"/>
    <w:lvl w:ilvl="0" w:tplc="C6369E86">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6"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F415D"/>
    <w:multiLevelType w:val="multilevel"/>
    <w:tmpl w:val="F14EC5B6"/>
    <w:lvl w:ilvl="0">
      <w:start w:val="1"/>
      <w:numFmt w:val="decimal"/>
      <w:pStyle w:val="Heading1"/>
      <w:lvlText w:val="%1."/>
      <w:lvlJc w:val="left"/>
      <w:pPr>
        <w:ind w:left="0" w:firstLine="0"/>
      </w:pPr>
      <w:rPr>
        <w:rFonts w:hint="eastAsia"/>
      </w:rPr>
    </w:lvl>
    <w:lvl w:ilvl="1">
      <w:start w:val="1"/>
      <w:numFmt w:val="decimal"/>
      <w:pStyle w:val="Heading2"/>
      <w:lvlText w:val="%1.%2."/>
      <w:lvlJc w:val="left"/>
      <w:pPr>
        <w:ind w:left="0" w:firstLine="0"/>
      </w:pPr>
      <w:rPr>
        <w:rFonts w:hint="eastAsia"/>
      </w:rPr>
    </w:lvl>
    <w:lvl w:ilvl="2">
      <w:start w:val="1"/>
      <w:numFmt w:val="decimal"/>
      <w:pStyle w:val="Heading3"/>
      <w:lvlText w:val="%1.%2.%3."/>
      <w:lvlJc w:val="left"/>
      <w:pPr>
        <w:ind w:left="0" w:firstLine="0"/>
      </w:pPr>
      <w:rPr>
        <w:rFonts w:hint="eastAsia"/>
      </w:rPr>
    </w:lvl>
    <w:lvl w:ilvl="3">
      <w:start w:val="1"/>
      <w:numFmt w:val="decimal"/>
      <w:pStyle w:val="Heading4"/>
      <w:lvlText w:val="%1.%2.%3.%4."/>
      <w:lvlJc w:val="left"/>
      <w:pPr>
        <w:ind w:left="0" w:firstLine="0"/>
      </w:pPr>
      <w:rPr>
        <w:rFonts w:hint="eastAsia"/>
      </w:rPr>
    </w:lvl>
    <w:lvl w:ilvl="4">
      <w:start w:val="1"/>
      <w:numFmt w:val="decimal"/>
      <w:pStyle w:val="Heading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3"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7"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056739">
    <w:abstractNumId w:val="21"/>
  </w:num>
  <w:num w:numId="2" w16cid:durableId="1478304971">
    <w:abstractNumId w:val="23"/>
  </w:num>
  <w:num w:numId="3" w16cid:durableId="1192381453">
    <w:abstractNumId w:val="17"/>
  </w:num>
  <w:num w:numId="4" w16cid:durableId="427971586">
    <w:abstractNumId w:val="5"/>
  </w:num>
  <w:num w:numId="5" w16cid:durableId="1451431361">
    <w:abstractNumId w:val="26"/>
  </w:num>
  <w:num w:numId="6" w16cid:durableId="402217562">
    <w:abstractNumId w:val="24"/>
  </w:num>
  <w:num w:numId="7" w16cid:durableId="189152633">
    <w:abstractNumId w:val="14"/>
  </w:num>
  <w:num w:numId="8" w16cid:durableId="407460256">
    <w:abstractNumId w:val="7"/>
  </w:num>
  <w:num w:numId="9" w16cid:durableId="558132938">
    <w:abstractNumId w:val="27"/>
  </w:num>
  <w:num w:numId="10" w16cid:durableId="536746886">
    <w:abstractNumId w:val="13"/>
  </w:num>
  <w:num w:numId="11" w16cid:durableId="1743671687">
    <w:abstractNumId w:val="22"/>
  </w:num>
  <w:num w:numId="12" w16cid:durableId="721291778">
    <w:abstractNumId w:val="9"/>
  </w:num>
  <w:num w:numId="13" w16cid:durableId="749161324">
    <w:abstractNumId w:val="28"/>
  </w:num>
  <w:num w:numId="14" w16cid:durableId="1276985980">
    <w:abstractNumId w:val="6"/>
  </w:num>
  <w:num w:numId="15" w16cid:durableId="815953112">
    <w:abstractNumId w:val="20"/>
  </w:num>
  <w:num w:numId="16" w16cid:durableId="1780446275">
    <w:abstractNumId w:val="1"/>
  </w:num>
  <w:num w:numId="17" w16cid:durableId="1107971161">
    <w:abstractNumId w:val="0"/>
  </w:num>
  <w:num w:numId="18" w16cid:durableId="1049694219">
    <w:abstractNumId w:val="15"/>
  </w:num>
  <w:num w:numId="19" w16cid:durableId="837814078">
    <w:abstractNumId w:val="4"/>
  </w:num>
  <w:num w:numId="20" w16cid:durableId="44764926">
    <w:abstractNumId w:val="25"/>
  </w:num>
  <w:num w:numId="21" w16cid:durableId="1483234456">
    <w:abstractNumId w:val="11"/>
  </w:num>
  <w:num w:numId="22" w16cid:durableId="1632708584">
    <w:abstractNumId w:val="8"/>
  </w:num>
  <w:num w:numId="23" w16cid:durableId="113641781">
    <w:abstractNumId w:val="19"/>
  </w:num>
  <w:num w:numId="24" w16cid:durableId="2128891371">
    <w:abstractNumId w:val="16"/>
  </w:num>
  <w:num w:numId="25" w16cid:durableId="324207628">
    <w:abstractNumId w:val="18"/>
  </w:num>
  <w:num w:numId="26" w16cid:durableId="1768652328">
    <w:abstractNumId w:val="12"/>
  </w:num>
  <w:num w:numId="27" w16cid:durableId="250509109">
    <w:abstractNumId w:val="3"/>
  </w:num>
  <w:num w:numId="28" w16cid:durableId="915672658">
    <w:abstractNumId w:val="2"/>
  </w:num>
  <w:num w:numId="29" w16cid:durableId="659844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136C4"/>
    <w:rsid w:val="00013CA5"/>
    <w:rsid w:val="00014A9A"/>
    <w:rsid w:val="00031F61"/>
    <w:rsid w:val="00034AE9"/>
    <w:rsid w:val="0003633F"/>
    <w:rsid w:val="00040EE6"/>
    <w:rsid w:val="000444C5"/>
    <w:rsid w:val="00046C11"/>
    <w:rsid w:val="00050EF2"/>
    <w:rsid w:val="0005104F"/>
    <w:rsid w:val="000538CF"/>
    <w:rsid w:val="0006132B"/>
    <w:rsid w:val="00065316"/>
    <w:rsid w:val="00071B22"/>
    <w:rsid w:val="00077CB0"/>
    <w:rsid w:val="000979B9"/>
    <w:rsid w:val="000A3A3B"/>
    <w:rsid w:val="000B47AC"/>
    <w:rsid w:val="000C0112"/>
    <w:rsid w:val="000C07F7"/>
    <w:rsid w:val="000C5C4E"/>
    <w:rsid w:val="000D5E43"/>
    <w:rsid w:val="000E28B5"/>
    <w:rsid w:val="000E758D"/>
    <w:rsid w:val="000F0640"/>
    <w:rsid w:val="000F3347"/>
    <w:rsid w:val="000F3C15"/>
    <w:rsid w:val="00111791"/>
    <w:rsid w:val="001121CD"/>
    <w:rsid w:val="001129D4"/>
    <w:rsid w:val="001248FF"/>
    <w:rsid w:val="00135647"/>
    <w:rsid w:val="001410D9"/>
    <w:rsid w:val="001445FB"/>
    <w:rsid w:val="001448D5"/>
    <w:rsid w:val="00144E74"/>
    <w:rsid w:val="00145A59"/>
    <w:rsid w:val="00150E22"/>
    <w:rsid w:val="0016785A"/>
    <w:rsid w:val="0017273B"/>
    <w:rsid w:val="00184B1A"/>
    <w:rsid w:val="00194059"/>
    <w:rsid w:val="0019464C"/>
    <w:rsid w:val="00194C84"/>
    <w:rsid w:val="001A25FC"/>
    <w:rsid w:val="001A2E65"/>
    <w:rsid w:val="001A5E91"/>
    <w:rsid w:val="001B0536"/>
    <w:rsid w:val="001B2682"/>
    <w:rsid w:val="001F245A"/>
    <w:rsid w:val="00204CF4"/>
    <w:rsid w:val="00205808"/>
    <w:rsid w:val="00211D99"/>
    <w:rsid w:val="00212BD5"/>
    <w:rsid w:val="00214A6C"/>
    <w:rsid w:val="002159F4"/>
    <w:rsid w:val="00216C1E"/>
    <w:rsid w:val="002225FD"/>
    <w:rsid w:val="0024322C"/>
    <w:rsid w:val="0024360C"/>
    <w:rsid w:val="002541C7"/>
    <w:rsid w:val="0026661A"/>
    <w:rsid w:val="002677A0"/>
    <w:rsid w:val="00284C62"/>
    <w:rsid w:val="002855E3"/>
    <w:rsid w:val="00285D0F"/>
    <w:rsid w:val="00292F23"/>
    <w:rsid w:val="002A3898"/>
    <w:rsid w:val="002A4CB7"/>
    <w:rsid w:val="002A5FBD"/>
    <w:rsid w:val="002A6B9F"/>
    <w:rsid w:val="002B1637"/>
    <w:rsid w:val="002B351A"/>
    <w:rsid w:val="002C273C"/>
    <w:rsid w:val="002C4919"/>
    <w:rsid w:val="002D240D"/>
    <w:rsid w:val="002E253E"/>
    <w:rsid w:val="002E7299"/>
    <w:rsid w:val="002F0EC7"/>
    <w:rsid w:val="00311AE4"/>
    <w:rsid w:val="003144E6"/>
    <w:rsid w:val="003153AB"/>
    <w:rsid w:val="00317713"/>
    <w:rsid w:val="003254CB"/>
    <w:rsid w:val="00333C3D"/>
    <w:rsid w:val="00343E37"/>
    <w:rsid w:val="00347969"/>
    <w:rsid w:val="00347FC6"/>
    <w:rsid w:val="003673B5"/>
    <w:rsid w:val="00367A74"/>
    <w:rsid w:val="00367D52"/>
    <w:rsid w:val="0037005D"/>
    <w:rsid w:val="00370768"/>
    <w:rsid w:val="00372110"/>
    <w:rsid w:val="003777D8"/>
    <w:rsid w:val="0038200A"/>
    <w:rsid w:val="00385BCD"/>
    <w:rsid w:val="00386243"/>
    <w:rsid w:val="00392CF2"/>
    <w:rsid w:val="00394D3B"/>
    <w:rsid w:val="003A2AEA"/>
    <w:rsid w:val="003A59E6"/>
    <w:rsid w:val="003A7B7A"/>
    <w:rsid w:val="003B4E47"/>
    <w:rsid w:val="003E53BD"/>
    <w:rsid w:val="003E7FE5"/>
    <w:rsid w:val="003F34BD"/>
    <w:rsid w:val="003F38E3"/>
    <w:rsid w:val="003F5429"/>
    <w:rsid w:val="00412253"/>
    <w:rsid w:val="0041602B"/>
    <w:rsid w:val="004229EB"/>
    <w:rsid w:val="004274ED"/>
    <w:rsid w:val="00427623"/>
    <w:rsid w:val="004276BF"/>
    <w:rsid w:val="004526A5"/>
    <w:rsid w:val="00453D3C"/>
    <w:rsid w:val="0046355E"/>
    <w:rsid w:val="004A21A1"/>
    <w:rsid w:val="004A41B2"/>
    <w:rsid w:val="004B1C2A"/>
    <w:rsid w:val="004C14A6"/>
    <w:rsid w:val="004D0653"/>
    <w:rsid w:val="004E29CA"/>
    <w:rsid w:val="004F599D"/>
    <w:rsid w:val="004F773B"/>
    <w:rsid w:val="00500EFE"/>
    <w:rsid w:val="005017F6"/>
    <w:rsid w:val="00506AD4"/>
    <w:rsid w:val="00520FF5"/>
    <w:rsid w:val="00536C5B"/>
    <w:rsid w:val="00541641"/>
    <w:rsid w:val="00550120"/>
    <w:rsid w:val="0055188C"/>
    <w:rsid w:val="00556616"/>
    <w:rsid w:val="00572C05"/>
    <w:rsid w:val="0058079C"/>
    <w:rsid w:val="005A3E2F"/>
    <w:rsid w:val="005A680C"/>
    <w:rsid w:val="005A7643"/>
    <w:rsid w:val="005B3788"/>
    <w:rsid w:val="005B39D2"/>
    <w:rsid w:val="005C100D"/>
    <w:rsid w:val="005D01F2"/>
    <w:rsid w:val="00600071"/>
    <w:rsid w:val="006011D9"/>
    <w:rsid w:val="00624E50"/>
    <w:rsid w:val="00634076"/>
    <w:rsid w:val="0063539D"/>
    <w:rsid w:val="0063767E"/>
    <w:rsid w:val="006419F8"/>
    <w:rsid w:val="00643342"/>
    <w:rsid w:val="0065313B"/>
    <w:rsid w:val="00656556"/>
    <w:rsid w:val="006623BF"/>
    <w:rsid w:val="006648C3"/>
    <w:rsid w:val="00665DC2"/>
    <w:rsid w:val="00670BA2"/>
    <w:rsid w:val="00675CA4"/>
    <w:rsid w:val="00682800"/>
    <w:rsid w:val="00690A1F"/>
    <w:rsid w:val="00693AE6"/>
    <w:rsid w:val="006A07E3"/>
    <w:rsid w:val="006A6EC8"/>
    <w:rsid w:val="006A6EE1"/>
    <w:rsid w:val="006B0026"/>
    <w:rsid w:val="006B0A03"/>
    <w:rsid w:val="006D7C23"/>
    <w:rsid w:val="006F1638"/>
    <w:rsid w:val="0070097A"/>
    <w:rsid w:val="00701947"/>
    <w:rsid w:val="00701B54"/>
    <w:rsid w:val="00714906"/>
    <w:rsid w:val="0071613D"/>
    <w:rsid w:val="00717A50"/>
    <w:rsid w:val="007262A1"/>
    <w:rsid w:val="00730ADF"/>
    <w:rsid w:val="0073196B"/>
    <w:rsid w:val="007513E6"/>
    <w:rsid w:val="00756311"/>
    <w:rsid w:val="00757C20"/>
    <w:rsid w:val="00762D81"/>
    <w:rsid w:val="00767A97"/>
    <w:rsid w:val="00775F8A"/>
    <w:rsid w:val="007801CA"/>
    <w:rsid w:val="00785972"/>
    <w:rsid w:val="00793319"/>
    <w:rsid w:val="007933C2"/>
    <w:rsid w:val="007A06E2"/>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3EDA"/>
    <w:rsid w:val="00876A94"/>
    <w:rsid w:val="00881EED"/>
    <w:rsid w:val="0088237E"/>
    <w:rsid w:val="00893D5C"/>
    <w:rsid w:val="008A0860"/>
    <w:rsid w:val="008A0A72"/>
    <w:rsid w:val="008A2CEE"/>
    <w:rsid w:val="008A52CB"/>
    <w:rsid w:val="008A628C"/>
    <w:rsid w:val="008B694D"/>
    <w:rsid w:val="008C51EE"/>
    <w:rsid w:val="008C56EC"/>
    <w:rsid w:val="008D2A54"/>
    <w:rsid w:val="008D2DC8"/>
    <w:rsid w:val="008D466F"/>
    <w:rsid w:val="008D6FFA"/>
    <w:rsid w:val="008E08F7"/>
    <w:rsid w:val="008E2817"/>
    <w:rsid w:val="008F4F46"/>
    <w:rsid w:val="009054E4"/>
    <w:rsid w:val="00913ACC"/>
    <w:rsid w:val="0091483E"/>
    <w:rsid w:val="00915EE7"/>
    <w:rsid w:val="009273D6"/>
    <w:rsid w:val="0093036F"/>
    <w:rsid w:val="009320AD"/>
    <w:rsid w:val="009502F8"/>
    <w:rsid w:val="00951882"/>
    <w:rsid w:val="0095302C"/>
    <w:rsid w:val="009550A3"/>
    <w:rsid w:val="00961A3A"/>
    <w:rsid w:val="009641FC"/>
    <w:rsid w:val="00970404"/>
    <w:rsid w:val="00970C8D"/>
    <w:rsid w:val="00972CED"/>
    <w:rsid w:val="00977917"/>
    <w:rsid w:val="0098006B"/>
    <w:rsid w:val="00987FD6"/>
    <w:rsid w:val="00990DC3"/>
    <w:rsid w:val="009955C7"/>
    <w:rsid w:val="009A4A8D"/>
    <w:rsid w:val="009A760A"/>
    <w:rsid w:val="009B4524"/>
    <w:rsid w:val="009B7AAC"/>
    <w:rsid w:val="009C2B9D"/>
    <w:rsid w:val="009C462E"/>
    <w:rsid w:val="009D02D9"/>
    <w:rsid w:val="009D20AB"/>
    <w:rsid w:val="009E6EA6"/>
    <w:rsid w:val="00A01A11"/>
    <w:rsid w:val="00A03F0A"/>
    <w:rsid w:val="00A05584"/>
    <w:rsid w:val="00A11527"/>
    <w:rsid w:val="00A16653"/>
    <w:rsid w:val="00A17013"/>
    <w:rsid w:val="00A2414B"/>
    <w:rsid w:val="00A335EE"/>
    <w:rsid w:val="00A36B0F"/>
    <w:rsid w:val="00A4127C"/>
    <w:rsid w:val="00A93A63"/>
    <w:rsid w:val="00A95FAE"/>
    <w:rsid w:val="00A9772D"/>
    <w:rsid w:val="00AB3E59"/>
    <w:rsid w:val="00AC1C58"/>
    <w:rsid w:val="00AD031B"/>
    <w:rsid w:val="00AD0E12"/>
    <w:rsid w:val="00AD753B"/>
    <w:rsid w:val="00AD7BC2"/>
    <w:rsid w:val="00AE41DC"/>
    <w:rsid w:val="00AF48F0"/>
    <w:rsid w:val="00AF4BE1"/>
    <w:rsid w:val="00AF4CE4"/>
    <w:rsid w:val="00B00FF2"/>
    <w:rsid w:val="00B05328"/>
    <w:rsid w:val="00B1430E"/>
    <w:rsid w:val="00B22A4A"/>
    <w:rsid w:val="00B24CF7"/>
    <w:rsid w:val="00B26743"/>
    <w:rsid w:val="00B3204D"/>
    <w:rsid w:val="00B4348E"/>
    <w:rsid w:val="00B446DC"/>
    <w:rsid w:val="00B446F1"/>
    <w:rsid w:val="00B52922"/>
    <w:rsid w:val="00B57B57"/>
    <w:rsid w:val="00B868C1"/>
    <w:rsid w:val="00B9219A"/>
    <w:rsid w:val="00B92ABE"/>
    <w:rsid w:val="00B93E9D"/>
    <w:rsid w:val="00BA57C4"/>
    <w:rsid w:val="00BA70E1"/>
    <w:rsid w:val="00BC5F07"/>
    <w:rsid w:val="00BD442D"/>
    <w:rsid w:val="00BD7E02"/>
    <w:rsid w:val="00BE21E2"/>
    <w:rsid w:val="00BF0555"/>
    <w:rsid w:val="00BF43BA"/>
    <w:rsid w:val="00BF4A30"/>
    <w:rsid w:val="00BF7746"/>
    <w:rsid w:val="00C052EE"/>
    <w:rsid w:val="00C06A16"/>
    <w:rsid w:val="00C06DD9"/>
    <w:rsid w:val="00C17456"/>
    <w:rsid w:val="00C3345D"/>
    <w:rsid w:val="00C35B89"/>
    <w:rsid w:val="00C43661"/>
    <w:rsid w:val="00C460E9"/>
    <w:rsid w:val="00C52385"/>
    <w:rsid w:val="00C5244F"/>
    <w:rsid w:val="00C57EB4"/>
    <w:rsid w:val="00C7419D"/>
    <w:rsid w:val="00C743EE"/>
    <w:rsid w:val="00C77522"/>
    <w:rsid w:val="00C8623C"/>
    <w:rsid w:val="00C92D20"/>
    <w:rsid w:val="00C93B24"/>
    <w:rsid w:val="00CC10F6"/>
    <w:rsid w:val="00CC69B3"/>
    <w:rsid w:val="00CD02FB"/>
    <w:rsid w:val="00CD2A71"/>
    <w:rsid w:val="00CD3CB3"/>
    <w:rsid w:val="00CE0AA1"/>
    <w:rsid w:val="00CE0C0B"/>
    <w:rsid w:val="00CE4821"/>
    <w:rsid w:val="00CF4EDB"/>
    <w:rsid w:val="00CF6E22"/>
    <w:rsid w:val="00D053C8"/>
    <w:rsid w:val="00D05810"/>
    <w:rsid w:val="00D0686A"/>
    <w:rsid w:val="00D114AE"/>
    <w:rsid w:val="00D12EEE"/>
    <w:rsid w:val="00D20DC5"/>
    <w:rsid w:val="00D2425A"/>
    <w:rsid w:val="00D25BC8"/>
    <w:rsid w:val="00D274E6"/>
    <w:rsid w:val="00D379C9"/>
    <w:rsid w:val="00D463E4"/>
    <w:rsid w:val="00D62CF7"/>
    <w:rsid w:val="00D76B3E"/>
    <w:rsid w:val="00D776E0"/>
    <w:rsid w:val="00D801CB"/>
    <w:rsid w:val="00D83468"/>
    <w:rsid w:val="00D8388D"/>
    <w:rsid w:val="00D97559"/>
    <w:rsid w:val="00DA6D01"/>
    <w:rsid w:val="00DB08DE"/>
    <w:rsid w:val="00DC53DB"/>
    <w:rsid w:val="00DC71A7"/>
    <w:rsid w:val="00DE717C"/>
    <w:rsid w:val="00DE742A"/>
    <w:rsid w:val="00DF7126"/>
    <w:rsid w:val="00E00378"/>
    <w:rsid w:val="00E14384"/>
    <w:rsid w:val="00E165F2"/>
    <w:rsid w:val="00E16EEA"/>
    <w:rsid w:val="00E3582D"/>
    <w:rsid w:val="00E443C4"/>
    <w:rsid w:val="00E8327F"/>
    <w:rsid w:val="00E84368"/>
    <w:rsid w:val="00E871C0"/>
    <w:rsid w:val="00E87241"/>
    <w:rsid w:val="00E95E8A"/>
    <w:rsid w:val="00EA6DAA"/>
    <w:rsid w:val="00EB1A73"/>
    <w:rsid w:val="00EB2590"/>
    <w:rsid w:val="00EB4A53"/>
    <w:rsid w:val="00EC71E8"/>
    <w:rsid w:val="00ED09D5"/>
    <w:rsid w:val="00ED0D9A"/>
    <w:rsid w:val="00ED7DC5"/>
    <w:rsid w:val="00EE116B"/>
    <w:rsid w:val="00EF0749"/>
    <w:rsid w:val="00EF37B8"/>
    <w:rsid w:val="00EF4284"/>
    <w:rsid w:val="00EF64BE"/>
    <w:rsid w:val="00EF7D0A"/>
    <w:rsid w:val="00F00C59"/>
    <w:rsid w:val="00F20B0A"/>
    <w:rsid w:val="00F27036"/>
    <w:rsid w:val="00F432E2"/>
    <w:rsid w:val="00F46F52"/>
    <w:rsid w:val="00F66CFB"/>
    <w:rsid w:val="00F8561D"/>
    <w:rsid w:val="00F9090A"/>
    <w:rsid w:val="00FA0A28"/>
    <w:rsid w:val="00FA2A01"/>
    <w:rsid w:val="00FA5ECF"/>
    <w:rsid w:val="00FB2D79"/>
    <w:rsid w:val="00FC62BD"/>
    <w:rsid w:val="00FD08A4"/>
    <w:rsid w:val="00FD5641"/>
    <w:rsid w:val="00FD6F5E"/>
    <w:rsid w:val="00FE102E"/>
    <w:rsid w:val="00FE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E5"/>
    <w:pPr>
      <w:widowControl w:val="0"/>
      <w:jc w:val="both"/>
    </w:pPr>
  </w:style>
  <w:style w:type="paragraph" w:styleId="Heading1">
    <w:name w:val="heading 1"/>
    <w:aliases w:val="H1,Memo Heading 1,h1 + 11 pt,Before:  6 pt,After:  0 pt,NMP Heading 1,h11,h12,h13,h14,h15,h16,app heading 1,l1,Heading 1_a,heading 1,h17,h111,h121,h131,h141,h151,h161,h18,h112,h122,h132,h142,h152,h162,h19,h113,h123,h133,h143,h153,h163"/>
    <w:basedOn w:val="Normal"/>
    <w:next w:val="Normal"/>
    <w:link w:val="Heading1Char"/>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Heading2">
    <w:name w:val="heading 2"/>
    <w:aliases w:val="H2,h2,Head2A,2,UNDERRUBRIK 1-2,DO NOT USE_h2,h21,Heading 2 Char,H2 Char,h2 Char"/>
    <w:basedOn w:val="Normal"/>
    <w:next w:val="Normal"/>
    <w:link w:val="Heading2Char1"/>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Normal"/>
    <w:next w:val="Normal"/>
    <w:link w:val="Heading3Char1"/>
    <w:qFormat/>
    <w:rsid w:val="00C052EE"/>
    <w:pPr>
      <w:keepNext/>
      <w:keepLines/>
      <w:widowControl/>
      <w:numPr>
        <w:ilvl w:val="2"/>
        <w:numId w:val="1"/>
      </w:numPr>
      <w:ind w:left="1134" w:hanging="1134"/>
      <w:outlineLvl w:val="2"/>
    </w:pPr>
    <w:rPr>
      <w:rFonts w:ascii="Arial" w:hAnsi="Arial" w:cs="Arial"/>
      <w:bCs/>
      <w:sz w:val="28"/>
      <w:szCs w:val="28"/>
    </w:rPr>
  </w:style>
  <w:style w:type="paragraph" w:styleId="Heading4">
    <w:name w:val="heading 4"/>
    <w:aliases w:val="h4,H4,H41,h41,H42,h42,H43,h43,H411,h411,H421,h421,H44,h44,H412,h412,H422,h422,H431,h431,H45,h45,H413,h413,H423,h423,H432,h432,H46,h46,H47,h47,Memo Heading 4,Memo Heading 5,4H,Heading,4,Memo,5,heading 4"/>
    <w:basedOn w:val="Normal"/>
    <w:next w:val="Normal"/>
    <w:link w:val="Heading4Char"/>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Heading5">
    <w:name w:val="heading 5"/>
    <w:aliases w:val="h5,Heading5"/>
    <w:basedOn w:val="Normal"/>
    <w:next w:val="Normal"/>
    <w:link w:val="Heading5Char"/>
    <w:qFormat/>
    <w:rsid w:val="00C052EE"/>
    <w:pPr>
      <w:keepNext/>
      <w:keepLines/>
      <w:widowControl/>
      <w:numPr>
        <w:ilvl w:val="4"/>
        <w:numId w:val="1"/>
      </w:numPr>
      <w:ind w:left="1134" w:hanging="1134"/>
      <w:outlineLvl w:val="4"/>
    </w:pPr>
    <w:rPr>
      <w:rFonts w:ascii="Arial" w:hAnsi="Arial" w:cs="Arial"/>
      <w:bCs/>
      <w:sz w:val="22"/>
      <w:szCs w:val="22"/>
    </w:rPr>
  </w:style>
  <w:style w:type="paragraph" w:styleId="Heading6">
    <w:name w:val="heading 6"/>
    <w:basedOn w:val="Normal"/>
    <w:next w:val="Normal"/>
    <w:link w:val="Heading6Char"/>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Heading8">
    <w:name w:val="heading 8"/>
    <w:basedOn w:val="Heading1"/>
    <w:next w:val="Normal"/>
    <w:link w:val="Heading8Char"/>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Heading9">
    <w:name w:val="heading 9"/>
    <w:basedOn w:val="Heading8"/>
    <w:next w:val="Normal"/>
    <w:link w:val="Heading9Char"/>
    <w:qFormat/>
    <w:rsid w:val="00333C3D"/>
    <w:pPr>
      <w:tabs>
        <w:tab w:val="clear" w:pos="3162"/>
        <w:tab w:val="num" w:pos="3306"/>
      </w:tabs>
      <w:ind w:left="3306"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3E7FE5"/>
    <w:rPr>
      <w:sz w:val="18"/>
      <w:szCs w:val="18"/>
    </w:rPr>
  </w:style>
  <w:style w:type="paragraph" w:styleId="Footer">
    <w:name w:val="footer"/>
    <w:basedOn w:val="Normal"/>
    <w:link w:val="FooterChar"/>
    <w:unhideWhenUsed/>
    <w:rsid w:val="003E7F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E7FE5"/>
    <w:rPr>
      <w:sz w:val="18"/>
      <w:szCs w:val="18"/>
    </w:rPr>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basedOn w:val="DefaultParagraphFont"/>
    <w:link w:val="Heading1"/>
    <w:uiPriority w:val="9"/>
    <w:rsid w:val="00C052EE"/>
    <w:rPr>
      <w:rFonts w:ascii="Arial" w:hAnsi="Arial" w:cs="Arial"/>
      <w:bCs/>
      <w:kern w:val="44"/>
      <w:sz w:val="36"/>
      <w:szCs w:val="36"/>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uiPriority w:val="9"/>
    <w:rsid w:val="00C052EE"/>
    <w:rPr>
      <w:rFonts w:ascii="Arial" w:eastAsiaTheme="majorEastAsia" w:hAnsi="Arial" w:cs="Arial"/>
      <w:bCs/>
      <w:sz w:val="32"/>
      <w:szCs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basedOn w:val="DefaultParagraphFont"/>
    <w:link w:val="Heading3"/>
    <w:uiPriority w:val="9"/>
    <w:rsid w:val="00C052EE"/>
    <w:rPr>
      <w:rFonts w:ascii="Arial" w:hAnsi="Arial" w:cs="Arial"/>
      <w:bCs/>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052EE"/>
    <w:rPr>
      <w:rFonts w:ascii="Arial" w:eastAsiaTheme="majorEastAsia" w:hAnsi="Arial" w:cs="Arial"/>
      <w:bCs/>
      <w:sz w:val="24"/>
      <w:szCs w:val="24"/>
    </w:rPr>
  </w:style>
  <w:style w:type="character" w:customStyle="1" w:styleId="Heading5Char">
    <w:name w:val="Heading 5 Char"/>
    <w:aliases w:val="h5 Char,Heading5 Char"/>
    <w:basedOn w:val="DefaultParagraphFont"/>
    <w:link w:val="Heading5"/>
    <w:uiPriority w:val="9"/>
    <w:rsid w:val="00C052EE"/>
    <w:rPr>
      <w:rFonts w:ascii="Arial" w:hAnsi="Arial" w:cs="Arial"/>
      <w:bCs/>
      <w:sz w:val="22"/>
      <w:szCs w:val="22"/>
    </w:rPr>
  </w:style>
  <w:style w:type="table" w:styleId="TableGrid">
    <w:name w:val="Table Grid"/>
    <w:basedOn w:val="TableNormal"/>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1641"/>
    <w:pPr>
      <w:widowControl/>
      <w:spacing w:after="120"/>
    </w:pPr>
    <w:rPr>
      <w:rFonts w:eastAsia="MS Mincho" w:cs="Times New Roman"/>
      <w:kern w:val="0"/>
      <w:szCs w:val="24"/>
      <w:lang w:eastAsia="en-US"/>
    </w:rPr>
  </w:style>
  <w:style w:type="character" w:customStyle="1" w:styleId="a">
    <w:name w:val="正文文本 字符"/>
    <w:basedOn w:val="DefaultParagraphFont"/>
    <w:uiPriority w:val="99"/>
    <w:semiHidden/>
    <w:rsid w:val="00541641"/>
  </w:style>
  <w:style w:type="character" w:customStyle="1" w:styleId="BodyTextChar">
    <w:name w:val="Body Text Char"/>
    <w:link w:val="BodyText"/>
    <w:qFormat/>
    <w:rsid w:val="00541641"/>
    <w:rPr>
      <w:rFonts w:eastAsia="MS Mincho" w:cs="Times New Roman"/>
      <w:kern w:val="0"/>
      <w:szCs w:val="24"/>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rsid w:val="00541641"/>
    <w:pPr>
      <w:ind w:firstLineChars="200" w:firstLine="420"/>
    </w:pPr>
    <w:rPr>
      <w:rFonts w:ascii="Calibri" w:eastAsia="SimSun" w:hAnsi="Calibri" w:cs="Times New Roman"/>
      <w:sz w:val="21"/>
      <w:szCs w:val="22"/>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541641"/>
    <w:rPr>
      <w:rFonts w:ascii="Calibri" w:eastAsia="SimSun" w:hAnsi="Calibri" w:cs="Times New Roman"/>
      <w:sz w:val="21"/>
      <w:szCs w:val="22"/>
    </w:rPr>
  </w:style>
  <w:style w:type="character" w:customStyle="1" w:styleId="Heading6Char">
    <w:name w:val="Heading 6 Char"/>
    <w:basedOn w:val="DefaultParagraphFont"/>
    <w:link w:val="Heading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Normal"/>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BalloonText">
    <w:name w:val="Balloon Text"/>
    <w:basedOn w:val="Normal"/>
    <w:link w:val="BalloonTextChar"/>
    <w:uiPriority w:val="99"/>
    <w:semiHidden/>
    <w:unhideWhenUsed/>
    <w:rsid w:val="00C57EB4"/>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7EB4"/>
    <w:rPr>
      <w:rFonts w:ascii="Microsoft YaHei UI" w:eastAsia="Microsoft YaHei UI"/>
      <w:sz w:val="18"/>
      <w:szCs w:val="18"/>
    </w:rPr>
  </w:style>
  <w:style w:type="paragraph" w:customStyle="1" w:styleId="TAL">
    <w:name w:val="TAL"/>
    <w:basedOn w:val="Normal"/>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Normal"/>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CommentReference">
    <w:name w:val="annotation reference"/>
    <w:basedOn w:val="DefaultParagraphFont"/>
    <w:semiHidden/>
    <w:unhideWhenUsed/>
    <w:rsid w:val="002C4919"/>
    <w:rPr>
      <w:sz w:val="21"/>
      <w:szCs w:val="21"/>
    </w:rPr>
  </w:style>
  <w:style w:type="paragraph" w:styleId="CommentText">
    <w:name w:val="annotation text"/>
    <w:basedOn w:val="Normal"/>
    <w:link w:val="CommentTextChar"/>
    <w:unhideWhenUsed/>
    <w:rsid w:val="002C4919"/>
    <w:pPr>
      <w:jc w:val="left"/>
    </w:pPr>
  </w:style>
  <w:style w:type="character" w:customStyle="1" w:styleId="CommentTextChar">
    <w:name w:val="Comment Text Char"/>
    <w:basedOn w:val="DefaultParagraphFont"/>
    <w:link w:val="CommentText"/>
    <w:uiPriority w:val="99"/>
    <w:rsid w:val="002C4919"/>
  </w:style>
  <w:style w:type="paragraph" w:styleId="CommentSubject">
    <w:name w:val="annotation subject"/>
    <w:basedOn w:val="CommentText"/>
    <w:next w:val="CommentText"/>
    <w:link w:val="CommentSubjectChar"/>
    <w:uiPriority w:val="99"/>
    <w:semiHidden/>
    <w:unhideWhenUsed/>
    <w:rsid w:val="002C4919"/>
    <w:rPr>
      <w:b/>
      <w:bCs/>
    </w:rPr>
  </w:style>
  <w:style w:type="character" w:customStyle="1" w:styleId="CommentSubjectChar">
    <w:name w:val="Comment Subject Char"/>
    <w:basedOn w:val="CommentTextChar"/>
    <w:link w:val="CommentSubject"/>
    <w:uiPriority w:val="99"/>
    <w:semiHidden/>
    <w:rsid w:val="002C4919"/>
    <w:rPr>
      <w:b/>
      <w:bCs/>
    </w:rPr>
  </w:style>
  <w:style w:type="character" w:customStyle="1" w:styleId="Heading7Char">
    <w:name w:val="Heading 7 Char"/>
    <w:basedOn w:val="DefaultParagraphFont"/>
    <w:link w:val="Heading7"/>
    <w:rsid w:val="00333C3D"/>
    <w:rPr>
      <w:rFonts w:ascii="Tms Rmn" w:eastAsia="MS Mincho" w:hAnsi="Tms Rmn" w:cs="Times New Roman"/>
      <w:kern w:val="0"/>
      <w:szCs w:val="20"/>
      <w:lang w:val="en-GB" w:eastAsia="en-US"/>
    </w:rPr>
  </w:style>
  <w:style w:type="character" w:customStyle="1" w:styleId="Heading8Char">
    <w:name w:val="Heading 8 Char"/>
    <w:basedOn w:val="DefaultParagraphFont"/>
    <w:link w:val="Heading8"/>
    <w:rsid w:val="00333C3D"/>
    <w:rPr>
      <w:rFonts w:ascii="Tms Rmn" w:eastAsia="MS Mincho" w:hAnsi="Tms Rmn" w:cs="Times New Roman"/>
      <w:kern w:val="0"/>
      <w:sz w:val="36"/>
      <w:szCs w:val="20"/>
      <w:lang w:val="en-GB" w:eastAsia="en-US"/>
    </w:rPr>
  </w:style>
  <w:style w:type="character" w:customStyle="1" w:styleId="Heading9Char">
    <w:name w:val="Heading 9 Char"/>
    <w:basedOn w:val="DefaultParagraphFont"/>
    <w:link w:val="Heading9"/>
    <w:rsid w:val="00333C3D"/>
    <w:rPr>
      <w:rFonts w:ascii="Tms Rmn" w:eastAsia="MS Mincho" w:hAnsi="Tms Rmn" w:cs="Times New Roman"/>
      <w:kern w:val="0"/>
      <w:sz w:val="36"/>
      <w:szCs w:val="20"/>
      <w:lang w:val="en-GB" w:eastAsia="en-US"/>
    </w:rPr>
  </w:style>
  <w:style w:type="paragraph" w:customStyle="1" w:styleId="NW">
    <w:name w:val="NW"/>
    <w:basedOn w:val="Normal"/>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Normal"/>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Normal"/>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Normal"/>
    <w:uiPriority w:val="99"/>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Revision">
    <w:name w:val="Revision"/>
    <w:hidden/>
    <w:uiPriority w:val="99"/>
    <w:semiHidden/>
    <w:rsid w:val="00DB08DE"/>
  </w:style>
  <w:style w:type="paragraph" w:customStyle="1" w:styleId="EmailDiscussion">
    <w:name w:val="EmailDiscussion"/>
    <w:basedOn w:val="Normal"/>
    <w:next w:val="Normal"/>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Normal"/>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30618-99DE-486E-BAFA-0E34B7BB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2843</Words>
  <Characters>16208</Characters>
  <Application>Microsoft Office Word</Application>
  <DocSecurity>0</DocSecurity>
  <Lines>135</Lines>
  <Paragraphs>38</Paragraphs>
  <ScaleCrop>false</ScaleCrop>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Apple - Peng Cheng</cp:lastModifiedBy>
  <cp:revision>15</cp:revision>
  <dcterms:created xsi:type="dcterms:W3CDTF">2024-05-29T05:33:00Z</dcterms:created>
  <dcterms:modified xsi:type="dcterms:W3CDTF">2024-05-29T11:09:00Z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(3)hQqdU+Fzr431v5EBS3hB1OdSlFL9A1R0yj95Z/Z7rbpJdxrv4nc2+VfEBdAFastDq9W/RVpJ
/5baIvmr/2MH/sftCP+TxlbI37HWdohb4pijo+te0o1+BqVaWuwiTb1kCSA8rI8cQvcFfC5j
Ysofk5jeLu37KL6zieHSrItQBDk3Kl+UaepUdK8z7YTIp6IHD5OgOZTIKE28/isIeXOJZabo
eUKJnAXo3vUPSzn1XV</vt:lpwstr>
  </property>
  <property fmtid="{D5CDD505-2E9C-101B-9397-08002B2CF9AE}" pid="3" name="_2015_ms_pID_7253431">
    <vt:lpwstr>K0FdPpk8/wYlwf2S1jWIIC9vJFa50pr/Cz2d8LJ795QsRg9Y89E8Y9
hE+Q4gF6SIIvEXk7YkzZ5Pw5ROeepOsVLQjdw2ARBmMM5bZGjPvDi0l5VjYd+2d/g5wZp8v/
WwSF2QK0nvf6wKZcJuuszQXReR+IQhHxK6yFP1gjBwQhDIG/HP+yHGPO8td2qgrdbWM2nSyD
nLR6foFUp9qeEzOJjw9y4/YHJL+HJ5lA0ahL</vt:lpwstr>
  </property>
  <property fmtid="{D5CDD505-2E9C-101B-9397-08002B2CF9AE}" pid="4" name="_2015_ms_pID_7253432">
    <vt:lpwstr>gQ==</vt:lpwstr>
  </property>
  <property fmtid="{D5CDD505-2E9C-101B-9397-08002B2CF9AE}" pid="5" name="MSIP_Label_83bcef13-7cac-433f-ba1d-47a323951816_Enabled">
    <vt:lpwstr>true</vt:lpwstr>
  </property>
  <property fmtid="{D5CDD505-2E9C-101B-9397-08002B2CF9AE}" pid="6" name="MSIP_Label_83bcef13-7cac-433f-ba1d-47a323951816_SetDate">
    <vt:lpwstr>2024-05-29T02:50:56Z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9a992dd6-889f-499b-8c7b-99667f04138f</vt:lpwstr>
  </property>
  <property fmtid="{D5CDD505-2E9C-101B-9397-08002B2CF9AE}" pid="11" name="MSIP_Label_83bcef13-7cac-433f-ba1d-47a323951816_ContentBits">
    <vt:lpwstr>0</vt:lpwstr>
  </property>
</Properties>
</file>