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05720C"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77777777" w:rsidR="0005720C" w:rsidRDefault="0005720C" w:rsidP="00AA27DD">
            <w:pPr>
              <w:rPr>
                <w:rFonts w:ascii="Arial" w:hAnsi="Arial" w:cs="Arial"/>
              </w:rPr>
            </w:pPr>
            <w:bookmarkStart w:id="8" w:name="OLE_LINK14"/>
          </w:p>
        </w:tc>
        <w:tc>
          <w:tcPr>
            <w:tcW w:w="2389" w:type="dxa"/>
            <w:tcBorders>
              <w:top w:val="single" w:sz="4" w:space="0" w:color="auto"/>
              <w:left w:val="single" w:sz="4" w:space="0" w:color="auto"/>
              <w:bottom w:val="single" w:sz="4" w:space="0" w:color="auto"/>
              <w:right w:val="single" w:sz="4" w:space="0" w:color="auto"/>
            </w:tcBorders>
          </w:tcPr>
          <w:p w14:paraId="3058BF40" w14:textId="77777777" w:rsidR="0005720C" w:rsidRDefault="0005720C" w:rsidP="00AA27D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57ADCA0C" w14:textId="77777777" w:rsidR="0005720C" w:rsidRDefault="0005720C" w:rsidP="00AA27DD">
            <w:pPr>
              <w:rPr>
                <w:rFonts w:ascii="Arial" w:hAnsi="Arial" w:cs="Arial"/>
              </w:rPr>
            </w:pP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27"/>
        <w:gridCol w:w="4389"/>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5pt;height:165.5pt;mso-width-percent:0;mso-height-percent:0;mso-width-percent:0;mso-height-percent:0" o:ole="">
                  <v:imagedata r:id="rId12" o:title=""/>
                </v:shape>
                <o:OLEObject Type="Embed" ProgID="Visio.Drawing.15" ShapeID="_x0000_i1025" DrawAspect="Content" ObjectID="_1775631403"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5pt;height:169.5pt;mso-width-percent:0;mso-height-percent:0;mso-width-percent:0;mso-height-percent:0" o:ole="">
                  <v:imagedata r:id="rId14" o:title=""/>
                </v:shape>
                <o:OLEObject Type="Embed" ProgID="Visio.Drawing.15" ShapeID="_x0000_i1026" DrawAspect="Content" ObjectID="_1775631404" r:id="rId15"/>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1.5pt;height:154.5pt;mso-width-percent:0;mso-height-percent:0;mso-width-percent:0;mso-height-percent:0" o:ole="">
                  <v:imagedata r:id="rId16" o:title=""/>
                </v:shape>
                <o:OLEObject Type="Embed" ProgID="Visio.Drawing.15" ShapeID="_x0000_i1027" DrawAspect="Content" ObjectID="_1775631405"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5pt;height:160.5pt;mso-width-percent:0;mso-height-percent:0;mso-width-percent:0;mso-height-percent:0" o:ole="">
                  <v:imagedata r:id="rId18" o:title=""/>
                </v:shape>
                <o:OLEObject Type="Embed" ProgID="Visio.Drawing.15" ShapeID="_x0000_i1028" DrawAspect="Content" ObjectID="_1775631406"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77777777"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w:t>
            </w:r>
            <w:r w:rsidR="0022550C">
              <w:rPr>
                <w:rFonts w:ascii="Times New Roman" w:hAnsi="Times New Roman"/>
                <w:kern w:val="0"/>
              </w:rPr>
              <w:t>server for training data collection for UE-side models</w:t>
            </w:r>
            <w:r w:rsidR="0022550C">
              <w:rPr>
                <w:rFonts w:ascii="Times New Roman" w:hAnsi="Times New Roman"/>
                <w:kern w:val="0"/>
              </w:rPr>
              <w:t xml:space="preserve"> outside the MNO”</w:t>
            </w:r>
            <w:r>
              <w:rPr>
                <w:rFonts w:ascii="Times New Roman" w:hAnsi="Times New Roman"/>
                <w:kern w:val="0"/>
              </w:rPr>
              <w:t>.</w:t>
            </w:r>
          </w:p>
        </w:tc>
      </w:tr>
      <w:tr w:rsidR="0017365E"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253B20BA" w14:textId="62F521F8" w:rsidR="0017365E" w:rsidRDefault="0017365E" w:rsidP="0017365E">
            <w:pPr>
              <w:rPr>
                <w:rFonts w:ascii="Times New Roman" w:hAnsi="Times New Roman"/>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lastRenderedPageBreak/>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2.5pt;height:52.5pt" o:ole="">
                  <v:imagedata r:id="rId21" o:title=""/>
                </v:shape>
                <o:OLEObject Type="Embed" ProgID="PBrush" ShapeID="_x0000_i1029" DrawAspect="Content" ObjectID="_1775631407"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30" w:name="OLE_LINK113"/>
            <w:bookmarkEnd w:id="29"/>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lastRenderedPageBreak/>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33" w:name="OLE_LINK121"/>
            <w:bookmarkEnd w:id="32"/>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5FC3CC6E" w:rsidR="008A6ADB" w:rsidRDefault="008A6ADB" w:rsidP="00DD28DA">
            <w:pPr>
              <w:rPr>
                <w:rFonts w:ascii="Times New Roman" w:hAnsi="Times New Roman"/>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27929720" w14:textId="5D36BF67" w:rsidR="008A6ADB" w:rsidRDefault="008A6ADB" w:rsidP="00DD28DA">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1B62A56F" w14:textId="5C1F5615" w:rsidR="00AD7229" w:rsidRPr="00C246D4"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E42CE47" w14:textId="4D12E1B4"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 xml:space="preserve">We do not consider “outside” the MNO as an option for that reason, we propose to </w:t>
            </w:r>
            <w:r>
              <w:rPr>
                <w:rFonts w:ascii="Times New Roman" w:hAnsi="Times New Roman"/>
                <w:kern w:val="0"/>
              </w:rPr>
              <w:lastRenderedPageBreak/>
              <w:t>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w:t>
            </w:r>
            <w:r>
              <w:rPr>
                <w:rFonts w:ascii="Times New Roman" w:hAnsi="Times New Roman"/>
                <w:kern w:val="0"/>
              </w:rPr>
              <w:t>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lastRenderedPageBreak/>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5A54948B" w14:textId="54406E29" w:rsidR="00DC114C" w:rsidRPr="00DC114C"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lastRenderedPageBreak/>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w:t>
            </w:r>
            <w:r w:rsidR="00B37499">
              <w:rPr>
                <w:rFonts w:ascii="Times New Roman" w:hAnsi="Times New Roman"/>
                <w:kern w:val="0"/>
              </w:rPr>
              <w:t xml:space="preserve">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olution 1a) cna work without specific controllability.</w:t>
            </w: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lastRenderedPageBreak/>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w:t>
            </w:r>
            <w:r>
              <w:rPr>
                <w:rFonts w:ascii="Times New Roman" w:hAnsi="Times New Roman"/>
                <w:kern w:val="0"/>
              </w:rPr>
              <w:lastRenderedPageBreak/>
              <w:t xml:space="preserve">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bl>
    <w:bookmarkEnd w:id="62"/>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F607A37" w14:textId="3E70E221" w:rsidR="002264E3" w:rsidRDefault="002264E3" w:rsidP="008A6ADB">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w:t>
            </w:r>
            <w:r>
              <w:rPr>
                <w:rFonts w:ascii="Times New Roman" w:hAnsi="Times New Roman"/>
                <w:kern w:val="0"/>
              </w:rPr>
              <w:lastRenderedPageBreak/>
              <w:t>level.</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r>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w:t>
            </w:r>
            <w:r>
              <w:rPr>
                <w:rFonts w:ascii="Times New Roman" w:hAnsi="Times New Roman"/>
                <w:kern w:val="0"/>
              </w:rPr>
              <w:lastRenderedPageBreak/>
              <w:t xml:space="preserve">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lastRenderedPageBreak/>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 xml:space="preserve">No. We consider UE-side data collector is inside the MNO network. Consequently, </w:t>
            </w:r>
            <w:r>
              <w:rPr>
                <w:rFonts w:ascii="Times New Roman" w:hAnsi="Times New Roman"/>
                <w:kern w:val="0"/>
              </w:rPr>
              <w:lastRenderedPageBreak/>
              <w:t>MNO has full visibility</w:t>
            </w: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lastRenderedPageBreak/>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lastRenderedPageBreak/>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w:t>
            </w:r>
            <w:r>
              <w:rPr>
                <w:rFonts w:ascii="Times New Roman" w:hAnsi="Times New Roman"/>
                <w:kern w:val="0"/>
              </w:rPr>
              <w:lastRenderedPageBreak/>
              <w:t xml:space="preserve">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337790"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77777777" w:rsidR="00337790" w:rsidRDefault="00337790" w:rsidP="0033779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337790" w:rsidRDefault="00337790" w:rsidP="00337790">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lastRenderedPageBreak/>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w:t>
            </w:r>
            <w:r w:rsidRPr="000B59FB">
              <w:rPr>
                <w:rFonts w:ascii="Times New Roman" w:hAnsi="Times New Roman"/>
              </w:rPr>
              <w:lastRenderedPageBreak/>
              <w:t xml:space="preserve">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It is important also to stress that i</w:t>
            </w:r>
            <w:r>
              <w:rPr>
                <w:rFonts w:ascii="Times New Roman" w:hAnsi="Times New Roman"/>
                <w:kern w:val="0"/>
              </w:rPr>
              <w:t xml:space="preserve">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w:t>
            </w:r>
            <w:r>
              <w:rPr>
                <w:rFonts w:ascii="Times New Roman" w:hAnsi="Times New Roman"/>
                <w:kern w:val="0"/>
              </w:rPr>
              <w:lastRenderedPageBreak/>
              <w:t xml:space="preserve">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9D4DD3"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54D0" w14:textId="77777777" w:rsidR="00E360A6" w:rsidRDefault="00E360A6" w:rsidP="00B5491F">
      <w:r>
        <w:separator/>
      </w:r>
    </w:p>
  </w:endnote>
  <w:endnote w:type="continuationSeparator" w:id="0">
    <w:p w14:paraId="34811FF5" w14:textId="77777777" w:rsidR="00E360A6" w:rsidRDefault="00E360A6"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1D22" w14:textId="77777777" w:rsidR="00E360A6" w:rsidRDefault="00E360A6" w:rsidP="00B5491F">
      <w:r>
        <w:separator/>
      </w:r>
    </w:p>
  </w:footnote>
  <w:footnote w:type="continuationSeparator" w:id="0">
    <w:p w14:paraId="7E576441" w14:textId="77777777" w:rsidR="00E360A6" w:rsidRDefault="00E360A6"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527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155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194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854404">
    <w:abstractNumId w:val="28"/>
  </w:num>
  <w:num w:numId="5" w16cid:durableId="1773429187">
    <w:abstractNumId w:val="13"/>
  </w:num>
  <w:num w:numId="6" w16cid:durableId="329599916">
    <w:abstractNumId w:val="10"/>
  </w:num>
  <w:num w:numId="7" w16cid:durableId="1508248461">
    <w:abstractNumId w:val="28"/>
  </w:num>
  <w:num w:numId="8" w16cid:durableId="8218972">
    <w:abstractNumId w:val="22"/>
  </w:num>
  <w:num w:numId="9" w16cid:durableId="1959801703">
    <w:abstractNumId w:val="9"/>
  </w:num>
  <w:num w:numId="10" w16cid:durableId="386999912">
    <w:abstractNumId w:val="14"/>
  </w:num>
  <w:num w:numId="11" w16cid:durableId="1830632810">
    <w:abstractNumId w:val="11"/>
  </w:num>
  <w:num w:numId="12" w16cid:durableId="1971789463">
    <w:abstractNumId w:val="17"/>
  </w:num>
  <w:num w:numId="13" w16cid:durableId="23020136">
    <w:abstractNumId w:val="12"/>
  </w:num>
  <w:num w:numId="14" w16cid:durableId="1937976826">
    <w:abstractNumId w:val="21"/>
  </w:num>
  <w:num w:numId="15" w16cid:durableId="852648861">
    <w:abstractNumId w:val="2"/>
  </w:num>
  <w:num w:numId="16" w16cid:durableId="331227923">
    <w:abstractNumId w:val="6"/>
  </w:num>
  <w:num w:numId="17" w16cid:durableId="1120075837">
    <w:abstractNumId w:val="16"/>
  </w:num>
  <w:num w:numId="18" w16cid:durableId="333185324">
    <w:abstractNumId w:val="19"/>
  </w:num>
  <w:num w:numId="19" w16cid:durableId="1055087193">
    <w:abstractNumId w:val="23"/>
  </w:num>
  <w:num w:numId="20" w16cid:durableId="313602600">
    <w:abstractNumId w:val="7"/>
  </w:num>
  <w:num w:numId="21" w16cid:durableId="1662083437">
    <w:abstractNumId w:val="7"/>
  </w:num>
  <w:num w:numId="22" w16cid:durableId="1198160775">
    <w:abstractNumId w:val="1"/>
  </w:num>
  <w:num w:numId="23" w16cid:durableId="971986089">
    <w:abstractNumId w:val="11"/>
  </w:num>
  <w:num w:numId="24" w16cid:durableId="1940478297">
    <w:abstractNumId w:val="18"/>
  </w:num>
  <w:num w:numId="25" w16cid:durableId="1722945547">
    <w:abstractNumId w:val="8"/>
  </w:num>
  <w:num w:numId="26" w16cid:durableId="445541820">
    <w:abstractNumId w:val="26"/>
  </w:num>
  <w:num w:numId="27" w16cid:durableId="670835670">
    <w:abstractNumId w:val="15"/>
  </w:num>
  <w:num w:numId="28" w16cid:durableId="625426503">
    <w:abstractNumId w:val="4"/>
  </w:num>
  <w:num w:numId="29" w16cid:durableId="1718772265">
    <w:abstractNumId w:val="27"/>
  </w:num>
  <w:num w:numId="30" w16cid:durableId="869925050">
    <w:abstractNumId w:val="30"/>
  </w:num>
  <w:num w:numId="31" w16cid:durableId="993416318">
    <w:abstractNumId w:val="3"/>
  </w:num>
  <w:num w:numId="32" w16cid:durableId="366031672">
    <w:abstractNumId w:val="29"/>
  </w:num>
  <w:num w:numId="33" w16cid:durableId="634019724">
    <w:abstractNumId w:val="5"/>
  </w:num>
  <w:num w:numId="34" w16cid:durableId="169249264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1044A6"/>
    <w:rsid w:val="001058F5"/>
    <w:rsid w:val="00105CF9"/>
    <w:rsid w:val="00106100"/>
    <w:rsid w:val="001103DA"/>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4C4E49"/>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572C7"/>
    <w:rsid w:val="0076656C"/>
    <w:rsid w:val="00770CAD"/>
    <w:rsid w:val="00772018"/>
    <w:rsid w:val="00773CDF"/>
    <w:rsid w:val="00780E35"/>
    <w:rsid w:val="0078220D"/>
    <w:rsid w:val="00783ED8"/>
    <w:rsid w:val="00783F03"/>
    <w:rsid w:val="00785507"/>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47EB"/>
    <w:rsid w:val="00885640"/>
    <w:rsid w:val="0089213A"/>
    <w:rsid w:val="0089636B"/>
    <w:rsid w:val="008A04CB"/>
    <w:rsid w:val="008A6ADB"/>
    <w:rsid w:val="008B2097"/>
    <w:rsid w:val="008D0DEB"/>
    <w:rsid w:val="008E114E"/>
    <w:rsid w:val="008E20D8"/>
    <w:rsid w:val="008E25CF"/>
    <w:rsid w:val="008E3413"/>
    <w:rsid w:val="008F5B1E"/>
    <w:rsid w:val="008F76D2"/>
    <w:rsid w:val="0090228C"/>
    <w:rsid w:val="00920288"/>
    <w:rsid w:val="00920E13"/>
    <w:rsid w:val="009333CF"/>
    <w:rsid w:val="00946EE4"/>
    <w:rsid w:val="00947A09"/>
    <w:rsid w:val="00952F82"/>
    <w:rsid w:val="00957FD9"/>
    <w:rsid w:val="00966419"/>
    <w:rsid w:val="00970DD4"/>
    <w:rsid w:val="00973988"/>
    <w:rsid w:val="009826B2"/>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6014"/>
    <w:rsid w:val="00A04392"/>
    <w:rsid w:val="00A0765E"/>
    <w:rsid w:val="00A1002A"/>
    <w:rsid w:val="00A1163A"/>
    <w:rsid w:val="00A13D32"/>
    <w:rsid w:val="00A2270A"/>
    <w:rsid w:val="00A33F0C"/>
    <w:rsid w:val="00A34DE9"/>
    <w:rsid w:val="00A5021D"/>
    <w:rsid w:val="00A51E88"/>
    <w:rsid w:val="00A53465"/>
    <w:rsid w:val="00A6585D"/>
    <w:rsid w:val="00A66E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37499"/>
    <w:rsid w:val="00B4164B"/>
    <w:rsid w:val="00B4616A"/>
    <w:rsid w:val="00B522B7"/>
    <w:rsid w:val="00B54189"/>
    <w:rsid w:val="00B5491F"/>
    <w:rsid w:val="00B5515D"/>
    <w:rsid w:val="00B72E07"/>
    <w:rsid w:val="00B7486E"/>
    <w:rsid w:val="00B818F2"/>
    <w:rsid w:val="00B829EC"/>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421BB"/>
    <w:rsid w:val="00C46DA8"/>
    <w:rsid w:val="00C47F37"/>
    <w:rsid w:val="00C52A35"/>
    <w:rsid w:val="00C66A09"/>
    <w:rsid w:val="00C70640"/>
    <w:rsid w:val="00C70EF7"/>
    <w:rsid w:val="00C72950"/>
    <w:rsid w:val="00C96E90"/>
    <w:rsid w:val="00CA1775"/>
    <w:rsid w:val="00CA411D"/>
    <w:rsid w:val="00CA4AC2"/>
    <w:rsid w:val="00CA4D76"/>
    <w:rsid w:val="00CA77E6"/>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F1EC2"/>
    <w:rsid w:val="00DF273A"/>
    <w:rsid w:val="00DF72D7"/>
    <w:rsid w:val="00E004D7"/>
    <w:rsid w:val="00E01C57"/>
    <w:rsid w:val="00E27C1F"/>
    <w:rsid w:val="00E31C44"/>
    <w:rsid w:val="00E360A6"/>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E07C3"/>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B5B7C-123C-407D-9BC0-C456D9583F83}">
  <ds:schemaRefs>
    <ds:schemaRef ds:uri="http://schemas.openxmlformats.org/officeDocument/2006/bibliography"/>
  </ds:schemaRefs>
</ds:datastoreItem>
</file>

<file path=customXml/itemProps3.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4.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5.xml><?xml version="1.0" encoding="utf-8"?>
<ds:datastoreItem xmlns:ds="http://schemas.openxmlformats.org/officeDocument/2006/customXml" ds:itemID="{F436D736-8607-4F5C-AADA-BE95687D88F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TotalTime>
  <Pages>26</Pages>
  <Words>9796</Words>
  <Characters>55839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65504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Marco</cp:lastModifiedBy>
  <cp:revision>18</cp:revision>
  <dcterms:created xsi:type="dcterms:W3CDTF">2024-04-26T08:00:00Z</dcterms:created>
  <dcterms:modified xsi:type="dcterms:W3CDTF">2024-04-26T08:09:00Z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