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eastAsia="DengXian" w:cs="Arial"/>
          <w:sz w:val="21"/>
          <w:szCs w:val="22"/>
          <w:lang w:val="en-US" w:eastAsia="zh-CN"/>
        </w:rPr>
        <w:t>4</w:t>
      </w:r>
      <w:r w:rsidR="0046552F">
        <w:rPr>
          <w:rFonts w:eastAsia="DengXian" w:cs="Arial"/>
          <w:sz w:val="21"/>
          <w:szCs w:val="22"/>
          <w:lang w:val="en-US" w:eastAsia="zh-CN"/>
        </w:rPr>
        <w:tab/>
      </w:r>
      <w:r w:rsidR="0046552F">
        <w:rPr>
          <w:rFonts w:eastAsia="DengXian"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r w:rsidR="00720E3A" w:rsidRPr="000E7129">
        <w:rPr>
          <w:rFonts w:ascii="Arial" w:hAnsi="Arial" w:cs="Arial"/>
          <w:b/>
          <w:bCs/>
          <w:sz w:val="22"/>
          <w:szCs w:val="22"/>
        </w:rPr>
        <w:t>NR_NTN_enh-Core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5FD4D017"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p>
    <w:p w14:paraId="1E1FAC07" w14:textId="4C7FBB40"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A6313B">
        <w:rPr>
          <w:rFonts w:ascii="Arial" w:hAnsi="Arial" w:cs="Arial"/>
          <w:b/>
          <w:bCs/>
          <w:sz w:val="22"/>
          <w:szCs w:val="22"/>
        </w:rPr>
        <w:t>RAN1</w:t>
      </w:r>
    </w:p>
    <w:bookmarkEnd w:id="5"/>
    <w:bookmarkEnd w:id="6"/>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20B024B8" w14:textId="58FBC2E0" w:rsidR="00497ABE" w:rsidRDefault="00851C6E" w:rsidP="00776CE2">
      <w:pPr>
        <w:spacing w:before="120" w:after="120" w:line="276" w:lineRule="auto"/>
        <w:jc w:val="both"/>
        <w:rPr>
          <w:rFonts w:ascii="Arial" w:eastAsia="SimSun" w:hAnsi="Arial" w:cs="Arial"/>
          <w:color w:val="000000"/>
          <w:lang w:eastAsia="ko-KR"/>
        </w:rPr>
      </w:pPr>
      <w:r w:rsidRPr="00776CE2">
        <w:rPr>
          <w:rFonts w:ascii="Arial" w:eastAsia="SimSun" w:hAnsi="Arial" w:cs="Arial"/>
          <w:color w:val="000000"/>
          <w:lang w:eastAsia="ko-KR"/>
        </w:rPr>
        <w:t>For mobility enhancement in Rel-18 NR NTN, in quasi-earth fixed cell case,</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w:t>
      </w:r>
      <w:r w:rsidR="00E55140" w:rsidRPr="00776CE2">
        <w:rPr>
          <w:rFonts w:ascii="Arial" w:eastAsia="SimSun" w:hAnsi="Arial" w:cs="Arial"/>
          <w:color w:val="000000"/>
          <w:lang w:eastAsia="ko-KR"/>
        </w:rPr>
        <w:t>nchanged PCI satellite switch</w:t>
      </w:r>
      <w:r w:rsidR="00044F7A" w:rsidRPr="00776CE2">
        <w:rPr>
          <w:rFonts w:ascii="Arial" w:eastAsia="SimSun" w:hAnsi="Arial" w:cs="Arial"/>
          <w:color w:val="000000"/>
          <w:lang w:eastAsia="ko-KR"/>
        </w:rPr>
        <w:t xml:space="preserve"> </w:t>
      </w:r>
      <w:r w:rsidRPr="00776CE2">
        <w:rPr>
          <w:rFonts w:ascii="Arial" w:eastAsia="SimSun" w:hAnsi="Arial" w:cs="Arial" w:hint="eastAsia"/>
          <w:color w:val="000000"/>
          <w:lang w:eastAsia="ko-KR"/>
        </w:rPr>
        <w:t>scenario</w:t>
      </w:r>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p>
    <w:p w14:paraId="3114F929" w14:textId="67FAD542" w:rsidR="007A3370" w:rsidRDefault="0069532C" w:rsidP="00A074DC">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 xml:space="preserve">RAN2 agreed to endorse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r w:rsidR="00B32902">
        <w:rPr>
          <w:rFonts w:ascii="Arial" w:eastAsia="SimSun" w:hAnsi="Arial" w:cs="Arial"/>
          <w:color w:val="000000"/>
          <w:lang w:eastAsia="ko-KR"/>
        </w:rPr>
        <w:t xml:space="preserve">. </w:t>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w:t>
      </w:r>
      <w:r w:rsidRPr="001A1665">
        <w:rPr>
          <w:rFonts w:ascii="Arial" w:eastAsia="SimSun" w:hAnsi="Arial" w:cs="Arial"/>
          <w:color w:val="000000"/>
          <w:lang w:eastAsia="ko-KR"/>
        </w:rPr>
        <w:t xml:space="preserve">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6B360935" w14:textId="458A5FF1" w:rsidR="00795B0B" w:rsidRDefault="00795B0B"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D23427">
        <w:rPr>
          <w:rFonts w:ascii="Arial" w:eastAsia="SimSun" w:hAnsi="Arial" w:cs="Arial"/>
          <w:color w:val="000000"/>
          <w:lang w:eastAsia="ko-KR"/>
        </w:rPr>
        <w: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p>
    <w:p w14:paraId="712A57F4" w14:textId="5AC7964D"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 xml:space="preserve">The 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4AE780C5"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 xml:space="preserve">e. </w:t>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lastRenderedPageBreak/>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It is up to NW implementation to signal T-start, e.g. if it does not want to receive UL TX before T-service (if there is no T-start, UL TX cannot happen before T-service)</w:t>
            </w:r>
          </w:p>
        </w:tc>
      </w:tr>
      <w:tr w:rsidR="005B714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lastRenderedPageBreak/>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 xml:space="preserve">For UE capability(es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w:t>
            </w:r>
            <w:r w:rsidRPr="005B7146">
              <w:rPr>
                <w:rFonts w:ascii="Arial" w:eastAsia="SimSun" w:hAnsi="Arial" w:cs="Arial"/>
                <w:color w:val="000000"/>
                <w:lang w:eastAsia="ko-KR"/>
              </w:rPr>
              <w:lastRenderedPageBreak/>
              <w:t>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5F8C3D4F" w14:textId="3D3796D1" w:rsidR="000728F2" w:rsidRDefault="00B97703" w:rsidP="000728F2">
      <w:pPr>
        <w:spacing w:after="120"/>
        <w:ind w:left="993" w:hanging="993"/>
        <w:jc w:val="both"/>
        <w:rPr>
          <w:rFonts w:ascii="Arial" w:hAnsi="Arial" w:cs="Arial"/>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eastAsia="DengXian"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work</w:t>
      </w:r>
      <w:r w:rsidR="000728F2">
        <w:rPr>
          <w:rFonts w:ascii="Arial" w:hAnsi="Arial" w:cs="Arial"/>
        </w:rPr>
        <w:t>.</w:t>
      </w:r>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E7BD" w14:textId="77777777" w:rsidR="00F94D6E" w:rsidRDefault="00F94D6E">
      <w:pPr>
        <w:spacing w:after="0"/>
      </w:pPr>
      <w:r>
        <w:separator/>
      </w:r>
    </w:p>
  </w:endnote>
  <w:endnote w:type="continuationSeparator" w:id="0">
    <w:p w14:paraId="0BA5AE3F" w14:textId="77777777" w:rsidR="00F94D6E" w:rsidRDefault="00F94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68EF" w14:textId="77777777" w:rsidR="00F94D6E" w:rsidRDefault="00F94D6E">
      <w:pPr>
        <w:spacing w:after="0"/>
      </w:pPr>
      <w:r>
        <w:separator/>
      </w:r>
    </w:p>
  </w:footnote>
  <w:footnote w:type="continuationSeparator" w:id="0">
    <w:p w14:paraId="2BA7A1C6" w14:textId="77777777" w:rsidR="00F94D6E" w:rsidRDefault="00F94D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955402501">
    <w:abstractNumId w:val="6"/>
  </w:num>
  <w:num w:numId="2" w16cid:durableId="927885911">
    <w:abstractNumId w:val="4"/>
  </w:num>
  <w:num w:numId="3" w16cid:durableId="1812480238">
    <w:abstractNumId w:val="3"/>
  </w:num>
  <w:num w:numId="4" w16cid:durableId="535973529">
    <w:abstractNumId w:val="2"/>
  </w:num>
  <w:num w:numId="5" w16cid:durableId="1768428021">
    <w:abstractNumId w:val="5"/>
  </w:num>
  <w:num w:numId="6" w16cid:durableId="1947540471">
    <w:abstractNumId w:val="1"/>
  </w:num>
  <w:num w:numId="7" w16cid:durableId="178279768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attachedTemplate r:id="rId1"/>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032A"/>
    <w:rsid w:val="000170F4"/>
    <w:rsid w:val="00017F23"/>
    <w:rsid w:val="00022E6F"/>
    <w:rsid w:val="00044F7A"/>
    <w:rsid w:val="00052183"/>
    <w:rsid w:val="00054A47"/>
    <w:rsid w:val="000562DE"/>
    <w:rsid w:val="000728F2"/>
    <w:rsid w:val="00082CA9"/>
    <w:rsid w:val="0009124C"/>
    <w:rsid w:val="0009591F"/>
    <w:rsid w:val="000A2BE6"/>
    <w:rsid w:val="000B2BE1"/>
    <w:rsid w:val="000B44F2"/>
    <w:rsid w:val="000C02D9"/>
    <w:rsid w:val="000E7129"/>
    <w:rsid w:val="000F1153"/>
    <w:rsid w:val="000F6242"/>
    <w:rsid w:val="000F6E99"/>
    <w:rsid w:val="0011195E"/>
    <w:rsid w:val="00117E71"/>
    <w:rsid w:val="00125760"/>
    <w:rsid w:val="001368D5"/>
    <w:rsid w:val="0015187F"/>
    <w:rsid w:val="0016560C"/>
    <w:rsid w:val="00171F64"/>
    <w:rsid w:val="00191CBF"/>
    <w:rsid w:val="00196711"/>
    <w:rsid w:val="001A1665"/>
    <w:rsid w:val="001B20C4"/>
    <w:rsid w:val="001D609D"/>
    <w:rsid w:val="001E1B4C"/>
    <w:rsid w:val="001F7B14"/>
    <w:rsid w:val="00200B3D"/>
    <w:rsid w:val="00214003"/>
    <w:rsid w:val="00214AB1"/>
    <w:rsid w:val="00270A24"/>
    <w:rsid w:val="00285DF9"/>
    <w:rsid w:val="00285ED0"/>
    <w:rsid w:val="002B1184"/>
    <w:rsid w:val="002B6BF0"/>
    <w:rsid w:val="002D1A7B"/>
    <w:rsid w:val="002D261B"/>
    <w:rsid w:val="002D7902"/>
    <w:rsid w:val="002F1940"/>
    <w:rsid w:val="002F41F8"/>
    <w:rsid w:val="003041A4"/>
    <w:rsid w:val="0033798E"/>
    <w:rsid w:val="003565D5"/>
    <w:rsid w:val="0038239A"/>
    <w:rsid w:val="00383545"/>
    <w:rsid w:val="003901FE"/>
    <w:rsid w:val="003978A0"/>
    <w:rsid w:val="003A6AFB"/>
    <w:rsid w:val="003C4187"/>
    <w:rsid w:val="003D3451"/>
    <w:rsid w:val="003F0DDF"/>
    <w:rsid w:val="003F5417"/>
    <w:rsid w:val="003F707A"/>
    <w:rsid w:val="003F7E25"/>
    <w:rsid w:val="00406BEC"/>
    <w:rsid w:val="00420F1B"/>
    <w:rsid w:val="00425FC2"/>
    <w:rsid w:val="00433500"/>
    <w:rsid w:val="00433F71"/>
    <w:rsid w:val="00436F2B"/>
    <w:rsid w:val="00440D43"/>
    <w:rsid w:val="0046552F"/>
    <w:rsid w:val="00481CDE"/>
    <w:rsid w:val="0049091C"/>
    <w:rsid w:val="00491636"/>
    <w:rsid w:val="00497ABE"/>
    <w:rsid w:val="004B4FF2"/>
    <w:rsid w:val="004C2FD5"/>
    <w:rsid w:val="004C68D0"/>
    <w:rsid w:val="004D2B72"/>
    <w:rsid w:val="004E3939"/>
    <w:rsid w:val="004F0D2F"/>
    <w:rsid w:val="00580927"/>
    <w:rsid w:val="00583411"/>
    <w:rsid w:val="005A430C"/>
    <w:rsid w:val="005B6530"/>
    <w:rsid w:val="005B7146"/>
    <w:rsid w:val="005C0875"/>
    <w:rsid w:val="005E6F85"/>
    <w:rsid w:val="00625D0A"/>
    <w:rsid w:val="00630149"/>
    <w:rsid w:val="00636DDF"/>
    <w:rsid w:val="006556C3"/>
    <w:rsid w:val="00655FF4"/>
    <w:rsid w:val="0069532C"/>
    <w:rsid w:val="0069661A"/>
    <w:rsid w:val="006968A9"/>
    <w:rsid w:val="00696F3E"/>
    <w:rsid w:val="006974AD"/>
    <w:rsid w:val="006A245E"/>
    <w:rsid w:val="006A64E6"/>
    <w:rsid w:val="006A757A"/>
    <w:rsid w:val="006B7C7D"/>
    <w:rsid w:val="006C0246"/>
    <w:rsid w:val="006C1F64"/>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51091"/>
    <w:rsid w:val="00851C6E"/>
    <w:rsid w:val="00861E93"/>
    <w:rsid w:val="00863D1C"/>
    <w:rsid w:val="00881FD2"/>
    <w:rsid w:val="008A3139"/>
    <w:rsid w:val="008B3BF3"/>
    <w:rsid w:val="008D772F"/>
    <w:rsid w:val="008E5B9D"/>
    <w:rsid w:val="008F5503"/>
    <w:rsid w:val="00910FAF"/>
    <w:rsid w:val="00912538"/>
    <w:rsid w:val="009556B6"/>
    <w:rsid w:val="009623CC"/>
    <w:rsid w:val="00963902"/>
    <w:rsid w:val="00967C9B"/>
    <w:rsid w:val="00975CAB"/>
    <w:rsid w:val="009821FC"/>
    <w:rsid w:val="0099764C"/>
    <w:rsid w:val="009A033A"/>
    <w:rsid w:val="009A21F3"/>
    <w:rsid w:val="009C23F1"/>
    <w:rsid w:val="009C4552"/>
    <w:rsid w:val="00A074DC"/>
    <w:rsid w:val="00A223E2"/>
    <w:rsid w:val="00A25E0E"/>
    <w:rsid w:val="00A2662B"/>
    <w:rsid w:val="00A27050"/>
    <w:rsid w:val="00A34F55"/>
    <w:rsid w:val="00A6313B"/>
    <w:rsid w:val="00A707D6"/>
    <w:rsid w:val="00A71E91"/>
    <w:rsid w:val="00A82BA5"/>
    <w:rsid w:val="00A96140"/>
    <w:rsid w:val="00AB46D4"/>
    <w:rsid w:val="00AB4F82"/>
    <w:rsid w:val="00AD0EB6"/>
    <w:rsid w:val="00B04C14"/>
    <w:rsid w:val="00B217AB"/>
    <w:rsid w:val="00B25055"/>
    <w:rsid w:val="00B32902"/>
    <w:rsid w:val="00B533AF"/>
    <w:rsid w:val="00B60862"/>
    <w:rsid w:val="00B64C38"/>
    <w:rsid w:val="00B77A00"/>
    <w:rsid w:val="00B82DAB"/>
    <w:rsid w:val="00B9345E"/>
    <w:rsid w:val="00B97703"/>
    <w:rsid w:val="00BA7C1E"/>
    <w:rsid w:val="00BC06B3"/>
    <w:rsid w:val="00BC20C8"/>
    <w:rsid w:val="00BD455F"/>
    <w:rsid w:val="00BD648B"/>
    <w:rsid w:val="00BD75FB"/>
    <w:rsid w:val="00BF4145"/>
    <w:rsid w:val="00C02745"/>
    <w:rsid w:val="00C07E69"/>
    <w:rsid w:val="00C12864"/>
    <w:rsid w:val="00C251FB"/>
    <w:rsid w:val="00C2718C"/>
    <w:rsid w:val="00C7353C"/>
    <w:rsid w:val="00C73B36"/>
    <w:rsid w:val="00C877FB"/>
    <w:rsid w:val="00CA0A32"/>
    <w:rsid w:val="00CB7E36"/>
    <w:rsid w:val="00CC7B9E"/>
    <w:rsid w:val="00CD1330"/>
    <w:rsid w:val="00CD46D3"/>
    <w:rsid w:val="00CF6087"/>
    <w:rsid w:val="00D17CFE"/>
    <w:rsid w:val="00D21DD5"/>
    <w:rsid w:val="00D23427"/>
    <w:rsid w:val="00D23847"/>
    <w:rsid w:val="00D425B5"/>
    <w:rsid w:val="00D66A02"/>
    <w:rsid w:val="00D71751"/>
    <w:rsid w:val="00D73D2A"/>
    <w:rsid w:val="00D80A22"/>
    <w:rsid w:val="00DA674A"/>
    <w:rsid w:val="00DA7996"/>
    <w:rsid w:val="00DC0F36"/>
    <w:rsid w:val="00DC39F5"/>
    <w:rsid w:val="00DC4749"/>
    <w:rsid w:val="00DD7CF4"/>
    <w:rsid w:val="00DE7CE2"/>
    <w:rsid w:val="00E01171"/>
    <w:rsid w:val="00E101E2"/>
    <w:rsid w:val="00E3478F"/>
    <w:rsid w:val="00E3549E"/>
    <w:rsid w:val="00E41FAF"/>
    <w:rsid w:val="00E43439"/>
    <w:rsid w:val="00E4648E"/>
    <w:rsid w:val="00E55140"/>
    <w:rsid w:val="00E62AA8"/>
    <w:rsid w:val="00E767C6"/>
    <w:rsid w:val="00EC7ABC"/>
    <w:rsid w:val="00ED7F4E"/>
    <w:rsid w:val="00EE062C"/>
    <w:rsid w:val="00EE23BB"/>
    <w:rsid w:val="00EF36F9"/>
    <w:rsid w:val="00EF5816"/>
    <w:rsid w:val="00F138E0"/>
    <w:rsid w:val="00F16F5B"/>
    <w:rsid w:val="00F1797D"/>
    <w:rsid w:val="00F26D20"/>
    <w:rsid w:val="00F46164"/>
    <w:rsid w:val="00F94D6E"/>
    <w:rsid w:val="00FA058D"/>
    <w:rsid w:val="00FA74FB"/>
    <w:rsid w:val="00FB18FC"/>
    <w:rsid w:val="00FB5F97"/>
    <w:rsid w:val="00FB7D60"/>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147A3"/>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fangli_xu@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67</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6106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RAN2#124</cp:lastModifiedBy>
  <cp:revision>252</cp:revision>
  <cp:lastPrinted>2002-04-23T07:10:00Z</cp:lastPrinted>
  <dcterms:created xsi:type="dcterms:W3CDTF">2020-01-14T15:01:00Z</dcterms:created>
  <dcterms:modified xsi:type="dcterms:W3CDTF">2023-11-21T08:27:00Z</dcterms:modified>
</cp:coreProperties>
</file>