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0C627371"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61FBBD80"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19C9BFE6" w14:textId="77777777" w:rsidR="00505E15" w:rsidRDefault="001262E6" w:rsidP="00C93588">
      <w:pPr>
        <w:pStyle w:val="Header"/>
        <w:tabs>
          <w:tab w:val="left" w:pos="6521"/>
        </w:tabs>
        <w:spacing w:after="100" w:afterAutospacing="1"/>
        <w:jc w:val="both"/>
      </w:pPr>
      <w:r>
        <mc:AlternateContent>
          <mc:Choice Requires="wps">
            <w:drawing>
              <wp:anchor distT="0" distB="0" distL="114300" distR="114300" simplePos="0" relativeHeight="251658240" behindDoc="0" locked="1" layoutInCell="1" allowOverlap="1" wp14:anchorId="19C35CBB">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C97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TtQAQAAFgMAAAOAAAAZHJzL2Uyb0RvYy54bWysV9tu4zYQfS/QfyD0uEBjkbobcRbt7mZR&#13;&#10;YHsB1v0AWqIsoZKokvQl+/UdkpIsOlaaFJsHhRQPD2fmDEfj+/fntkFHJmTNu42H73wPsS7nRd3t&#13;&#10;N95f28efUg9JRbuCNrxjG++JSe/9w48/3J/6NSO84k3BBAKSTq5P/carlOrXq5XMK9ZSecd71sFi&#13;&#10;yUVLFUzFflUIegL2tlkR349XJy6KXvCcSQlvP9pF78HwlyXL1R9lKZlCzcYD25R5CvPc6efq4Z6u&#13;&#10;94L2VZ0PZtD/YUVL6w4Onag+UkXRQdTPqNo6F1zyUt3lvF3xsqxzZnwAb7B/5c3XivbM+ALBkf0U&#13;&#10;Jvn9aPPfj1/7P4U2XfZfeP63hIisTr1cTyt6IgGDdqffeAEa0oPixtlzKVq9E9xAZxPTpymm7KxQ&#13;&#10;Di/jIPJQDu/1QHPT9bgtP0j1mXFDQY9fpLJiFDAyoSxQR1s4bwvClW0DurxbIR+dEMGxP0o3gbAD&#13;&#10;qm6DiANaYAoc0AJT6IAWmMD1meELTLEDWmBKHNACE9y16TicxFmYEB9BqHx4RlEQD9k+hSyb43GS&#13;&#10;xWH6Ih7PhYjSLCXhy3hXkxcswXNhIj8IF1Wei0NIkqGFWOC5QDiO4niRcq4SDuIknHNCvu7HjKTV&#13;&#10;mKT5uRuyFEaI6mK3Tc2d6LnUd0HnLCT9Fg85DzCd0xd05qDBfY0OltAQeb19JAffNHy8UM/IMXbg&#13;&#10;kGEanszZwS/YNjghoE7qCrnVOkCN3GIIM1TJrY4i1MktNkeBAVTpGBhbYIhOG89eRlSNI73W8iPb&#13;&#10;coNSOhrYT2MbEILT0YwLKD/s6vwX9s3dEkaQPmA3TsIhc3tDlkUEElcv+Di1KT0s+GCmXkgCUx20&#13;&#10;iw6zO7ObkjS2m3BE5mRxnNr3Q6Gx6Cgcjnj9ASFObh5Assy+j2DdVD57BM5iuOzavcCfBP5PNzCO&#13;&#10;3ACDViZaml2zBYQ4/pHQ5lxIyOt9sUdAEJygjFRwyZz349FJlI2auwo0nav4JUmG+g4Kjpjxv/WK&#13;&#10;+GP0ZuQjxD1k2IChtplAXFs55C+E6Jlf0543BYlgEON2zP0Qgq3VGK/BqBKIHlg93qZ6Osb4OomS&#13;&#10;kNzMOhyTISFerzqkFmSiNtuRFweJ/rbD66urg0ky4N9yETGBT5alu7rXGJPIVrzrUnCzrrjy5w2X&#13;&#10;zPYduniZBmSqYqZCXJoQyZu6eKybRlcuKfa7D41ARwqF8dH8DfXTgTWdLoJQkyJTcp01h0J/hm3X&#13;&#10;Aqc6sLZW0AM3dbvx0glE1xWjxaeuMKVB0bqxY3MlhhZNd2W605XrHS+eoEMT3Da40JDDoOLim4dO&#13;&#10;0NxuPPnPgQrmoebXDrpHyA5dfJSZpGkGSSnmC7vZAu1yINp4yoPvnB5+UDCDHYde1PsKzrEfm47/&#13;&#10;DH1hWesuzjSQ1qZhAu2rCf3Qauv+eD43qMsPgod/AQAA//8DAFBLAwQUAAYACAAAACEALQbJz9kA&#13;&#10;AAAEAQAADwAAAGRycy9kb3ducmV2LnhtbEyPMU/DQAyFdyT+w8lIbPRSkApKc6kKiKELgpSB0cm5&#13;&#10;SUTOF+UuTfj3uF3o8iTr2c/fyzaz69SRhtB6NrBcJKCIK29brg187d/unkCFiGyx80wGfinAJr++&#13;&#10;yjC1fuJPOhaxVhLCIUUDTYx9qnWoGnIYFr4nFu/gB4dRxqHWdsBJwl2n75NkpR22LB8a7Omloeqn&#13;&#10;GJ0Bl+zncrlrV4/j7qP4fn7flg+HyZjbm/l1LbJdg4o0x/8LOHUQfsgFrPQj26A6A9ImnvXsqfK0&#13;&#10;ofNMX8LnfwAAAP//AwBQSwECLQAUAAYACAAAACEAtoM4kv4AAADhAQAAEwAAAAAAAAAAAAAAAAAA&#13;&#10;AAAAW0NvbnRlbnRfVHlwZXNdLnhtbFBLAQItABQABgAIAAAAIQA4/SH/1gAAAJQBAAALAAAAAAAA&#13;&#10;AAAAAAAAAC8BAABfcmVscy8ucmVsc1BLAQItABQABgAIAAAAIQCcotTtQAQAAFgMAAAOAAAAAAAA&#13;&#10;AAAAAAAAAC4CAABkcnMvZTJvRG9jLnhtbFBLAQItABQABgAIAAAAIQAtBsnP2QAAAAQBAAAPAAAA&#13;&#10;AAAAAAAAAAAAAJoGAABkcnMvZG93bnJldi54bWxQSwUGAAAAAAQABADzAAAAoAc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77AEB3B2"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430A3B0"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4054A62B" w14:textId="77777777" w:rsidR="00D036C8" w:rsidRPr="00542A9D" w:rsidRDefault="00D036C8" w:rsidP="00D036C8">
      <w:pPr>
        <w:pStyle w:val="EmailDiscussion"/>
        <w:rPr>
          <w:lang w:val="fr-FR"/>
        </w:rPr>
      </w:pPr>
      <w:r w:rsidRPr="00542A9D">
        <w:rPr>
          <w:lang w:val="fr-FR"/>
        </w:rPr>
        <w:t>[POST124][</w:t>
      </w:r>
      <w:proofErr w:type="gramStart"/>
      <w:r w:rsidRPr="00542A9D">
        <w:rPr>
          <w:lang w:val="fr-FR"/>
        </w:rPr>
        <w:t>0</w:t>
      </w:r>
      <w:r>
        <w:rPr>
          <w:lang w:val="fr-FR"/>
        </w:rPr>
        <w:t>42</w:t>
      </w:r>
      <w:r w:rsidRPr="00542A9D">
        <w:rPr>
          <w:lang w:val="fr-FR"/>
        </w:rPr>
        <w:t>][</w:t>
      </w:r>
      <w:proofErr w:type="gramEnd"/>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A77990D" w14:textId="77777777" w:rsidR="00D036C8" w:rsidRDefault="00D036C8" w:rsidP="00D036C8">
      <w:pPr>
        <w:pStyle w:val="EmailDiscussion2"/>
      </w:pPr>
      <w:r w:rsidRPr="000A4652">
        <w:rPr>
          <w:lang w:val="en-US"/>
        </w:rPr>
        <w:tab/>
      </w:r>
      <w:r>
        <w:t>Intended outcome: Agree to CR</w:t>
      </w:r>
    </w:p>
    <w:p w14:paraId="29374637" w14:textId="77777777" w:rsidR="00D036C8" w:rsidRDefault="00D036C8" w:rsidP="00D036C8">
      <w:pPr>
        <w:pStyle w:val="EmailDiscussion2"/>
      </w:pPr>
      <w:r>
        <w:tab/>
        <w:t>Deadline:  2 weeks</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163"/>
        <w:gridCol w:w="3470"/>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8A0FC2">
        <w:tc>
          <w:tcPr>
            <w:tcW w:w="3085" w:type="dxa"/>
            <w:shd w:val="clear" w:color="auto" w:fill="auto"/>
          </w:tcPr>
          <w:p w14:paraId="0EA089EC" w14:textId="0299925A"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3FD7CC18" w14:textId="20D7B41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proofErr w:type="spellStart"/>
            <w:r w:rsidRPr="00627D4F">
              <w:rPr>
                <w:rFonts w:ascii="Arial" w:eastAsia="Malgun Gothic" w:hAnsi="Arial" w:cs="Arial" w:hint="eastAsia"/>
                <w:color w:val="000000"/>
                <w:sz w:val="21"/>
                <w:lang w:eastAsia="ko-KR"/>
              </w:rPr>
              <w:t>SeungJune</w:t>
            </w:r>
            <w:proofErr w:type="spellEnd"/>
            <w:r w:rsidRPr="00627D4F">
              <w:rPr>
                <w:rFonts w:ascii="Arial" w:eastAsia="Malgun Gothic" w:hAnsi="Arial" w:cs="Arial" w:hint="eastAsia"/>
                <w:color w:val="000000"/>
                <w:sz w:val="21"/>
                <w:lang w:eastAsia="ko-KR"/>
              </w:rPr>
              <w:t xml:space="preserve"> Yi</w:t>
            </w:r>
          </w:p>
        </w:tc>
        <w:tc>
          <w:tcPr>
            <w:tcW w:w="3510" w:type="dxa"/>
            <w:shd w:val="clear" w:color="auto" w:fill="auto"/>
          </w:tcPr>
          <w:p w14:paraId="54BD98BF" w14:textId="37E856CC"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204D6646" w14:textId="77777777" w:rsidTr="004F3F23">
        <w:tc>
          <w:tcPr>
            <w:tcW w:w="3085" w:type="dxa"/>
            <w:shd w:val="clear" w:color="auto" w:fill="auto"/>
          </w:tcPr>
          <w:p w14:paraId="72111ECD" w14:textId="125DDD73"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15D782E1" w14:textId="5DA444E6"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07C4B481" w14:textId="4A6BB06F"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6B9C9DE9" w14:textId="77777777" w:rsidTr="004F3F23">
        <w:tc>
          <w:tcPr>
            <w:tcW w:w="3085" w:type="dxa"/>
            <w:shd w:val="clear" w:color="auto" w:fill="auto"/>
          </w:tcPr>
          <w:p w14:paraId="545941C0" w14:textId="36B84D1F"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7F3C5709" w14:textId="27664EC1"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8E3F0E0" w14:textId="0D16E343"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300F7EAB" w14:textId="77777777" w:rsidTr="008A0FC2">
        <w:tc>
          <w:tcPr>
            <w:tcW w:w="3085"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0"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510"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6756A2A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652"/>
        <w:gridCol w:w="3173"/>
        <w:gridCol w:w="2570"/>
      </w:tblGrid>
      <w:tr w:rsidR="004A60B4" w:rsidRPr="00EA5065" w14:paraId="66B50DE8" w14:textId="3F8AFA62" w:rsidTr="004A60B4">
        <w:tc>
          <w:tcPr>
            <w:tcW w:w="1252"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D56DCF" w:rsidRPr="00EA5065" w14:paraId="74DF42D1" w14:textId="0FAEC985" w:rsidTr="004A60B4">
        <w:tc>
          <w:tcPr>
            <w:tcW w:w="1252" w:type="dxa"/>
            <w:shd w:val="clear" w:color="auto" w:fill="auto"/>
          </w:tcPr>
          <w:p w14:paraId="4AE36D26" w14:textId="7B0019C6"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781" w:type="dxa"/>
            <w:shd w:val="clear" w:color="auto" w:fill="auto"/>
          </w:tcPr>
          <w:p w14:paraId="11DF2BEA" w14:textId="2C8D7156"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111" w:type="dxa"/>
            <w:shd w:val="clear" w:color="auto" w:fill="auto"/>
          </w:tcPr>
          <w:p w14:paraId="39A47312" w14:textId="433FBE6E"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711" w:type="dxa"/>
          </w:tcPr>
          <w:p w14:paraId="3F75A059" w14:textId="77777777" w:rsidR="00D56DCF" w:rsidRPr="00507DAC" w:rsidRDefault="00D56DCF" w:rsidP="00D56DCF">
            <w:pPr>
              <w:overflowPunct w:val="0"/>
              <w:autoSpaceDE w:val="0"/>
              <w:autoSpaceDN w:val="0"/>
              <w:adjustRightInd w:val="0"/>
              <w:textAlignment w:val="baseline"/>
              <w:rPr>
                <w:rFonts w:ascii="Arial" w:hAnsi="Arial" w:cs="Arial"/>
                <w:color w:val="000000"/>
                <w:lang w:eastAsia="zh-CN"/>
              </w:rPr>
            </w:pPr>
          </w:p>
        </w:tc>
      </w:tr>
      <w:tr w:rsidR="00507DAC" w:rsidRPr="00EA5065" w14:paraId="0E71B29B" w14:textId="77777777" w:rsidTr="004F3F23">
        <w:tc>
          <w:tcPr>
            <w:tcW w:w="1252" w:type="dxa"/>
            <w:shd w:val="clear" w:color="auto" w:fill="auto"/>
          </w:tcPr>
          <w:p w14:paraId="08F74A1F" w14:textId="3A0725CE"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81" w:type="dxa"/>
            <w:shd w:val="clear" w:color="auto" w:fill="auto"/>
          </w:tcPr>
          <w:p w14:paraId="11E33845" w14:textId="177EEEC0"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111" w:type="dxa"/>
            <w:shd w:val="clear" w:color="auto" w:fill="auto"/>
          </w:tcPr>
          <w:p w14:paraId="54F25A99" w14:textId="0043F90E" w:rsidR="00507DAC" w:rsidRP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tc>
        <w:tc>
          <w:tcPr>
            <w:tcW w:w="2711" w:type="dxa"/>
          </w:tcPr>
          <w:p w14:paraId="708A8DE0" w14:textId="77777777" w:rsidR="00507DAC" w:rsidRPr="00507DAC" w:rsidRDefault="00507DAC" w:rsidP="00305982">
            <w:pPr>
              <w:spacing w:before="100" w:beforeAutospacing="1" w:after="100" w:afterAutospacing="1"/>
              <w:rPr>
                <w:rFonts w:ascii="Arial" w:hAnsi="Arial" w:cs="Arial"/>
                <w:color w:val="000000"/>
                <w:lang w:eastAsia="zh-CN"/>
              </w:rPr>
            </w:pPr>
          </w:p>
        </w:tc>
      </w:tr>
      <w:tr w:rsidR="00507DAC" w:rsidRPr="00EA5065" w14:paraId="18DE6555" w14:textId="77777777" w:rsidTr="004F3F23">
        <w:tc>
          <w:tcPr>
            <w:tcW w:w="1252" w:type="dxa"/>
            <w:shd w:val="clear" w:color="auto" w:fill="auto"/>
          </w:tcPr>
          <w:p w14:paraId="3ADD8AE6" w14:textId="4EF79A00"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N003</w:t>
            </w:r>
          </w:p>
        </w:tc>
        <w:tc>
          <w:tcPr>
            <w:tcW w:w="2781" w:type="dxa"/>
            <w:shd w:val="clear" w:color="auto" w:fill="auto"/>
          </w:tcPr>
          <w:p w14:paraId="602661EF" w14:textId="7BC7F43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t xml:space="preserve"> including both already stored PDCP SDUs and newly received PDCP SDUs"</w:t>
            </w:r>
          </w:p>
        </w:tc>
        <w:tc>
          <w:tcPr>
            <w:tcW w:w="3111" w:type="dxa"/>
            <w:shd w:val="clear" w:color="auto" w:fill="auto"/>
          </w:tcPr>
          <w:p w14:paraId="3B87F97F" w14:textId="6C77CD42" w:rsidR="00507DAC" w:rsidRP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tc>
        <w:tc>
          <w:tcPr>
            <w:tcW w:w="2711" w:type="dxa"/>
          </w:tcPr>
          <w:p w14:paraId="6A7B57A6" w14:textId="77777777" w:rsidR="00507DAC" w:rsidRPr="00507DAC" w:rsidRDefault="00507DAC" w:rsidP="00305982">
            <w:pPr>
              <w:spacing w:before="100" w:beforeAutospacing="1" w:after="100" w:afterAutospacing="1"/>
              <w:rPr>
                <w:rFonts w:ascii="Arial" w:hAnsi="Arial" w:cs="Arial"/>
                <w:color w:val="000000"/>
                <w:lang w:eastAsia="zh-CN"/>
              </w:rPr>
            </w:pPr>
          </w:p>
        </w:tc>
      </w:tr>
      <w:tr w:rsidR="00507DAC" w:rsidRPr="00EA5065" w14:paraId="0426680E" w14:textId="77777777" w:rsidTr="004F3F23">
        <w:tc>
          <w:tcPr>
            <w:tcW w:w="1252" w:type="dxa"/>
            <w:shd w:val="clear" w:color="auto" w:fill="auto"/>
          </w:tcPr>
          <w:p w14:paraId="26E2222E" w14:textId="189EDE1C"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N004</w:t>
            </w:r>
          </w:p>
        </w:tc>
        <w:tc>
          <w:tcPr>
            <w:tcW w:w="2781" w:type="dxa"/>
            <w:shd w:val="clear" w:color="auto" w:fill="auto"/>
          </w:tcPr>
          <w:p w14:paraId="4C46104F" w14:textId="62F87C3F"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5.3 : "stored"</w:t>
            </w:r>
          </w:p>
        </w:tc>
        <w:tc>
          <w:tcPr>
            <w:tcW w:w="3111" w:type="dxa"/>
            <w:shd w:val="clear" w:color="auto" w:fill="auto"/>
          </w:tcPr>
          <w:p w14:paraId="36EC791F" w14:textId="771F631F" w:rsidR="00507DAC" w:rsidRP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tc>
        <w:tc>
          <w:tcPr>
            <w:tcW w:w="2711" w:type="dxa"/>
          </w:tcPr>
          <w:p w14:paraId="28EF6C9C" w14:textId="77777777" w:rsidR="00507DAC" w:rsidRPr="00507DAC" w:rsidRDefault="00507DAC" w:rsidP="00305982">
            <w:pPr>
              <w:spacing w:before="100" w:beforeAutospacing="1" w:after="100" w:afterAutospacing="1"/>
              <w:rPr>
                <w:rFonts w:ascii="Arial" w:hAnsi="Arial" w:cs="Arial"/>
                <w:color w:val="000000"/>
                <w:lang w:eastAsia="zh-CN"/>
              </w:rPr>
            </w:pPr>
          </w:p>
        </w:tc>
      </w:tr>
      <w:tr w:rsidR="00507DAC" w:rsidRPr="00EA5065" w14:paraId="2EF16F57" w14:textId="77777777" w:rsidTr="004F3F23">
        <w:tc>
          <w:tcPr>
            <w:tcW w:w="1252" w:type="dxa"/>
            <w:shd w:val="clear" w:color="auto" w:fill="auto"/>
          </w:tcPr>
          <w:p w14:paraId="50728A39" w14:textId="4A20E5DB"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781" w:type="dxa"/>
            <w:shd w:val="clear" w:color="auto" w:fill="auto"/>
          </w:tcPr>
          <w:p w14:paraId="552D7BD5" w14:textId="5AF5D9B9"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111" w:type="dxa"/>
            <w:shd w:val="clear" w:color="auto" w:fill="auto"/>
          </w:tcPr>
          <w:p w14:paraId="013FEADD" w14:textId="5546996E"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in sections 5.2.1 and 7.3</w:t>
            </w:r>
            <w:r w:rsidR="000B67B5">
              <w:rPr>
                <w:rFonts w:ascii="Arial" w:hAnsi="Arial" w:cs="Arial"/>
                <w:color w:val="000000"/>
                <w:lang w:eastAsia="zh-CN"/>
              </w:rPr>
              <w:t xml:space="preserve">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CF46D06" w14:textId="740973B3"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w:t>
            </w:r>
            <w:r w:rsidRPr="000B0ADF">
              <w:rPr>
                <w:i/>
                <w:iCs/>
                <w:color w:val="000000"/>
                <w:lang w:eastAsia="zh-CN"/>
              </w:rPr>
              <w:t xml:space="preserve"> </w:t>
            </w:r>
            <w:r w:rsidRPr="000B0ADF">
              <w:rPr>
                <w:i/>
                <w:iCs/>
                <w:color w:val="000000"/>
                <w:lang w:eastAsia="zh-CN"/>
              </w:rPr>
              <w:t>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711" w:type="dxa"/>
          </w:tcPr>
          <w:p w14:paraId="5807666E" w14:textId="77777777" w:rsidR="00507DAC" w:rsidRPr="00507DAC" w:rsidRDefault="00507DAC" w:rsidP="00305982">
            <w:pPr>
              <w:spacing w:before="100" w:beforeAutospacing="1" w:after="100" w:afterAutospacing="1"/>
              <w:rPr>
                <w:rFonts w:ascii="Arial" w:hAnsi="Arial" w:cs="Arial"/>
                <w:color w:val="000000"/>
                <w:lang w:eastAsia="zh-CN"/>
              </w:rPr>
            </w:pPr>
          </w:p>
        </w:tc>
      </w:tr>
      <w:tr w:rsidR="00507DAC" w:rsidRPr="00EA5065" w14:paraId="76408F45" w14:textId="77777777" w:rsidTr="004F3F23">
        <w:tc>
          <w:tcPr>
            <w:tcW w:w="1252" w:type="dxa"/>
            <w:shd w:val="clear" w:color="auto" w:fill="auto"/>
          </w:tcPr>
          <w:p w14:paraId="7F492D3A" w14:textId="7B62B939"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781" w:type="dxa"/>
            <w:shd w:val="clear" w:color="auto" w:fill="auto"/>
          </w:tcPr>
          <w:p w14:paraId="3558F4FE" w14:textId="4AB3DF2D"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w:t>
            </w:r>
            <w:r>
              <w:rPr>
                <w:rFonts w:ascii="Arial" w:hAnsi="Arial" w:cs="Arial"/>
                <w:color w:val="000000"/>
                <w:lang w:eastAsia="zh-CN"/>
              </w:rPr>
              <w:t>5.2.1 and 7.3</w:t>
            </w:r>
            <w:r>
              <w:rPr>
                <w:rFonts w:ascii="Arial" w:hAnsi="Arial" w:cs="Arial"/>
                <w:color w:val="000000"/>
                <w:lang w:eastAsia="zh-CN"/>
              </w:rPr>
              <w:t>)</w:t>
            </w:r>
          </w:p>
        </w:tc>
        <w:tc>
          <w:tcPr>
            <w:tcW w:w="3111" w:type="dxa"/>
            <w:shd w:val="clear" w:color="auto" w:fill="auto"/>
          </w:tcPr>
          <w:p w14:paraId="30BB95E8" w14:textId="54B6218C"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711" w:type="dxa"/>
          </w:tcPr>
          <w:p w14:paraId="2772B2C2" w14:textId="77777777" w:rsidR="00507DAC" w:rsidRPr="00507DAC" w:rsidRDefault="00507DAC" w:rsidP="00305982">
            <w:pPr>
              <w:spacing w:before="100" w:beforeAutospacing="1" w:after="100" w:afterAutospacing="1"/>
              <w:rPr>
                <w:rFonts w:ascii="Arial" w:hAnsi="Arial" w:cs="Arial"/>
                <w:color w:val="000000"/>
                <w:lang w:eastAsia="zh-CN"/>
              </w:rPr>
            </w:pPr>
          </w:p>
        </w:tc>
      </w:tr>
      <w:tr w:rsidR="004A60B4" w:rsidRPr="00EA5065" w14:paraId="21252B3F" w14:textId="1E95568B" w:rsidTr="004A60B4">
        <w:tc>
          <w:tcPr>
            <w:tcW w:w="1252" w:type="dxa"/>
            <w:shd w:val="clear" w:color="auto" w:fill="auto"/>
          </w:tcPr>
          <w:p w14:paraId="0020A6EF" w14:textId="77777777" w:rsidR="004A60B4" w:rsidRPr="00EA5065" w:rsidRDefault="004A60B4" w:rsidP="00507DAC">
            <w:pPr>
              <w:spacing w:before="100" w:beforeAutospacing="1" w:after="100" w:afterAutospacing="1"/>
              <w:rPr>
                <w:rFonts w:ascii="Arial" w:hAnsi="Arial" w:cs="Arial"/>
                <w:color w:val="000000"/>
                <w:lang w:eastAsia="zh-CN"/>
              </w:rPr>
            </w:pPr>
          </w:p>
        </w:tc>
        <w:tc>
          <w:tcPr>
            <w:tcW w:w="2781" w:type="dxa"/>
            <w:shd w:val="clear" w:color="auto" w:fill="auto"/>
          </w:tcPr>
          <w:p w14:paraId="7FB0CDE0" w14:textId="77777777" w:rsidR="004A60B4" w:rsidRPr="00EA5065" w:rsidRDefault="004A60B4" w:rsidP="00507DAC">
            <w:pPr>
              <w:spacing w:before="100" w:beforeAutospacing="1" w:after="100" w:afterAutospacing="1"/>
              <w:rPr>
                <w:rFonts w:ascii="Arial" w:hAnsi="Arial" w:cs="Arial"/>
                <w:color w:val="000000"/>
                <w:lang w:eastAsia="zh-CN"/>
              </w:rPr>
            </w:pPr>
          </w:p>
        </w:tc>
        <w:tc>
          <w:tcPr>
            <w:tcW w:w="3111" w:type="dxa"/>
            <w:shd w:val="clear" w:color="auto" w:fill="auto"/>
          </w:tcPr>
          <w:p w14:paraId="3CD70D47" w14:textId="408F5331" w:rsidR="004A60B4" w:rsidRPr="00507DAC" w:rsidRDefault="004A60B4" w:rsidP="00305982">
            <w:pPr>
              <w:spacing w:before="100" w:beforeAutospacing="1" w:after="100" w:afterAutospacing="1"/>
              <w:rPr>
                <w:rFonts w:ascii="Arial" w:hAnsi="Arial" w:cs="Arial"/>
                <w:color w:val="000000"/>
                <w:lang w:eastAsia="zh-CN"/>
              </w:rPr>
            </w:pPr>
          </w:p>
        </w:tc>
        <w:tc>
          <w:tcPr>
            <w:tcW w:w="2711" w:type="dxa"/>
          </w:tcPr>
          <w:p w14:paraId="6225CEA9" w14:textId="77777777" w:rsidR="004A60B4" w:rsidRPr="00507DAC" w:rsidRDefault="004A60B4" w:rsidP="00305982">
            <w:pPr>
              <w:spacing w:before="100" w:beforeAutospacing="1" w:after="100" w:afterAutospacing="1"/>
              <w:rPr>
                <w:rFonts w:ascii="Arial" w:hAnsi="Arial" w:cs="Arial"/>
                <w:color w:val="000000"/>
                <w:lang w:eastAsia="zh-CN"/>
              </w:rPr>
            </w:pPr>
          </w:p>
        </w:tc>
      </w:tr>
    </w:tbl>
    <w:p w14:paraId="48712CB0" w14:textId="77777777" w:rsidR="004A60B4" w:rsidRDefault="004A60B4"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663C" w14:textId="77777777" w:rsidR="00AC7ECC" w:rsidRDefault="00AC7ECC">
      <w:r>
        <w:separator/>
      </w:r>
    </w:p>
  </w:endnote>
  <w:endnote w:type="continuationSeparator" w:id="0">
    <w:p w14:paraId="634637E7" w14:textId="77777777" w:rsidR="00AC7ECC" w:rsidRDefault="00AC7ECC">
      <w:r>
        <w:continuationSeparator/>
      </w:r>
    </w:p>
  </w:endnote>
  <w:endnote w:type="continuationNotice" w:id="1">
    <w:p w14:paraId="5C88A336" w14:textId="77777777" w:rsidR="00AC7ECC" w:rsidRDefault="00AC7E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ADFC" w14:textId="77777777" w:rsidR="00AC7ECC" w:rsidRDefault="00AC7ECC">
      <w:r>
        <w:separator/>
      </w:r>
    </w:p>
  </w:footnote>
  <w:footnote w:type="continuationSeparator" w:id="0">
    <w:p w14:paraId="1178263B" w14:textId="77777777" w:rsidR="00AC7ECC" w:rsidRDefault="00AC7ECC">
      <w:r>
        <w:continuationSeparator/>
      </w:r>
    </w:p>
  </w:footnote>
  <w:footnote w:type="continuationNotice" w:id="1">
    <w:p w14:paraId="6A38F06F" w14:textId="77777777" w:rsidR="00AC7ECC" w:rsidRDefault="00AC7E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18651">
    <w:abstractNumId w:val="29"/>
  </w:num>
  <w:num w:numId="2" w16cid:durableId="1763260360">
    <w:abstractNumId w:val="2"/>
  </w:num>
  <w:num w:numId="3" w16cid:durableId="1836457460">
    <w:abstractNumId w:val="17"/>
  </w:num>
  <w:num w:numId="4" w16cid:durableId="2147119566">
    <w:abstractNumId w:val="27"/>
  </w:num>
  <w:num w:numId="5" w16cid:durableId="459038141">
    <w:abstractNumId w:val="27"/>
    <w:lvlOverride w:ilvl="0">
      <w:startOverride w:val="1"/>
    </w:lvlOverride>
  </w:num>
  <w:num w:numId="6" w16cid:durableId="749305515">
    <w:abstractNumId w:val="27"/>
    <w:lvlOverride w:ilvl="0">
      <w:startOverride w:val="1"/>
    </w:lvlOverride>
  </w:num>
  <w:num w:numId="7" w16cid:durableId="530995595">
    <w:abstractNumId w:val="9"/>
  </w:num>
  <w:num w:numId="8" w16cid:durableId="1590890589">
    <w:abstractNumId w:val="28"/>
  </w:num>
  <w:num w:numId="9" w16cid:durableId="1800413832">
    <w:abstractNumId w:val="24"/>
  </w:num>
  <w:num w:numId="10" w16cid:durableId="1243679274">
    <w:abstractNumId w:val="26"/>
  </w:num>
  <w:num w:numId="11" w16cid:durableId="1195652738">
    <w:abstractNumId w:val="27"/>
  </w:num>
  <w:num w:numId="12" w16cid:durableId="1704595195">
    <w:abstractNumId w:val="25"/>
  </w:num>
  <w:num w:numId="13" w16cid:durableId="519470798">
    <w:abstractNumId w:val="5"/>
  </w:num>
  <w:num w:numId="14" w16cid:durableId="1048338909">
    <w:abstractNumId w:val="31"/>
  </w:num>
  <w:num w:numId="15" w16cid:durableId="2143037045">
    <w:abstractNumId w:val="23"/>
  </w:num>
  <w:num w:numId="16" w16cid:durableId="2021806778">
    <w:abstractNumId w:val="14"/>
  </w:num>
  <w:num w:numId="17" w16cid:durableId="1994410106">
    <w:abstractNumId w:val="27"/>
  </w:num>
  <w:num w:numId="18" w16cid:durableId="371809553">
    <w:abstractNumId w:val="30"/>
  </w:num>
  <w:num w:numId="19" w16cid:durableId="1994747455">
    <w:abstractNumId w:val="22"/>
  </w:num>
  <w:num w:numId="20" w16cid:durableId="1850097765">
    <w:abstractNumId w:val="27"/>
  </w:num>
  <w:num w:numId="21" w16cid:durableId="873998469">
    <w:abstractNumId w:val="10"/>
  </w:num>
  <w:num w:numId="22" w16cid:durableId="1812746633">
    <w:abstractNumId w:val="18"/>
  </w:num>
  <w:num w:numId="23" w16cid:durableId="1126317958">
    <w:abstractNumId w:val="7"/>
  </w:num>
  <w:num w:numId="24" w16cid:durableId="820848439">
    <w:abstractNumId w:val="30"/>
  </w:num>
  <w:num w:numId="25" w16cid:durableId="1984190483">
    <w:abstractNumId w:val="13"/>
  </w:num>
  <w:num w:numId="26" w16cid:durableId="411896891">
    <w:abstractNumId w:val="29"/>
  </w:num>
  <w:num w:numId="27" w16cid:durableId="1104880478">
    <w:abstractNumId w:val="29"/>
  </w:num>
  <w:num w:numId="28" w16cid:durableId="1978104370">
    <w:abstractNumId w:val="29"/>
  </w:num>
  <w:num w:numId="29" w16cid:durableId="674767592">
    <w:abstractNumId w:val="19"/>
  </w:num>
  <w:num w:numId="30" w16cid:durableId="1245846687">
    <w:abstractNumId w:val="4"/>
  </w:num>
  <w:num w:numId="31" w16cid:durableId="988098689">
    <w:abstractNumId w:val="6"/>
  </w:num>
  <w:num w:numId="32" w16cid:durableId="1738898019">
    <w:abstractNumId w:val="1"/>
  </w:num>
  <w:num w:numId="33" w16cid:durableId="834801437">
    <w:abstractNumId w:val="12"/>
  </w:num>
  <w:num w:numId="34" w16cid:durableId="1783382479">
    <w:abstractNumId w:val="8"/>
  </w:num>
  <w:num w:numId="35" w16cid:durableId="1925259949">
    <w:abstractNumId w:val="15"/>
  </w:num>
  <w:num w:numId="36" w16cid:durableId="83769750">
    <w:abstractNumId w:val="3"/>
  </w:num>
  <w:num w:numId="37" w16cid:durableId="1868179022">
    <w:abstractNumId w:val="21"/>
  </w:num>
  <w:num w:numId="38" w16cid:durableId="1606499815">
    <w:abstractNumId w:val="11"/>
  </w:num>
  <w:num w:numId="39" w16cid:durableId="1574192949">
    <w:abstractNumId w:val="16"/>
  </w:num>
  <w:num w:numId="40" w16cid:durableId="534343954">
    <w:abstractNumId w:val="22"/>
  </w:num>
  <w:num w:numId="41" w16cid:durableId="566113781">
    <w:abstractNumId w:val="0"/>
  </w:num>
  <w:num w:numId="42" w16cid:durableId="1513296652">
    <w:abstractNumId w:val="20"/>
  </w:num>
  <w:num w:numId="43" w16cid:durableId="1966497083">
    <w:abstractNumId w:val="29"/>
  </w:num>
  <w:num w:numId="44" w16cid:durableId="195390273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5982"/>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2706"/>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60108"/>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0E0"/>
    <w:rsid w:val="004E71B7"/>
    <w:rsid w:val="004F000A"/>
    <w:rsid w:val="004F1C4C"/>
    <w:rsid w:val="004F21F2"/>
    <w:rsid w:val="004F2A16"/>
    <w:rsid w:val="004F2AE1"/>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F95"/>
    <w:rsid w:val="0061749B"/>
    <w:rsid w:val="00617EDA"/>
    <w:rsid w:val="00617F25"/>
    <w:rsid w:val="0062026E"/>
    <w:rsid w:val="00620CF5"/>
    <w:rsid w:val="00621188"/>
    <w:rsid w:val="006212FD"/>
    <w:rsid w:val="00621B23"/>
    <w:rsid w:val="00622B5B"/>
    <w:rsid w:val="006238D4"/>
    <w:rsid w:val="00623EAF"/>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Props1.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B3941-222E-4C60-A442-ADD2E9CD026F}">
  <ds:schemaRefs>
    <ds:schemaRef ds:uri="http://schemas.openxmlformats.org/officeDocument/2006/bibliography"/>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2</Pages>
  <Words>366</Words>
  <Characters>2088</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Apple</cp:lastModifiedBy>
  <cp:revision>3</cp:revision>
  <dcterms:created xsi:type="dcterms:W3CDTF">2023-11-22T18:17:00Z</dcterms:created>
  <dcterms:modified xsi:type="dcterms:W3CDTF">2023-11-22T18:21:00Z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