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0A5EF4" w:rsidRPr="000A5EF4">
        <w:rPr>
          <w:rFonts w:ascii="Arial" w:eastAsia="宋体"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a8"/>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a8"/>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a8"/>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a8"/>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a8"/>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a8"/>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a8"/>
              <w:keepNext/>
              <w:rPr>
                <w:rFonts w:eastAsiaTheme="minorEastAsia" w:hint="eastAsia"/>
                <w:lang w:eastAsia="zh-CN"/>
              </w:rPr>
            </w:pPr>
            <w:r>
              <w:rPr>
                <w:rFonts w:eastAsiaTheme="minorEastAsia"/>
                <w:lang w:eastAsia="zh-CN"/>
              </w:rPr>
              <w:t xml:space="preserve">For the below text: </w:t>
            </w:r>
          </w:p>
          <w:p w14:paraId="73A5BC0C" w14:textId="77777777" w:rsidR="00B05030" w:rsidRDefault="00B05030" w:rsidP="002133EE">
            <w:pPr>
              <w:pStyle w:val="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w:t>
            </w:r>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hint="eastAsia"/>
                <w:lang w:eastAsia="zh-CN"/>
              </w:rPr>
            </w:pPr>
          </w:p>
          <w:p w14:paraId="2F9148E1" w14:textId="09DE4839" w:rsidR="00B05030" w:rsidRDefault="00BF312E" w:rsidP="00BF312E">
            <w:pPr>
              <w:pStyle w:val="a8"/>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a8"/>
              <w:keepNext/>
              <w:ind w:leftChars="200" w:left="400"/>
              <w:rPr>
                <w:rFonts w:eastAsiaTheme="minorEastAsia" w:hint="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a8"/>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a8"/>
              <w:keepNext/>
              <w:ind w:leftChars="200" w:left="400"/>
              <w:rPr>
                <w:rFonts w:eastAsiaTheme="minorEastAsia" w:hint="eastAsia"/>
                <w:bCs/>
                <w:lang w:eastAsia="zh-CN"/>
              </w:rPr>
            </w:pPr>
            <w:r w:rsidRPr="00BF312E">
              <w:rPr>
                <w:rFonts w:eastAsiaTheme="minorEastAsia"/>
                <w:bCs/>
                <w:lang w:eastAsia="zh-CN"/>
              </w:rPr>
              <w:t>“</w:t>
            </w:r>
            <w:r w:rsidRPr="00BF312E">
              <w:rPr>
                <w:lang w:eastAsia="zh-CN"/>
              </w:rPr>
              <w:t xml:space="preserve"> </w:t>
            </w:r>
            <w:r w:rsidRPr="00BF312E">
              <w:rPr>
                <w:lang w:eastAsia="zh-CN"/>
              </w:rPr>
              <w:t>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a8"/>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a8"/>
              <w:keepNext/>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a8"/>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a8"/>
              <w:keepNext/>
              <w:rPr>
                <w:rFonts w:eastAsiaTheme="minorEastAsia" w:hint="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a8"/>
              <w:keepNext/>
              <w:rPr>
                <w:rFonts w:eastAsiaTheme="minorEastAsia"/>
                <w:bCs/>
                <w:lang w:eastAsia="zh-CN"/>
              </w:rPr>
            </w:pPr>
          </w:p>
          <w:p w14:paraId="62D969B9" w14:textId="77777777" w:rsidR="001F41C0" w:rsidRDefault="001F41C0" w:rsidP="002D601D">
            <w:pPr>
              <w:pStyle w:val="a8"/>
              <w:keepNext/>
              <w:rPr>
                <w:rFonts w:eastAsiaTheme="minorEastAsia"/>
                <w:bCs/>
                <w:lang w:eastAsia="zh-CN"/>
              </w:rPr>
            </w:pPr>
            <w:r>
              <w:rPr>
                <w:rFonts w:eastAsiaTheme="minorEastAsia"/>
                <w:bCs/>
                <w:lang w:eastAsia="zh-CN"/>
              </w:rPr>
              <w:t>From stage 2 point of view, we think it is good to give more explanations about the motivati</w:t>
            </w:r>
            <w:r>
              <w:rPr>
                <w:rFonts w:eastAsiaTheme="minorEastAsia"/>
                <w:bCs/>
                <w:lang w:eastAsia="zh-CN"/>
              </w:rPr>
              <w:t>on and leave more details in stage 3. So, our suggestion is:</w:t>
            </w:r>
          </w:p>
          <w:p w14:paraId="3E4A20DB" w14:textId="116C6C22" w:rsidR="001F41C0" w:rsidRPr="001A16BD" w:rsidRDefault="00DD2B12" w:rsidP="00DD2B12">
            <w:pPr>
              <w:pStyle w:val="a8"/>
              <w:keepNext/>
              <w:rPr>
                <w:rFonts w:eastAsiaTheme="minorEastAsia" w:hint="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a8"/>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a8"/>
              <w:keepNext/>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a8"/>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a8"/>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a8"/>
              <w:keepNext/>
              <w:rPr>
                <w:rFonts w:eastAsiaTheme="minorEastAsia" w:hint="eastAsia"/>
                <w:lang w:eastAsia="zh-CN"/>
              </w:rPr>
            </w:pPr>
          </w:p>
          <w:p w14:paraId="740A553A" w14:textId="2C60D64D" w:rsidR="00B07F48" w:rsidRDefault="0002452C" w:rsidP="0002452C">
            <w:pPr>
              <w:pStyle w:val="a8"/>
              <w:keepNext/>
              <w:rPr>
                <w:rFonts w:eastAsiaTheme="minorEastAsia"/>
                <w:bCs/>
                <w:lang w:eastAsia="zh-CN"/>
              </w:rPr>
            </w:pPr>
            <w:r>
              <w:rPr>
                <w:lang w:eastAsia="zh-CN"/>
              </w:rPr>
              <w:t>The reference spec here should be TS 38.3</w:t>
            </w:r>
            <w:r w:rsidRPr="0002452C">
              <w:rPr>
                <w:lang w:eastAsia="zh-CN"/>
              </w:rPr>
              <w:t xml:space="preserve">31 not 38.213, because the reference </w:t>
            </w:r>
            <w:r w:rsidRPr="0002452C">
              <w:rPr>
                <w:lang w:eastAsia="zh-CN"/>
              </w:rPr>
              <w:t xml:space="preserve">serving </w:t>
            </w:r>
            <w:r w:rsidRPr="0002452C">
              <w:rPr>
                <w:lang w:eastAsia="zh-CN"/>
              </w:rPr>
              <w:t xml:space="preserve">cell is </w:t>
            </w:r>
            <w:r w:rsidRPr="0002452C">
              <w:rPr>
                <w:lang w:eastAsia="zh-CN"/>
              </w:rPr>
              <w:t xml:space="preserve">described </w:t>
            </w:r>
            <w:r w:rsidRPr="0002452C">
              <w:rPr>
                <w:lang w:eastAsia="zh-CN"/>
              </w:rPr>
              <w:t>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a8"/>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a8"/>
              <w:keepNext/>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w:t>
            </w:r>
            <w:r w:rsidRPr="0002452C">
              <w:rPr>
                <w:rFonts w:eastAsiaTheme="minorEastAsia"/>
                <w:b/>
                <w:bCs/>
                <w:lang w:eastAsia="zh-CN"/>
              </w:rPr>
              <w:t xml:space="preserve">NES </w:t>
            </w:r>
            <w:r w:rsidRPr="0002452C">
              <w:rPr>
                <w:rFonts w:eastAsiaTheme="minorEastAsia"/>
                <w:b/>
                <w:bCs/>
                <w:lang w:eastAsia="zh-CN"/>
              </w:rPr>
              <w:t xml:space="preserve">SD/PD features: </w:t>
            </w:r>
          </w:p>
          <w:p w14:paraId="5D17310C" w14:textId="77777777" w:rsidR="00B07F48" w:rsidRDefault="00B07F48" w:rsidP="00B07F48">
            <w:pPr>
              <w:pStyle w:val="a8"/>
              <w:keepNext/>
              <w:rPr>
                <w:rFonts w:eastAsiaTheme="minorEastAsia" w:hint="eastAsia"/>
                <w:bCs/>
                <w:lang w:eastAsia="zh-CN"/>
              </w:rPr>
            </w:pPr>
            <w:r>
              <w:rPr>
                <w:rFonts w:eastAsiaTheme="minorEastAsia"/>
                <w:bCs/>
                <w:lang w:eastAsia="zh-CN"/>
              </w:rPr>
              <w:t xml:space="preserve">For the below text: </w:t>
            </w:r>
          </w:p>
          <w:p w14:paraId="692B51B3" w14:textId="26068DC2" w:rsidR="00B07F48" w:rsidRDefault="00B07F48" w:rsidP="00B07F48">
            <w:r>
              <w:t>“</w:t>
            </w:r>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rFonts w:hint="eastAsia"/>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bookmarkStart w:id="9" w:name="_GoBack"/>
            <w:bookmarkEnd w:id="9"/>
          </w:p>
        </w:tc>
        <w:tc>
          <w:tcPr>
            <w:tcW w:w="3340" w:type="dxa"/>
          </w:tcPr>
          <w:p w14:paraId="7118DA82" w14:textId="77777777" w:rsidR="00B07F48" w:rsidRPr="00D45311" w:rsidRDefault="00B07F48" w:rsidP="00B07F48">
            <w:pPr>
              <w:pStyle w:val="a8"/>
              <w:keepNext/>
              <w:rPr>
                <w:bCs/>
              </w:rPr>
            </w:pPr>
          </w:p>
        </w:tc>
      </w:tr>
      <w:tr w:rsidR="00B07F48" w:rsidRPr="00D45311" w14:paraId="72E6E8E1" w14:textId="77777777" w:rsidTr="002D601D">
        <w:trPr>
          <w:trHeight w:val="127"/>
        </w:trPr>
        <w:tc>
          <w:tcPr>
            <w:tcW w:w="1229" w:type="dxa"/>
            <w:shd w:val="clear" w:color="auto" w:fill="auto"/>
          </w:tcPr>
          <w:p w14:paraId="11E67AA1" w14:textId="77777777" w:rsidR="00B07F48" w:rsidRPr="00D45311" w:rsidRDefault="00B07F48" w:rsidP="00B07F48">
            <w:pPr>
              <w:pStyle w:val="a8"/>
              <w:keepNext/>
              <w:rPr>
                <w:bCs/>
              </w:rPr>
            </w:pPr>
          </w:p>
        </w:tc>
        <w:tc>
          <w:tcPr>
            <w:tcW w:w="5287" w:type="dxa"/>
          </w:tcPr>
          <w:p w14:paraId="51FB1AF3" w14:textId="77777777" w:rsidR="00B07F48" w:rsidRPr="00D45311" w:rsidRDefault="00B07F48" w:rsidP="00B07F48">
            <w:pPr>
              <w:pStyle w:val="a8"/>
              <w:keepNext/>
              <w:rPr>
                <w:bCs/>
              </w:rPr>
            </w:pPr>
          </w:p>
        </w:tc>
        <w:tc>
          <w:tcPr>
            <w:tcW w:w="3340" w:type="dxa"/>
          </w:tcPr>
          <w:p w14:paraId="2945B96A" w14:textId="77777777" w:rsidR="00B07F48" w:rsidRPr="00D45311" w:rsidRDefault="00B07F48" w:rsidP="00B07F48">
            <w:pPr>
              <w:pStyle w:val="a8"/>
              <w:keepNext/>
              <w:rPr>
                <w:bCs/>
              </w:rPr>
            </w:pPr>
          </w:p>
        </w:tc>
      </w:tr>
      <w:tr w:rsidR="00B07F48" w:rsidRPr="00D45311" w14:paraId="0AE1808E" w14:textId="77777777" w:rsidTr="002D601D">
        <w:trPr>
          <w:trHeight w:val="127"/>
        </w:trPr>
        <w:tc>
          <w:tcPr>
            <w:tcW w:w="1229" w:type="dxa"/>
            <w:shd w:val="clear" w:color="auto" w:fill="auto"/>
          </w:tcPr>
          <w:p w14:paraId="1F80E39F" w14:textId="77777777" w:rsidR="00B07F48" w:rsidRPr="00D45311" w:rsidRDefault="00B07F48" w:rsidP="00B07F48">
            <w:pPr>
              <w:pStyle w:val="a8"/>
              <w:keepNext/>
              <w:rPr>
                <w:bCs/>
              </w:rPr>
            </w:pPr>
          </w:p>
        </w:tc>
        <w:tc>
          <w:tcPr>
            <w:tcW w:w="5287" w:type="dxa"/>
          </w:tcPr>
          <w:p w14:paraId="2EA9032F" w14:textId="77777777" w:rsidR="00B07F48" w:rsidRPr="00D45311" w:rsidRDefault="00B07F48" w:rsidP="00B07F48">
            <w:pPr>
              <w:pStyle w:val="a8"/>
              <w:keepNext/>
              <w:rPr>
                <w:bCs/>
              </w:rPr>
            </w:pPr>
          </w:p>
        </w:tc>
        <w:tc>
          <w:tcPr>
            <w:tcW w:w="3340" w:type="dxa"/>
          </w:tcPr>
          <w:p w14:paraId="24EBF34C" w14:textId="77777777" w:rsidR="00B07F48" w:rsidRPr="00D45311" w:rsidRDefault="00B07F48" w:rsidP="00B07F48">
            <w:pPr>
              <w:pStyle w:val="a8"/>
              <w:keepNext/>
              <w:rPr>
                <w:bCs/>
              </w:rPr>
            </w:pPr>
          </w:p>
        </w:tc>
      </w:tr>
      <w:tr w:rsidR="00B07F48" w:rsidRPr="00D45311" w14:paraId="75EFF665" w14:textId="77777777" w:rsidTr="002D601D">
        <w:trPr>
          <w:trHeight w:val="127"/>
        </w:trPr>
        <w:tc>
          <w:tcPr>
            <w:tcW w:w="1229" w:type="dxa"/>
            <w:shd w:val="clear" w:color="auto" w:fill="auto"/>
          </w:tcPr>
          <w:p w14:paraId="080D882E" w14:textId="77777777" w:rsidR="00B07F48" w:rsidRPr="00D45311" w:rsidRDefault="00B07F48" w:rsidP="00B07F48">
            <w:pPr>
              <w:pStyle w:val="a8"/>
              <w:keepNext/>
              <w:rPr>
                <w:bCs/>
              </w:rPr>
            </w:pPr>
          </w:p>
        </w:tc>
        <w:tc>
          <w:tcPr>
            <w:tcW w:w="5287" w:type="dxa"/>
          </w:tcPr>
          <w:p w14:paraId="0A2DEFDB" w14:textId="77777777" w:rsidR="00B07F48" w:rsidRPr="00D45311" w:rsidRDefault="00B07F48" w:rsidP="00B07F48">
            <w:pPr>
              <w:pStyle w:val="a8"/>
              <w:keepNext/>
              <w:rPr>
                <w:bCs/>
              </w:rPr>
            </w:pPr>
          </w:p>
        </w:tc>
        <w:tc>
          <w:tcPr>
            <w:tcW w:w="3340" w:type="dxa"/>
          </w:tcPr>
          <w:p w14:paraId="1F575F4E" w14:textId="77777777" w:rsidR="00B07F48" w:rsidRPr="00D45311" w:rsidRDefault="00B07F48" w:rsidP="00B07F48">
            <w:pPr>
              <w:pStyle w:val="a8"/>
              <w:keepNext/>
              <w:rPr>
                <w:bCs/>
              </w:rPr>
            </w:pPr>
          </w:p>
        </w:tc>
      </w:tr>
      <w:tr w:rsidR="00B07F48" w:rsidRPr="00D45311" w14:paraId="70493F31" w14:textId="77777777" w:rsidTr="002D601D">
        <w:trPr>
          <w:trHeight w:val="127"/>
        </w:trPr>
        <w:tc>
          <w:tcPr>
            <w:tcW w:w="1229" w:type="dxa"/>
            <w:shd w:val="clear" w:color="auto" w:fill="auto"/>
          </w:tcPr>
          <w:p w14:paraId="11CC7056" w14:textId="77777777" w:rsidR="00B07F48" w:rsidRPr="00D45311" w:rsidRDefault="00B07F48" w:rsidP="00B07F48">
            <w:pPr>
              <w:pStyle w:val="a8"/>
              <w:keepNext/>
              <w:rPr>
                <w:bCs/>
              </w:rPr>
            </w:pPr>
          </w:p>
        </w:tc>
        <w:tc>
          <w:tcPr>
            <w:tcW w:w="5287" w:type="dxa"/>
          </w:tcPr>
          <w:p w14:paraId="6AFE5F98" w14:textId="77777777" w:rsidR="00B07F48" w:rsidRPr="00D45311" w:rsidRDefault="00B07F48" w:rsidP="00B07F48">
            <w:pPr>
              <w:pStyle w:val="a8"/>
              <w:keepNext/>
              <w:rPr>
                <w:bCs/>
              </w:rPr>
            </w:pPr>
          </w:p>
        </w:tc>
        <w:tc>
          <w:tcPr>
            <w:tcW w:w="3340" w:type="dxa"/>
          </w:tcPr>
          <w:p w14:paraId="3BA62794" w14:textId="77777777" w:rsidR="00B07F48" w:rsidRPr="00D45311" w:rsidRDefault="00B07F48" w:rsidP="00B07F48">
            <w:pPr>
              <w:pStyle w:val="a8"/>
              <w:keepNext/>
              <w:rPr>
                <w:bCs/>
              </w:rPr>
            </w:pPr>
          </w:p>
        </w:tc>
      </w:tr>
      <w:tr w:rsidR="00B07F48" w:rsidRPr="00D45311" w14:paraId="1E6D2604" w14:textId="77777777" w:rsidTr="002D601D">
        <w:trPr>
          <w:trHeight w:val="127"/>
        </w:trPr>
        <w:tc>
          <w:tcPr>
            <w:tcW w:w="1229" w:type="dxa"/>
            <w:shd w:val="clear" w:color="auto" w:fill="auto"/>
          </w:tcPr>
          <w:p w14:paraId="450A2041" w14:textId="77777777" w:rsidR="00B07F48" w:rsidRPr="00D45311" w:rsidRDefault="00B07F48" w:rsidP="00B07F48">
            <w:pPr>
              <w:pStyle w:val="a8"/>
              <w:keepNext/>
              <w:rPr>
                <w:bCs/>
              </w:rPr>
            </w:pPr>
          </w:p>
        </w:tc>
        <w:tc>
          <w:tcPr>
            <w:tcW w:w="5287" w:type="dxa"/>
          </w:tcPr>
          <w:p w14:paraId="3084355B" w14:textId="77777777" w:rsidR="00B07F48" w:rsidRPr="00D45311" w:rsidRDefault="00B07F48" w:rsidP="00B07F48">
            <w:pPr>
              <w:pStyle w:val="a8"/>
              <w:keepNext/>
              <w:rPr>
                <w:bCs/>
              </w:rPr>
            </w:pPr>
          </w:p>
        </w:tc>
        <w:tc>
          <w:tcPr>
            <w:tcW w:w="3340" w:type="dxa"/>
          </w:tcPr>
          <w:p w14:paraId="5AFFB26F" w14:textId="77777777" w:rsidR="00B07F48" w:rsidRPr="00D45311" w:rsidRDefault="00B07F48" w:rsidP="00B07F48">
            <w:pPr>
              <w:pStyle w:val="a8"/>
              <w:keepNext/>
              <w:rPr>
                <w:bCs/>
              </w:rPr>
            </w:pPr>
          </w:p>
        </w:tc>
      </w:tr>
      <w:tr w:rsidR="00B07F48" w:rsidRPr="00D45311" w14:paraId="1EC9AE40" w14:textId="77777777" w:rsidTr="002D601D">
        <w:trPr>
          <w:trHeight w:val="127"/>
        </w:trPr>
        <w:tc>
          <w:tcPr>
            <w:tcW w:w="1229" w:type="dxa"/>
            <w:shd w:val="clear" w:color="auto" w:fill="auto"/>
          </w:tcPr>
          <w:p w14:paraId="5C582B30" w14:textId="77777777" w:rsidR="00B07F48" w:rsidRPr="00D45311" w:rsidRDefault="00B07F48" w:rsidP="00B07F48">
            <w:pPr>
              <w:pStyle w:val="a8"/>
              <w:keepNext/>
              <w:rPr>
                <w:bCs/>
              </w:rPr>
            </w:pPr>
          </w:p>
        </w:tc>
        <w:tc>
          <w:tcPr>
            <w:tcW w:w="5287" w:type="dxa"/>
          </w:tcPr>
          <w:p w14:paraId="3D7DB212" w14:textId="77777777" w:rsidR="00B07F48" w:rsidRPr="00D45311" w:rsidRDefault="00B07F48" w:rsidP="00B07F48">
            <w:pPr>
              <w:pStyle w:val="a8"/>
              <w:keepNext/>
              <w:rPr>
                <w:bCs/>
              </w:rPr>
            </w:pPr>
          </w:p>
        </w:tc>
        <w:tc>
          <w:tcPr>
            <w:tcW w:w="3340" w:type="dxa"/>
          </w:tcPr>
          <w:p w14:paraId="1A252A04" w14:textId="77777777" w:rsidR="00B07F48" w:rsidRPr="00D45311" w:rsidRDefault="00B07F48" w:rsidP="00B07F48">
            <w:pPr>
              <w:pStyle w:val="a8"/>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hint="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hint="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1"/>
        <w:numPr>
          <w:ilvl w:val="0"/>
          <w:numId w:val="0"/>
        </w:numPr>
      </w:pPr>
      <w:r>
        <w:t>3</w:t>
      </w:r>
      <w:r>
        <w:tab/>
      </w:r>
      <w:r>
        <w:tab/>
        <w:t>Conclusion</w:t>
      </w:r>
    </w:p>
    <w:p w14:paraId="14CA02B2" w14:textId="77777777" w:rsidR="00AD7666" w:rsidRDefault="00AD7666" w:rsidP="00372110">
      <w:pPr>
        <w:pStyle w:val="a8"/>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312A" w14:textId="77777777" w:rsidR="00F243AA" w:rsidRDefault="00F243AA" w:rsidP="003E7FE5">
      <w:r>
        <w:separator/>
      </w:r>
    </w:p>
  </w:endnote>
  <w:endnote w:type="continuationSeparator" w:id="0">
    <w:p w14:paraId="6507C129" w14:textId="77777777" w:rsidR="00F243AA" w:rsidRDefault="00F243AA"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4605" w14:textId="77777777" w:rsidR="00F243AA" w:rsidRDefault="00F243AA" w:rsidP="003E7FE5">
      <w:r>
        <w:separator/>
      </w:r>
    </w:p>
  </w:footnote>
  <w:footnote w:type="continuationSeparator" w:id="0">
    <w:p w14:paraId="55376764" w14:textId="77777777" w:rsidR="00F243AA" w:rsidRDefault="00F243AA"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2"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19"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4"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9"/>
  </w:num>
  <w:num w:numId="3">
    <w:abstractNumId w:val="13"/>
  </w:num>
  <w:num w:numId="4">
    <w:abstractNumId w:val="3"/>
  </w:num>
  <w:num w:numId="5">
    <w:abstractNumId w:val="23"/>
  </w:num>
  <w:num w:numId="6">
    <w:abstractNumId w:val="20"/>
  </w:num>
  <w:num w:numId="7">
    <w:abstractNumId w:val="10"/>
  </w:num>
  <w:num w:numId="8">
    <w:abstractNumId w:val="5"/>
  </w:num>
  <w:num w:numId="9">
    <w:abstractNumId w:val="24"/>
  </w:num>
  <w:num w:numId="10">
    <w:abstractNumId w:val="9"/>
  </w:num>
  <w:num w:numId="11">
    <w:abstractNumId w:val="18"/>
  </w:num>
  <w:num w:numId="12">
    <w:abstractNumId w:val="7"/>
  </w:num>
  <w:num w:numId="13">
    <w:abstractNumId w:val="26"/>
  </w:num>
  <w:num w:numId="14">
    <w:abstractNumId w:val="4"/>
  </w:num>
  <w:num w:numId="15">
    <w:abstractNumId w:val="16"/>
  </w:num>
  <w:num w:numId="16">
    <w:abstractNumId w:val="1"/>
  </w:num>
  <w:num w:numId="17">
    <w:abstractNumId w:val="0"/>
  </w:num>
  <w:num w:numId="18">
    <w:abstractNumId w:val="11"/>
  </w:num>
  <w:num w:numId="19">
    <w:abstractNumId w:val="2"/>
  </w:num>
  <w:num w:numId="20">
    <w:abstractNumId w:val="21"/>
  </w:num>
  <w:num w:numId="21">
    <w:abstractNumId w:val="8"/>
  </w:num>
  <w:num w:numId="22">
    <w:abstractNumId w:val="6"/>
  </w:num>
  <w:num w:numId="23">
    <w:abstractNumId w:val="15"/>
  </w:num>
  <w:num w:numId="24">
    <w:abstractNumId w:val="12"/>
  </w:num>
  <w:num w:numId="25">
    <w:abstractNumId w:val="14"/>
  </w:num>
  <w:num w:numId="26">
    <w:abstractNumId w:val="15"/>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452C"/>
    <w:rsid w:val="00031F61"/>
    <w:rsid w:val="00034AE9"/>
    <w:rsid w:val="0003633F"/>
    <w:rsid w:val="000444C5"/>
    <w:rsid w:val="00046C11"/>
    <w:rsid w:val="00050EF2"/>
    <w:rsid w:val="0005104F"/>
    <w:rsid w:val="000538CF"/>
    <w:rsid w:val="0006132B"/>
    <w:rsid w:val="00065316"/>
    <w:rsid w:val="00070BBE"/>
    <w:rsid w:val="00077CB0"/>
    <w:rsid w:val="00085880"/>
    <w:rsid w:val="000A3A3B"/>
    <w:rsid w:val="000A5EF4"/>
    <w:rsid w:val="000B1847"/>
    <w:rsid w:val="000B47AC"/>
    <w:rsid w:val="000C0112"/>
    <w:rsid w:val="000C5C4E"/>
    <w:rsid w:val="000D5E43"/>
    <w:rsid w:val="000E07DF"/>
    <w:rsid w:val="000E758D"/>
    <w:rsid w:val="000F0640"/>
    <w:rsid w:val="000F1C55"/>
    <w:rsid w:val="000F3347"/>
    <w:rsid w:val="000F3C15"/>
    <w:rsid w:val="00111791"/>
    <w:rsid w:val="001121CD"/>
    <w:rsid w:val="001129D4"/>
    <w:rsid w:val="00115420"/>
    <w:rsid w:val="001410D9"/>
    <w:rsid w:val="001445FB"/>
    <w:rsid w:val="001448D5"/>
    <w:rsid w:val="00150E22"/>
    <w:rsid w:val="0016785A"/>
    <w:rsid w:val="0017273B"/>
    <w:rsid w:val="00194059"/>
    <w:rsid w:val="0019464C"/>
    <w:rsid w:val="00194C84"/>
    <w:rsid w:val="001A16BD"/>
    <w:rsid w:val="001A25FC"/>
    <w:rsid w:val="001A2E65"/>
    <w:rsid w:val="001A5E91"/>
    <w:rsid w:val="001B0536"/>
    <w:rsid w:val="001B2682"/>
    <w:rsid w:val="001B268B"/>
    <w:rsid w:val="001E7FCD"/>
    <w:rsid w:val="001F245A"/>
    <w:rsid w:val="001F41C0"/>
    <w:rsid w:val="00204CF4"/>
    <w:rsid w:val="00205808"/>
    <w:rsid w:val="00211D99"/>
    <w:rsid w:val="002133EE"/>
    <w:rsid w:val="00214A6C"/>
    <w:rsid w:val="002159F4"/>
    <w:rsid w:val="00215E36"/>
    <w:rsid w:val="00216C1E"/>
    <w:rsid w:val="002225FD"/>
    <w:rsid w:val="0022300E"/>
    <w:rsid w:val="0024322C"/>
    <w:rsid w:val="002541C7"/>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7299"/>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189D"/>
    <w:rsid w:val="00451393"/>
    <w:rsid w:val="004526A5"/>
    <w:rsid w:val="00453D3C"/>
    <w:rsid w:val="0046355E"/>
    <w:rsid w:val="00496890"/>
    <w:rsid w:val="004A21A1"/>
    <w:rsid w:val="004A2FB4"/>
    <w:rsid w:val="004A41B2"/>
    <w:rsid w:val="004B1C2A"/>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F09F0"/>
    <w:rsid w:val="00600071"/>
    <w:rsid w:val="006011D9"/>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D7C23"/>
    <w:rsid w:val="006E0003"/>
    <w:rsid w:val="006F4B6D"/>
    <w:rsid w:val="0070097A"/>
    <w:rsid w:val="00701947"/>
    <w:rsid w:val="00701B54"/>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3893"/>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11C7"/>
    <w:rsid w:val="00881EED"/>
    <w:rsid w:val="0088237E"/>
    <w:rsid w:val="00893D5C"/>
    <w:rsid w:val="008A0860"/>
    <w:rsid w:val="008A0A72"/>
    <w:rsid w:val="008A2CEE"/>
    <w:rsid w:val="008A52CB"/>
    <w:rsid w:val="008A628C"/>
    <w:rsid w:val="008B583F"/>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7FD6"/>
    <w:rsid w:val="00990DC3"/>
    <w:rsid w:val="00992172"/>
    <w:rsid w:val="009A4A8D"/>
    <w:rsid w:val="009A760A"/>
    <w:rsid w:val="009B16F3"/>
    <w:rsid w:val="009B4524"/>
    <w:rsid w:val="009B7AAC"/>
    <w:rsid w:val="009C088E"/>
    <w:rsid w:val="009C2B9D"/>
    <w:rsid w:val="009C462E"/>
    <w:rsid w:val="009D02D9"/>
    <w:rsid w:val="009D20AB"/>
    <w:rsid w:val="009E6EA6"/>
    <w:rsid w:val="00A01A11"/>
    <w:rsid w:val="00A03F0A"/>
    <w:rsid w:val="00A05584"/>
    <w:rsid w:val="00A11527"/>
    <w:rsid w:val="00A17013"/>
    <w:rsid w:val="00A2414B"/>
    <w:rsid w:val="00A335EE"/>
    <w:rsid w:val="00A36B0F"/>
    <w:rsid w:val="00A4127C"/>
    <w:rsid w:val="00A93A63"/>
    <w:rsid w:val="00A95FAE"/>
    <w:rsid w:val="00A9772D"/>
    <w:rsid w:val="00AB3E59"/>
    <w:rsid w:val="00AC1C58"/>
    <w:rsid w:val="00AD031B"/>
    <w:rsid w:val="00AD0E12"/>
    <w:rsid w:val="00AD7666"/>
    <w:rsid w:val="00AD7BC2"/>
    <w:rsid w:val="00AE41DC"/>
    <w:rsid w:val="00AF48F0"/>
    <w:rsid w:val="00AF4CE4"/>
    <w:rsid w:val="00B00FF2"/>
    <w:rsid w:val="00B05030"/>
    <w:rsid w:val="00B05328"/>
    <w:rsid w:val="00B07F48"/>
    <w:rsid w:val="00B1430E"/>
    <w:rsid w:val="00B21238"/>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D2B10"/>
    <w:rsid w:val="00BD442D"/>
    <w:rsid w:val="00BD7E02"/>
    <w:rsid w:val="00BE21E2"/>
    <w:rsid w:val="00BF312E"/>
    <w:rsid w:val="00BF43BA"/>
    <w:rsid w:val="00BF4A30"/>
    <w:rsid w:val="00BF7746"/>
    <w:rsid w:val="00C052EE"/>
    <w:rsid w:val="00C06A16"/>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C10F6"/>
    <w:rsid w:val="00CC69B3"/>
    <w:rsid w:val="00CD02FB"/>
    <w:rsid w:val="00CD2A71"/>
    <w:rsid w:val="00CD3CB3"/>
    <w:rsid w:val="00CE0C0B"/>
    <w:rsid w:val="00CE4821"/>
    <w:rsid w:val="00CF4EDB"/>
    <w:rsid w:val="00D053C8"/>
    <w:rsid w:val="00D05810"/>
    <w:rsid w:val="00D0686A"/>
    <w:rsid w:val="00D114AE"/>
    <w:rsid w:val="00D12EEE"/>
    <w:rsid w:val="00D20DC5"/>
    <w:rsid w:val="00D25BC8"/>
    <w:rsid w:val="00D379C9"/>
    <w:rsid w:val="00D62CF7"/>
    <w:rsid w:val="00D642D5"/>
    <w:rsid w:val="00D76B3E"/>
    <w:rsid w:val="00D801CB"/>
    <w:rsid w:val="00D83468"/>
    <w:rsid w:val="00D8388D"/>
    <w:rsid w:val="00D97559"/>
    <w:rsid w:val="00DA6D01"/>
    <w:rsid w:val="00DA7903"/>
    <w:rsid w:val="00DB08DE"/>
    <w:rsid w:val="00DC71A7"/>
    <w:rsid w:val="00DD2B12"/>
    <w:rsid w:val="00DE717C"/>
    <w:rsid w:val="00DE742A"/>
    <w:rsid w:val="00DF7126"/>
    <w:rsid w:val="00E14384"/>
    <w:rsid w:val="00E165F2"/>
    <w:rsid w:val="00E16EEA"/>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a"/>
    <w:link w:val="NOChar1"/>
    <w:qFormat/>
    <w:rsid w:val="0000250F"/>
    <w:pPr>
      <w:keepLines/>
      <w:widowControl/>
      <w:spacing w:after="180"/>
      <w:ind w:left="1135" w:hanging="851"/>
      <w:jc w:val="left"/>
    </w:pPr>
    <w:rPr>
      <w:rFonts w:eastAsia="宋体" w:cs="Times New Roman"/>
      <w:kern w:val="0"/>
      <w:szCs w:val="20"/>
      <w:lang w:val="en-GB" w:eastAsia="en-US"/>
    </w:rPr>
  </w:style>
  <w:style w:type="character" w:customStyle="1" w:styleId="NOChar1">
    <w:name w:val="NO Char1"/>
    <w:link w:val="NO"/>
    <w:qFormat/>
    <w:locked/>
    <w:rsid w:val="0000250F"/>
    <w:rPr>
      <w:rFonts w:eastAsia="宋体" w:cs="Times New Roman"/>
      <w:kern w:val="0"/>
      <w:szCs w:val="20"/>
      <w:lang w:val="en-GB" w:eastAsia="en-US"/>
    </w:rPr>
  </w:style>
  <w:style w:type="paragraph" w:customStyle="1" w:styleId="B1">
    <w:name w:val="B1"/>
    <w:basedOn w:val="af4"/>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af"/>
    <w:next w:val="af"/>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af4">
    <w:name w:val="List"/>
    <w:basedOn w:val="a"/>
    <w:uiPriority w:val="99"/>
    <w:semiHidden/>
    <w:unhideWhenUsed/>
    <w:rsid w:val="00B05030"/>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9710-B390-4045-8A34-3CF264F2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vivo(Wenjuan)</cp:lastModifiedBy>
  <cp:revision>2</cp:revision>
  <dcterms:created xsi:type="dcterms:W3CDTF">2023-11-24T03:05:00Z</dcterms:created>
  <dcterms:modified xsi:type="dcterms:W3CDTF">2023-11-24T03:05:00Z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ies>
</file>