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2C0988C9" w:rsidR="00505E15" w:rsidRDefault="00F716E2"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4F167814">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E36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2240B7E"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[POST124][</w:t>
      </w:r>
      <w:proofErr w:type="gramStart"/>
      <w:r w:rsidR="00973105" w:rsidRPr="00973105">
        <w:rPr>
          <w:rFonts w:ascii="Arial" w:hAnsi="Arial"/>
          <w:b/>
          <w:sz w:val="24"/>
        </w:rPr>
        <w:t>037][</w:t>
      </w:r>
      <w:proofErr w:type="gramEnd"/>
      <w:r w:rsidR="00973105" w:rsidRPr="00973105">
        <w:rPr>
          <w:rFonts w:ascii="Arial" w:hAnsi="Arial"/>
          <w:b/>
          <w:sz w:val="24"/>
        </w:rPr>
        <w:t>NES] 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39C793AB"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62158B54" w14:textId="77777777" w:rsidR="00723596" w:rsidRDefault="00723596" w:rsidP="00723596">
      <w:pPr>
        <w:pStyle w:val="EmailDiscussion2"/>
      </w:pPr>
    </w:p>
    <w:p w14:paraId="418C35AC" w14:textId="77777777" w:rsidR="009E331F" w:rsidRDefault="009E331F" w:rsidP="009E331F">
      <w:pPr>
        <w:pStyle w:val="EmailDiscussion"/>
        <w:numPr>
          <w:ilvl w:val="0"/>
          <w:numId w:val="14"/>
        </w:numPr>
        <w:rPr>
          <w:lang w:val="fr-FR"/>
        </w:rPr>
      </w:pPr>
      <w:r>
        <w:rPr>
          <w:lang w:val="fr-FR"/>
        </w:rPr>
        <w:t>[POST124][037][NES] 38.321 CR (InterDigital)</w:t>
      </w:r>
    </w:p>
    <w:p w14:paraId="3AF3F050" w14:textId="77777777" w:rsidR="009E331F" w:rsidRDefault="009E331F" w:rsidP="009E331F">
      <w:pPr>
        <w:pStyle w:val="EmailDiscussion2"/>
      </w:pPr>
      <w:r>
        <w:rPr>
          <w:lang w:val="en-US"/>
        </w:rPr>
        <w:tab/>
      </w:r>
      <w:r>
        <w:t>Intended outcome: Agree to CR</w:t>
      </w:r>
    </w:p>
    <w:p w14:paraId="3B56F06C" w14:textId="77777777" w:rsidR="009E331F" w:rsidRDefault="009E331F" w:rsidP="009E331F">
      <w:pPr>
        <w:pStyle w:val="EmailDiscussion2"/>
      </w:pPr>
      <w:r>
        <w:tab/>
        <w:t>Deadline:  2 weeks (December 1</w:t>
      </w:r>
      <w:r>
        <w:rPr>
          <w:vertAlign w:val="superscript"/>
        </w:rPr>
        <w:t>st</w:t>
      </w:r>
      <w:r>
        <w:t>)</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68"/>
        <w:gridCol w:w="4139"/>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8639441"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261" w:type="dxa"/>
            <w:shd w:val="clear" w:color="auto" w:fill="auto"/>
          </w:tcPr>
          <w:p w14:paraId="3FD7CC18" w14:textId="0F5CCED7"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Wenjuan Pu</w:t>
            </w:r>
          </w:p>
        </w:tc>
        <w:tc>
          <w:tcPr>
            <w:tcW w:w="4218" w:type="dxa"/>
            <w:shd w:val="clear" w:color="auto" w:fill="auto"/>
          </w:tcPr>
          <w:p w14:paraId="54BD98BF" w14:textId="1754F2AB"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C90155" w:rsidRPr="00EA5065" w14:paraId="300F7EAB" w14:textId="77777777" w:rsidTr="00DF0723">
        <w:tc>
          <w:tcPr>
            <w:tcW w:w="2376" w:type="dxa"/>
            <w:shd w:val="clear" w:color="auto" w:fill="auto"/>
          </w:tcPr>
          <w:p w14:paraId="0E024F49" w14:textId="4315A912"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9A857F9" w14:textId="66526EF7"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1A43A4A1" w14:textId="7C109ACB"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319"/>
        <w:gridCol w:w="4954"/>
      </w:tblGrid>
      <w:tr w:rsidR="00000654" w:rsidRPr="00EA5065" w14:paraId="66B50DE8" w14:textId="77777777" w:rsidTr="002243D5">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415"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5069"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2243D5">
        <w:tc>
          <w:tcPr>
            <w:tcW w:w="1371" w:type="dxa"/>
            <w:shd w:val="clear" w:color="auto" w:fill="auto"/>
          </w:tcPr>
          <w:p w14:paraId="4AE36D26" w14:textId="4C0D206B" w:rsidR="00000654" w:rsidRPr="00EA506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r w:rsidR="002243D5">
              <w:rPr>
                <w:rFonts w:ascii="Arial" w:hAnsi="Arial" w:cs="Arial"/>
                <w:color w:val="000000"/>
                <w:lang w:eastAsia="zh-CN"/>
              </w:rPr>
              <w:t>001</w:t>
            </w:r>
          </w:p>
        </w:tc>
        <w:tc>
          <w:tcPr>
            <w:tcW w:w="3415" w:type="dxa"/>
            <w:shd w:val="clear" w:color="auto" w:fill="auto"/>
          </w:tcPr>
          <w:p w14:paraId="07808FF7" w14:textId="77777777"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0357A0BC" w14:textId="1167EB5A"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w:t>
            </w:r>
            <w:r w:rsidRPr="002243D5">
              <w:rPr>
                <w:rFonts w:ascii="Arial" w:hAnsi="Arial" w:cs="Arial"/>
                <w:color w:val="000000"/>
                <w:lang w:eastAsia="zh-CN"/>
              </w:rPr>
              <w:t>5.18.6</w:t>
            </w:r>
            <w:r>
              <w:rPr>
                <w:rFonts w:ascii="Arial" w:hAnsi="Arial" w:cs="Arial"/>
                <w:color w:val="000000"/>
                <w:lang w:eastAsia="zh-CN"/>
              </w:rPr>
              <w:t xml:space="preserve">. </w:t>
            </w:r>
          </w:p>
          <w:p w14:paraId="56940596" w14:textId="110F55D1" w:rsidR="002243D5" w:rsidRPr="002243D5" w:rsidRDefault="002243D5" w:rsidP="002243D5">
            <w:pPr>
              <w:spacing w:before="100" w:beforeAutospacing="1" w:after="100" w:afterAutospacing="1"/>
              <w:jc w:val="both"/>
              <w:rPr>
                <w:rFonts w:ascii="Arial" w:hAnsi="Arial" w:cs="Arial"/>
                <w:b/>
                <w:color w:val="000000"/>
                <w:lang w:eastAsia="zh-CN"/>
              </w:rPr>
            </w:pPr>
            <w:r w:rsidRPr="002243D5">
              <w:rPr>
                <w:rFonts w:ascii="Arial" w:hAnsi="Arial" w:cs="Arial"/>
                <w:b/>
                <w:color w:val="000000"/>
                <w:lang w:eastAsia="zh-CN"/>
              </w:rPr>
              <w:t>Agreements:</w:t>
            </w:r>
          </w:p>
          <w:p w14:paraId="11DF2BEA" w14:textId="35ACEDB6" w:rsidR="002243D5" w:rsidRPr="002243D5" w:rsidRDefault="002243D5" w:rsidP="002243D5">
            <w:pPr>
              <w:rPr>
                <w:rFonts w:ascii="Arial" w:hAnsi="Arial" w:cs="Arial"/>
                <w:color w:val="000000"/>
                <w:lang w:eastAsia="zh-CN"/>
              </w:rPr>
            </w:pPr>
            <w:r w:rsidRPr="002243D5">
              <w:rPr>
                <w:rFonts w:ascii="Arial" w:hAnsi="Arial" w:cs="Arial"/>
                <w:color w:val="000000"/>
                <w:lang w:eastAsia="zh-CN"/>
              </w:rPr>
              <w:t xml:space="preserve">Legacy MAC CE can be used when activating only configuration without sub-configuration and when </w:t>
            </w:r>
            <w:proofErr w:type="spellStart"/>
            <w:r w:rsidRPr="002243D5">
              <w:rPr>
                <w:rFonts w:ascii="Arial" w:hAnsi="Arial" w:cs="Arial"/>
                <w:color w:val="000000"/>
                <w:lang w:eastAsia="zh-CN"/>
              </w:rPr>
              <w:t>gNB</w:t>
            </w:r>
            <w:proofErr w:type="spellEnd"/>
            <w:r w:rsidRPr="002243D5">
              <w:rPr>
                <w:rFonts w:ascii="Arial" w:hAnsi="Arial" w:cs="Arial"/>
                <w:color w:val="000000"/>
                <w:lang w:eastAsia="zh-CN"/>
              </w:rPr>
              <w:t xml:space="preserve"> is de-activating all sub-configurations.  </w:t>
            </w:r>
          </w:p>
        </w:tc>
        <w:tc>
          <w:tcPr>
            <w:tcW w:w="5069" w:type="dxa"/>
            <w:shd w:val="clear" w:color="auto" w:fill="auto"/>
          </w:tcPr>
          <w:p w14:paraId="3BEA444A" w14:textId="5CA6CF74"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t>We think this agreement should be reflected in section 5.18.6 to clarify the NW behaviour. From this agreement, two clarifications on correct NW behaviour should be captured:</w:t>
            </w:r>
          </w:p>
          <w:p w14:paraId="254AA9F8" w14:textId="77777777"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t xml:space="preserve">when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 </w:t>
            </w:r>
          </w:p>
          <w:p w14:paraId="70D4B150" w14:textId="77777777" w:rsidR="002243D5" w:rsidRPr="002243D5" w:rsidRDefault="002243D5" w:rsidP="002243D5">
            <w:pPr>
              <w:pStyle w:val="CommentText"/>
              <w:numPr>
                <w:ilvl w:val="0"/>
                <w:numId w:val="26"/>
              </w:numPr>
              <w:overflowPunct w:val="0"/>
              <w:autoSpaceDE w:val="0"/>
              <w:autoSpaceDN w:val="0"/>
              <w:adjustRightInd w:val="0"/>
              <w:textAlignment w:val="baseline"/>
              <w:rPr>
                <w:rFonts w:ascii="Arial" w:hAnsi="Arial" w:cs="Arial"/>
                <w:color w:val="000000"/>
                <w:lang w:eastAsia="zh-CN"/>
              </w:rPr>
            </w:pPr>
            <w:r w:rsidRPr="002243D5">
              <w:rPr>
                <w:rFonts w:ascii="Arial" w:hAnsi="Arial" w:cs="Arial"/>
                <w:color w:val="000000"/>
                <w:lang w:eastAsia="zh-CN"/>
              </w:rPr>
              <w:t xml:space="preserve">1) new MAC CE should be used by the network even for activating the CSI report without sub-configurations. </w:t>
            </w:r>
          </w:p>
          <w:p w14:paraId="39A47312" w14:textId="78B5C85E" w:rsidR="0061749B" w:rsidRPr="002243D5" w:rsidRDefault="002243D5" w:rsidP="002243D5">
            <w:pPr>
              <w:pStyle w:val="CommentText"/>
              <w:numPr>
                <w:ilvl w:val="0"/>
                <w:numId w:val="26"/>
              </w:numPr>
              <w:overflowPunct w:val="0"/>
              <w:autoSpaceDE w:val="0"/>
              <w:autoSpaceDN w:val="0"/>
              <w:adjustRightInd w:val="0"/>
              <w:textAlignment w:val="baseline"/>
            </w:pPr>
            <w:r w:rsidRPr="002243D5">
              <w:rPr>
                <w:rFonts w:ascii="Arial" w:hAnsi="Arial" w:cs="Arial"/>
                <w:color w:val="000000"/>
                <w:lang w:eastAsia="zh-CN"/>
              </w:rPr>
              <w:t>2) legacy MAC CE can be used to deactivate all sub-configurations for all CSI report.</w:t>
            </w:r>
          </w:p>
        </w:tc>
      </w:tr>
      <w:tr w:rsidR="002243D5" w:rsidRPr="00EA5065" w14:paraId="17F50B3B" w14:textId="77777777" w:rsidTr="002243D5">
        <w:tc>
          <w:tcPr>
            <w:tcW w:w="1371" w:type="dxa"/>
            <w:shd w:val="clear" w:color="auto" w:fill="auto"/>
          </w:tcPr>
          <w:p w14:paraId="2F1A4410" w14:textId="2DD2D4E4" w:rsidR="002243D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r w:rsidR="002243D5">
              <w:rPr>
                <w:rFonts w:ascii="Arial" w:hAnsi="Arial" w:cs="Arial"/>
                <w:color w:val="000000"/>
                <w:lang w:eastAsia="zh-CN"/>
              </w:rPr>
              <w:t>002</w:t>
            </w:r>
          </w:p>
        </w:tc>
        <w:tc>
          <w:tcPr>
            <w:tcW w:w="3415" w:type="dxa"/>
            <w:shd w:val="clear" w:color="auto" w:fill="auto"/>
          </w:tcPr>
          <w:p w14:paraId="1DB1F42E" w14:textId="77A9B1E3" w:rsidR="002243D5" w:rsidRDefault="004F0FB4"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 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is missing. </w:t>
            </w:r>
          </w:p>
        </w:tc>
        <w:tc>
          <w:tcPr>
            <w:tcW w:w="5069" w:type="dxa"/>
            <w:shd w:val="clear" w:color="auto" w:fill="auto"/>
          </w:tcPr>
          <w:p w14:paraId="4EF13E6F" w14:textId="4082DECA" w:rsidR="002243D5" w:rsidRDefault="006214E6" w:rsidP="002243D5">
            <w:pPr>
              <w:pStyle w:val="CommentText"/>
              <w:rPr>
                <w:rFonts w:eastAsia="DengXian"/>
                <w:lang w:eastAsia="zh-CN"/>
              </w:rPr>
            </w:pPr>
            <w:r>
              <w:rPr>
                <w:rFonts w:ascii="Arial" w:hAnsi="Arial" w:cs="Arial"/>
                <w:color w:val="000000"/>
                <w:lang w:eastAsia="zh-CN"/>
              </w:rPr>
              <w:t>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w:t>
            </w:r>
            <w:r w:rsidRPr="004F0FB4">
              <w:rPr>
                <w:rFonts w:ascii="Arial" w:hAnsi="Arial" w:cs="Arial"/>
                <w:color w:val="000000"/>
                <w:lang w:eastAsia="zh-CN"/>
              </w:rPr>
              <w:t>should be introduced in Table 6.2.1-1b</w:t>
            </w:r>
            <w:r>
              <w:rPr>
                <w:rFonts w:ascii="Arial" w:hAnsi="Arial" w:cs="Arial"/>
                <w:color w:val="000000"/>
                <w:lang w:eastAsia="zh-CN"/>
              </w:rPr>
              <w:t>.</w:t>
            </w:r>
          </w:p>
        </w:tc>
      </w:tr>
      <w:tr w:rsidR="0049588A" w:rsidRPr="00EA5065" w14:paraId="48B5AB93" w14:textId="77777777" w:rsidTr="002243D5">
        <w:tc>
          <w:tcPr>
            <w:tcW w:w="1371" w:type="dxa"/>
            <w:shd w:val="clear" w:color="auto" w:fill="auto"/>
          </w:tcPr>
          <w:p w14:paraId="36416121" w14:textId="628AF398" w:rsidR="0049588A" w:rsidRDefault="004958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A001</w:t>
            </w:r>
          </w:p>
        </w:tc>
        <w:tc>
          <w:tcPr>
            <w:tcW w:w="3415" w:type="dxa"/>
            <w:shd w:val="clear" w:color="auto" w:fill="auto"/>
          </w:tcPr>
          <w:p w14:paraId="19BD90BE" w14:textId="77777777"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57A3DADD" w14:textId="77777777" w:rsidR="00CF3920"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05380070" w14:textId="417C465B"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should be captured in section 5.18.6  </w:t>
            </w:r>
          </w:p>
        </w:tc>
        <w:tc>
          <w:tcPr>
            <w:tcW w:w="5069" w:type="dxa"/>
            <w:shd w:val="clear" w:color="auto" w:fill="auto"/>
          </w:tcPr>
          <w:p w14:paraId="32BC8C7B" w14:textId="735874C5" w:rsidR="0049588A" w:rsidRDefault="00BF4196" w:rsidP="002243D5">
            <w:pPr>
              <w:pStyle w:val="CommentText"/>
              <w:rPr>
                <w:rFonts w:ascii="Arial" w:hAnsi="Arial" w:cs="Arial"/>
                <w:color w:val="000000"/>
                <w:lang w:eastAsia="zh-CN"/>
              </w:rPr>
            </w:pPr>
            <w:r>
              <w:rPr>
                <w:rFonts w:ascii="Arial" w:hAnsi="Arial" w:cs="Arial"/>
                <w:color w:val="000000"/>
                <w:lang w:eastAsia="zh-CN"/>
              </w:rPr>
              <w:t xml:space="preserve">Suggest </w:t>
            </w:r>
            <w:proofErr w:type="gramStart"/>
            <w:r>
              <w:rPr>
                <w:rFonts w:ascii="Arial" w:hAnsi="Arial" w:cs="Arial"/>
                <w:color w:val="000000"/>
                <w:lang w:eastAsia="zh-CN"/>
              </w:rPr>
              <w:t>to capture</w:t>
            </w:r>
            <w:proofErr w:type="gramEnd"/>
            <w:r>
              <w:rPr>
                <w:rFonts w:ascii="Arial" w:hAnsi="Arial" w:cs="Arial"/>
                <w:color w:val="000000"/>
                <w:lang w:eastAsia="zh-CN"/>
              </w:rPr>
              <w:t xml:space="preserve"> below UE behaviours, per </w:t>
            </w:r>
            <w:r w:rsidR="002E26C4">
              <w:rPr>
                <w:rFonts w:ascii="Arial" w:hAnsi="Arial" w:cs="Arial"/>
                <w:color w:val="000000"/>
                <w:lang w:eastAsia="zh-CN"/>
              </w:rPr>
              <w:t>2</w:t>
            </w:r>
            <w:r w:rsidR="002E26C4" w:rsidRPr="002E26C4">
              <w:rPr>
                <w:rFonts w:ascii="Arial" w:hAnsi="Arial" w:cs="Arial"/>
                <w:color w:val="000000"/>
                <w:vertAlign w:val="superscript"/>
                <w:lang w:eastAsia="zh-CN"/>
              </w:rPr>
              <w:t>nd</w:t>
            </w:r>
            <w:r w:rsidR="002E26C4">
              <w:rPr>
                <w:rFonts w:ascii="Arial" w:hAnsi="Arial" w:cs="Arial"/>
                <w:color w:val="000000"/>
                <w:lang w:eastAsia="zh-CN"/>
              </w:rPr>
              <w:t xml:space="preserve"> half of </w:t>
            </w:r>
            <w:r>
              <w:rPr>
                <w:rFonts w:ascii="Arial" w:hAnsi="Arial" w:cs="Arial"/>
                <w:color w:val="000000"/>
                <w:lang w:eastAsia="zh-CN"/>
              </w:rPr>
              <w:t>RAN#124 agreement:</w:t>
            </w:r>
          </w:p>
          <w:p w14:paraId="06D2C4AA" w14:textId="29DEBCCA" w:rsidR="00860DA0" w:rsidRDefault="00BF4196" w:rsidP="002E26C4">
            <w:pPr>
              <w:pStyle w:val="CommentText"/>
              <w:numPr>
                <w:ilvl w:val="0"/>
                <w:numId w:val="30"/>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 xml:space="preserve">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sidR="00CF21F1">
              <w:rPr>
                <w:rFonts w:ascii="Arial" w:hAnsi="Arial" w:cs="Arial"/>
                <w:color w:val="000000"/>
                <w:lang w:eastAsia="zh-CN"/>
              </w:rPr>
              <w:t>, u</w:t>
            </w:r>
            <w:r>
              <w:rPr>
                <w:rFonts w:ascii="Arial" w:hAnsi="Arial" w:cs="Arial"/>
                <w:color w:val="000000"/>
                <w:lang w:eastAsia="zh-CN"/>
              </w:rPr>
              <w:t xml:space="preserve">pon reception of legacy MAC CE with at least one </w:t>
            </w:r>
            <w:proofErr w:type="spellStart"/>
            <w:r>
              <w:rPr>
                <w:rFonts w:ascii="Arial" w:hAnsi="Arial" w:cs="Arial"/>
                <w:color w:val="000000"/>
                <w:lang w:eastAsia="zh-CN"/>
              </w:rPr>
              <w:t>S_i</w:t>
            </w:r>
            <w:proofErr w:type="spellEnd"/>
            <w:r>
              <w:rPr>
                <w:rFonts w:ascii="Arial" w:hAnsi="Arial" w:cs="Arial"/>
                <w:color w:val="000000"/>
                <w:lang w:eastAsia="zh-CN"/>
              </w:rPr>
              <w:t xml:space="preserve"> </w:t>
            </w:r>
            <w:r w:rsidR="007B1D33">
              <w:rPr>
                <w:rFonts w:ascii="Arial" w:hAnsi="Arial" w:cs="Arial"/>
                <w:color w:val="000000"/>
                <w:lang w:eastAsia="zh-CN"/>
              </w:rPr>
              <w:t>as</w:t>
            </w:r>
            <w:r>
              <w:rPr>
                <w:rFonts w:ascii="Arial" w:hAnsi="Arial" w:cs="Arial"/>
                <w:color w:val="000000"/>
                <w:lang w:eastAsia="zh-CN"/>
              </w:rPr>
              <w:t xml:space="preserve"> “0”, the UE deactivates all sub-configurations</w:t>
            </w:r>
            <w:r w:rsidR="00E712E1">
              <w:rPr>
                <w:rFonts w:ascii="Arial" w:hAnsi="Arial" w:cs="Arial"/>
                <w:color w:val="000000"/>
                <w:lang w:eastAsia="zh-CN"/>
              </w:rPr>
              <w:t>.</w:t>
            </w:r>
          </w:p>
          <w:p w14:paraId="415FC60B" w14:textId="31E671BB" w:rsidR="002E26C4" w:rsidRDefault="00CF21F1" w:rsidP="002E26C4">
            <w:pPr>
              <w:pStyle w:val="CommentText"/>
              <w:rPr>
                <w:rFonts w:ascii="Arial" w:hAnsi="Arial" w:cs="Arial"/>
                <w:color w:val="000000"/>
                <w:lang w:eastAsia="zh-CN"/>
              </w:rPr>
            </w:pPr>
            <w:r>
              <w:rPr>
                <w:rFonts w:ascii="Arial" w:hAnsi="Arial" w:cs="Arial"/>
                <w:color w:val="000000"/>
                <w:lang w:eastAsia="zh-CN"/>
              </w:rPr>
              <w:t xml:space="preserve">Suggest </w:t>
            </w:r>
            <w:proofErr w:type="gramStart"/>
            <w:r>
              <w:rPr>
                <w:rFonts w:ascii="Arial" w:hAnsi="Arial" w:cs="Arial"/>
                <w:color w:val="000000"/>
                <w:lang w:eastAsia="zh-CN"/>
              </w:rPr>
              <w:t>to capture</w:t>
            </w:r>
            <w:proofErr w:type="gramEnd"/>
            <w:r>
              <w:rPr>
                <w:rFonts w:ascii="Arial" w:hAnsi="Arial" w:cs="Arial"/>
                <w:color w:val="000000"/>
                <w:lang w:eastAsia="zh-CN"/>
              </w:rPr>
              <w:t xml:space="preserve"> below UE </w:t>
            </w:r>
            <w:r>
              <w:rPr>
                <w:rFonts w:ascii="Arial" w:hAnsi="Arial" w:cs="Arial"/>
                <w:color w:val="000000"/>
                <w:lang w:eastAsia="zh-CN"/>
              </w:rPr>
              <w:t>assumption</w:t>
            </w:r>
            <w:r>
              <w:rPr>
                <w:rFonts w:ascii="Arial" w:hAnsi="Arial" w:cs="Arial"/>
                <w:color w:val="000000"/>
                <w:lang w:eastAsia="zh-CN"/>
              </w:rPr>
              <w:t xml:space="preserve">, </w:t>
            </w:r>
            <w:r w:rsidR="002E26C4">
              <w:rPr>
                <w:rFonts w:ascii="Arial" w:hAnsi="Arial" w:cs="Arial"/>
                <w:color w:val="000000"/>
                <w:lang w:eastAsia="zh-CN"/>
              </w:rPr>
              <w:t xml:space="preserve">per </w:t>
            </w:r>
            <w:r w:rsidR="002E26C4">
              <w:rPr>
                <w:rFonts w:ascii="Arial" w:hAnsi="Arial" w:cs="Arial"/>
                <w:color w:val="000000"/>
                <w:lang w:eastAsia="zh-CN"/>
              </w:rPr>
              <w:t>1</w:t>
            </w:r>
            <w:r w:rsidR="002E26C4" w:rsidRPr="002E26C4">
              <w:rPr>
                <w:rFonts w:ascii="Arial" w:hAnsi="Arial" w:cs="Arial"/>
                <w:color w:val="000000"/>
                <w:vertAlign w:val="superscript"/>
                <w:lang w:eastAsia="zh-CN"/>
              </w:rPr>
              <w:t>st</w:t>
            </w:r>
            <w:r w:rsidR="002E26C4">
              <w:rPr>
                <w:rFonts w:ascii="Arial" w:hAnsi="Arial" w:cs="Arial"/>
                <w:color w:val="000000"/>
                <w:lang w:eastAsia="zh-CN"/>
              </w:rPr>
              <w:t xml:space="preserve"> </w:t>
            </w:r>
            <w:r w:rsidR="002E26C4">
              <w:rPr>
                <w:rFonts w:ascii="Arial" w:hAnsi="Arial" w:cs="Arial"/>
                <w:color w:val="000000"/>
                <w:lang w:eastAsia="zh-CN"/>
              </w:rPr>
              <w:t>half of RAN#124 agreement:</w:t>
            </w:r>
          </w:p>
          <w:p w14:paraId="1577A2F6" w14:textId="123D73C2" w:rsidR="00CF21F1" w:rsidRDefault="00CF21F1" w:rsidP="002E26C4">
            <w:pPr>
              <w:pStyle w:val="CommentText"/>
              <w:numPr>
                <w:ilvl w:val="0"/>
                <w:numId w:val="29"/>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hen one CSI report</w:t>
            </w:r>
            <w:r>
              <w:rPr>
                <w:rFonts w:ascii="Arial" w:hAnsi="Arial" w:cs="Arial"/>
                <w:color w:val="000000"/>
                <w:lang w:eastAsia="zh-CN"/>
              </w:rPr>
              <w:t xml:space="preserve"> (e.g. corresponding to </w:t>
            </w:r>
            <w:proofErr w:type="spellStart"/>
            <w:r>
              <w:rPr>
                <w:rFonts w:ascii="Arial" w:hAnsi="Arial" w:cs="Arial"/>
                <w:color w:val="000000"/>
                <w:lang w:eastAsia="zh-CN"/>
              </w:rPr>
              <w:t>S_i</w:t>
            </w:r>
            <w:proofErr w:type="spellEnd"/>
            <w:r>
              <w:rPr>
                <w:rFonts w:ascii="Arial" w:hAnsi="Arial" w:cs="Arial"/>
                <w:color w:val="000000"/>
                <w:lang w:eastAsia="zh-CN"/>
              </w:rPr>
              <w:t>)</w:t>
            </w:r>
            <w:r w:rsidRPr="002243D5">
              <w:rPr>
                <w:rFonts w:ascii="Arial" w:hAnsi="Arial" w:cs="Arial"/>
                <w:color w:val="000000"/>
                <w:lang w:eastAsia="zh-CN"/>
              </w:rPr>
              <w:t xml:space="preserve">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Pr>
                <w:rFonts w:ascii="Arial" w:hAnsi="Arial" w:cs="Arial"/>
                <w:color w:val="000000"/>
                <w:lang w:eastAsia="zh-CN"/>
              </w:rPr>
              <w:t xml:space="preserve">, the UE </w:t>
            </w:r>
            <w:r>
              <w:rPr>
                <w:rFonts w:ascii="Arial" w:hAnsi="Arial" w:cs="Arial"/>
                <w:color w:val="000000"/>
                <w:lang w:eastAsia="zh-CN"/>
              </w:rPr>
              <w:t xml:space="preserve">is not expected to receive legacy MAC-CE with its </w:t>
            </w:r>
            <w:proofErr w:type="spellStart"/>
            <w:r>
              <w:rPr>
                <w:rFonts w:ascii="Arial" w:hAnsi="Arial" w:cs="Arial"/>
                <w:color w:val="000000"/>
                <w:lang w:eastAsia="zh-CN"/>
              </w:rPr>
              <w:t>S_i</w:t>
            </w:r>
            <w:proofErr w:type="spellEnd"/>
            <w:r>
              <w:rPr>
                <w:rFonts w:ascii="Arial" w:hAnsi="Arial" w:cs="Arial"/>
                <w:color w:val="000000"/>
                <w:lang w:eastAsia="zh-CN"/>
              </w:rPr>
              <w:t xml:space="preserve"> as “1”.</w:t>
            </w:r>
          </w:p>
          <w:p w14:paraId="50758D2C" w14:textId="18B5E750" w:rsidR="00BF4196" w:rsidRDefault="00BF4196" w:rsidP="00CF21F1">
            <w:pPr>
              <w:pStyle w:val="CommentText"/>
              <w:ind w:left="720"/>
              <w:rPr>
                <w:rFonts w:ascii="Arial" w:hAnsi="Arial" w:cs="Arial"/>
                <w:color w:val="000000"/>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Doesn’t impact MAC spec or already specified</w:t>
      </w:r>
    </w:p>
    <w:p w14:paraId="3EAB38B4" w14:textId="77777777" w:rsidR="00870F37" w:rsidRPr="00F8389F"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w:t>
      </w:r>
      <w:r>
        <w:rPr>
          <w:rFonts w:eastAsia="SimSun"/>
          <w:lang w:val="en-US" w:eastAsia="zh-CN"/>
        </w:rPr>
        <w:t>1</w:t>
      </w:r>
      <w:r w:rsidRPr="00E42F67">
        <w:rPr>
          <w:rFonts w:eastAsia="SimSun"/>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There will be no impact to RACH, paging, and SIBs in idle/inactive for both gNB and Rel-18 and legacy UEs</w:t>
      </w:r>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timer .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configuration of cell DTX or DRX will be supported.  </w:t>
      </w:r>
    </w:p>
    <w:p w14:paraId="7666CE46" w14:textId="77777777" w:rsidR="00870F37"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lastRenderedPageBreak/>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i.e.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discussions</w:t>
      </w:r>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occasions during the Cell DTX non-active period</w:t>
      </w:r>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As baseline, UE does not transmit on CG occasions during Cell DRX non-active periods</w:t>
      </w:r>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e.g.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 xml:space="preserve">Once gNB recognizes there is an emergency call or public safety related service (e.g.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spec</w:t>
      </w:r>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(i.e.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FFS if the configuration is per cell or per MAC entity</w:t>
      </w:r>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lastRenderedPageBreak/>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(i.e.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(i.e.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DRX</w:t>
      </w:r>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(i.e.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w:t>
      </w:r>
      <w:proofErr w:type="gramStart"/>
      <w:r w:rsidRPr="009A12A6">
        <w:rPr>
          <w:rFonts w:ascii="Arial" w:eastAsia="MS Mincho" w:hAnsi="Arial"/>
          <w:szCs w:val="24"/>
          <w:highlight w:val="cyan"/>
          <w:lang w:eastAsia="en-GB"/>
        </w:rPr>
        <w:t>optional</w:t>
      </w:r>
      <w:proofErr w:type="gramEnd"/>
      <w:r w:rsidRPr="009A12A6">
        <w:rPr>
          <w:rFonts w:ascii="Arial" w:eastAsia="MS Mincho" w:hAnsi="Arial"/>
          <w:szCs w:val="24"/>
          <w:highlight w:val="cyan"/>
          <w:lang w:eastAsia="en-GB"/>
        </w:rPr>
        <w:t xml:space="preserve"> and companies can review to see if there is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lastRenderedPageBreak/>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DengXian"/>
          <w:lang w:val="en-US" w:eastAsia="zh-CN"/>
        </w:rPr>
      </w:pPr>
    </w:p>
    <w:p w14:paraId="537A597E" w14:textId="5AAA29CB" w:rsidR="002C6F29" w:rsidRDefault="002C6F29" w:rsidP="002C6F29">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w:t>
      </w:r>
      <w:r w:rsidR="00543D39">
        <w:rPr>
          <w:rFonts w:eastAsia="DengXian"/>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Emphasis"/>
          <w:highlight w:val="cyan"/>
        </w:rPr>
        <w:t>Add a flag to event configuration (as in the current running CR) for NES specific CHO execution</w:t>
      </w:r>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5" w:history="1">
        <w:r w:rsidRPr="00E87080">
          <w:rPr>
            <w:rStyle w:val="Hyperlink"/>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w:t>
      </w:r>
      <w:proofErr w:type="spellStart"/>
      <w:r w:rsidRPr="00E87080">
        <w:rPr>
          <w:highlight w:val="cyan"/>
        </w:rPr>
        <w:t>SCellDeativation</w:t>
      </w:r>
      <w:proofErr w:type="spellEnd"/>
      <w:r w:rsidRPr="00E87080">
        <w:rPr>
          <w:highlight w:val="cyan"/>
        </w:rPr>
        <w:t xml:space="preserve">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BWP-</w:t>
      </w:r>
      <w:proofErr w:type="spellStart"/>
      <w:r w:rsidRPr="00E87080">
        <w:rPr>
          <w:highlight w:val="cyan"/>
        </w:rPr>
        <w:t>InactivityTimer</w:t>
      </w:r>
      <w:proofErr w:type="spellEnd"/>
      <w:r w:rsidRPr="00E87080">
        <w:rPr>
          <w:highlight w:val="cyan"/>
        </w:rPr>
        <w:t xml:space="preserve">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respectively</w:t>
      </w:r>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(i.e.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Confirm WA emergency call: UE triggers RACH upon determining that an emergency call is initiated during the cell DTX/DRX non active </w:t>
      </w:r>
      <w:proofErr w:type="gramStart"/>
      <w:r w:rsidRPr="00887FD5">
        <w:rPr>
          <w:rFonts w:ascii="Calibri" w:eastAsia="Calibri" w:hAnsi="Calibri" w:cs="Calibri"/>
          <w:sz w:val="22"/>
          <w:szCs w:val="22"/>
          <w:highlight w:val="green"/>
          <w:lang w:val="en-US"/>
        </w:rPr>
        <w:t>period</w:t>
      </w:r>
      <w:proofErr w:type="gramEnd"/>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In running MAC CR, capture a NOTE similar to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t>No need to restrict that the cell DRX is only configured when C-DRX is configured</w:t>
      </w:r>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not monitor PDCCH irrespective of the requirements of clause 5.7, unless explicitly stated otherwise in this clause;</w:t>
      </w:r>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multicast/broadcast</w:t>
      </w:r>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CF5F9BC" w14:textId="77777777" w:rsidR="002C6F29" w:rsidRDefault="002C6F29" w:rsidP="00870F37">
      <w:pPr>
        <w:rPr>
          <w:rFonts w:eastAsia="DengXian"/>
          <w:lang w:val="en-US" w:eastAsia="zh-CN"/>
        </w:rPr>
      </w:pP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108C5104" w14:textId="77777777" w:rsidR="00870F37" w:rsidRDefault="00870F37" w:rsidP="00152271">
      <w:pPr>
        <w:pStyle w:val="Heading2"/>
        <w:numPr>
          <w:ilvl w:val="0"/>
          <w:numId w:val="0"/>
        </w:numPr>
        <w:rPr>
          <w:rFonts w:eastAsia="DengXian"/>
          <w:lang w:eastAsia="zh-CN"/>
        </w:rPr>
      </w:pPr>
      <w:r>
        <w:rPr>
          <w:rFonts w:eastAsia="DengXian" w:hint="eastAsia"/>
          <w:lang w:eastAsia="zh-CN"/>
        </w:rPr>
        <w:t>R</w:t>
      </w:r>
      <w:r>
        <w:rPr>
          <w:rFonts w:eastAsia="DengXian"/>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lastRenderedPageBreak/>
              <w:t>FFS whether there will be exception case(s) for UE transmitting listed signals/channels during non-active periods of DRX</w:t>
            </w:r>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signals/channels can be configurable by gNB</w:t>
            </w:r>
          </w:p>
          <w:p w14:paraId="1A9635C0" w14:textId="77777777" w:rsidR="00870F37" w:rsidRDefault="00870F37">
            <w:pPr>
              <w:numPr>
                <w:ilvl w:val="0"/>
                <w:numId w:val="18"/>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DengXian"/>
          <w:lang w:eastAsia="zh-CN"/>
        </w:rPr>
      </w:pPr>
    </w:p>
    <w:p w14:paraId="56544185" w14:textId="77777777" w:rsidR="00870F37" w:rsidRPr="00F526D8"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sub-configurations</w:t>
            </w:r>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supported</w:t>
            </w:r>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Only one MAC CE is used for this triggering</w:t>
            </w:r>
          </w:p>
          <w:p w14:paraId="1048C17B" w14:textId="77777777" w:rsidR="00870F37" w:rsidRDefault="00870F37" w:rsidP="005952D1">
            <w:pPr>
              <w:rPr>
                <w:rFonts w:eastAsia="DengXian"/>
                <w:lang w:val="en-US" w:eastAsia="zh-CN"/>
              </w:rPr>
            </w:pPr>
          </w:p>
        </w:tc>
      </w:tr>
    </w:tbl>
    <w:p w14:paraId="159D1BF4" w14:textId="77777777" w:rsidR="00870F37" w:rsidRDefault="00870F37" w:rsidP="00870F37">
      <w:pPr>
        <w:rPr>
          <w:rFonts w:eastAsia="DengXian"/>
          <w:lang w:val="en-US" w:eastAsia="zh-CN"/>
        </w:rPr>
      </w:pPr>
    </w:p>
    <w:p w14:paraId="47462207" w14:textId="77777777" w:rsidR="00870F37" w:rsidRPr="00D86F3D"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Rel-18 UE supporting cell DTX is not required to monitor the following signals/channels from the gNB, during non-active periods of cell DTX</w:t>
            </w:r>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The following channels are not impacted by non-active period of cell DRX</w:t>
            </w:r>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lastRenderedPageBreak/>
              <w:t>HARQ-ACK of a DCI format without scheduling a PDSCH</w:t>
            </w:r>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DengXian"/>
                <w:lang w:val="en-US" w:eastAsia="zh-CN"/>
              </w:rPr>
            </w:pPr>
          </w:p>
        </w:tc>
      </w:tr>
    </w:tbl>
    <w:p w14:paraId="417D7014" w14:textId="6E38E0DA" w:rsidR="005C731A" w:rsidRDefault="005C731A" w:rsidP="00973105">
      <w:pPr>
        <w:pStyle w:val="Reference"/>
        <w:numPr>
          <w:ilvl w:val="0"/>
          <w:numId w:val="0"/>
        </w:numPr>
        <w:rPr>
          <w:rFonts w:eastAsia="DengXian" w:cs="Arial"/>
          <w:bCs/>
          <w:iCs/>
          <w:noProof/>
          <w:kern w:val="2"/>
          <w:szCs w:val="22"/>
        </w:rPr>
      </w:pPr>
    </w:p>
    <w:p w14:paraId="1DC00B28" w14:textId="77777777" w:rsidR="00152271" w:rsidRDefault="00152271" w:rsidP="00973105">
      <w:pPr>
        <w:pStyle w:val="Reference"/>
        <w:numPr>
          <w:ilvl w:val="0"/>
          <w:numId w:val="0"/>
        </w:numPr>
        <w:rPr>
          <w:rFonts w:eastAsia="DengXian" w:cs="Arial"/>
          <w:bCs/>
          <w:iCs/>
          <w:noProof/>
          <w:kern w:val="2"/>
          <w:szCs w:val="22"/>
        </w:rPr>
      </w:pPr>
    </w:p>
    <w:p w14:paraId="4931B831" w14:textId="29F6D553" w:rsidR="00152271" w:rsidRDefault="00152271"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UE transmits a subset of the repetitions in a CG bundle that do not overlap with the cell DRX non-active period</w:t>
            </w:r>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t>There is no consensus in RAN1 on whether or not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409BFD1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6"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DengXian"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727CE241" w14:textId="77777777" w:rsidR="00595307" w:rsidRDefault="00595307" w:rsidP="00595307">
            <w:pPr>
              <w:rPr>
                <w:lang w:eastAsia="zh-CN"/>
              </w:rPr>
            </w:pPr>
          </w:p>
        </w:tc>
      </w:tr>
    </w:tbl>
    <w:p w14:paraId="0B109743" w14:textId="77777777" w:rsidR="00595307" w:rsidRPr="00595307" w:rsidRDefault="00595307" w:rsidP="00595307">
      <w:p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FEC7" w14:textId="77777777" w:rsidR="000017BE" w:rsidRDefault="000017BE">
      <w:r>
        <w:separator/>
      </w:r>
    </w:p>
  </w:endnote>
  <w:endnote w:type="continuationSeparator" w:id="0">
    <w:p w14:paraId="4EF809EF" w14:textId="77777777" w:rsidR="000017BE" w:rsidRDefault="0000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AE93" w14:textId="77777777" w:rsidR="000017BE" w:rsidRDefault="000017BE">
      <w:r>
        <w:separator/>
      </w:r>
    </w:p>
  </w:footnote>
  <w:footnote w:type="continuationSeparator" w:id="0">
    <w:p w14:paraId="4EC48ACC" w14:textId="77777777" w:rsidR="000017BE" w:rsidRDefault="00001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80C05"/>
    <w:multiLevelType w:val="hybridMultilevel"/>
    <w:tmpl w:val="9E5A7844"/>
    <w:lvl w:ilvl="0" w:tplc="ACACEA22">
      <w:start w:val="1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B132751"/>
    <w:multiLevelType w:val="hybridMultilevel"/>
    <w:tmpl w:val="F0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B944E31"/>
    <w:multiLevelType w:val="hybridMultilevel"/>
    <w:tmpl w:val="2EC25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F3727"/>
    <w:multiLevelType w:val="hybridMultilevel"/>
    <w:tmpl w:val="059E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5"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807013168">
    <w:abstractNumId w:val="26"/>
  </w:num>
  <w:num w:numId="2" w16cid:durableId="333921619">
    <w:abstractNumId w:val="1"/>
  </w:num>
  <w:num w:numId="3" w16cid:durableId="752314953">
    <w:abstractNumId w:val="10"/>
  </w:num>
  <w:num w:numId="4" w16cid:durableId="138697533">
    <w:abstractNumId w:val="24"/>
  </w:num>
  <w:num w:numId="5" w16cid:durableId="836579987">
    <w:abstractNumId w:val="19"/>
  </w:num>
  <w:num w:numId="6" w16cid:durableId="1579486651">
    <w:abstractNumId w:val="16"/>
  </w:num>
  <w:num w:numId="7" w16cid:durableId="1159886768">
    <w:abstractNumId w:val="0"/>
  </w:num>
  <w:num w:numId="8" w16cid:durableId="856503118">
    <w:abstractNumId w:val="17"/>
  </w:num>
  <w:num w:numId="9" w16cid:durableId="1280646497">
    <w:abstractNumId w:val="19"/>
  </w:num>
  <w:num w:numId="10" w16cid:durableId="2056661522">
    <w:abstractNumId w:val="14"/>
  </w:num>
  <w:num w:numId="11" w16cid:durableId="1248422727">
    <w:abstractNumId w:val="25"/>
  </w:num>
  <w:num w:numId="12" w16cid:durableId="793255103">
    <w:abstractNumId w:val="9"/>
  </w:num>
  <w:num w:numId="13" w16cid:durableId="1647510057">
    <w:abstractNumId w:val="21"/>
  </w:num>
  <w:num w:numId="14" w16cid:durableId="1100905209">
    <w:abstractNumId w:val="19"/>
  </w:num>
  <w:num w:numId="15" w16cid:durableId="283969721">
    <w:abstractNumId w:val="5"/>
  </w:num>
  <w:num w:numId="16" w16cid:durableId="304164753">
    <w:abstractNumId w:val="4"/>
  </w:num>
  <w:num w:numId="17" w16cid:durableId="1479224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341694">
    <w:abstractNumId w:val="18"/>
  </w:num>
  <w:num w:numId="19" w16cid:durableId="1623533807">
    <w:abstractNumId w:val="7"/>
  </w:num>
  <w:num w:numId="20" w16cid:durableId="654184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4128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36753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11264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20263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1320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9384339">
    <w:abstractNumId w:val="2"/>
  </w:num>
  <w:num w:numId="27" w16cid:durableId="742291484">
    <w:abstractNumId w:val="12"/>
  </w:num>
  <w:num w:numId="28" w16cid:durableId="1442646649">
    <w:abstractNumId w:val="3"/>
  </w:num>
  <w:num w:numId="29" w16cid:durableId="247884615">
    <w:abstractNumId w:val="20"/>
  </w:num>
  <w:num w:numId="30" w16cid:durableId="150820607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88A"/>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Users\11103341\Docs\R1-231240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C:\Users\panidx\OneDrive%20-%20InterDigital%20Communications,%20Inc\Documents\3GPP%20RAN\TSGR2_124\Docs\R2-.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725407C-B909-48CE-884C-BB9264C41C5F}">
  <ds:schemaRefs>
    <ds:schemaRef ds:uri="http://schemas.openxmlformats.org/officeDocument/2006/bibliography"/>
  </ds:schemaRefs>
</ds:datastoreItem>
</file>

<file path=customXml/itemProps5.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D889C610-25E6-46A3-AF99-2FDA954D80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21</TotalTime>
  <Pages>8</Pages>
  <Words>2793</Words>
  <Characters>15924</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Rapporteur - RAN2#124</cp:lastModifiedBy>
  <cp:revision>18</cp:revision>
  <dcterms:created xsi:type="dcterms:W3CDTF">2023-11-23T08:53:00Z</dcterms:created>
  <dcterms:modified xsi:type="dcterms:W3CDTF">2023-11-24T07:34:00Z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