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368B3" w14:textId="7497F90F"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F157E0">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5D23F440" w:rsidR="00BA1BA4" w:rsidRDefault="00F157E0" w:rsidP="00BA1BA4">
      <w:pPr>
        <w:pStyle w:val="CRCoverPage"/>
        <w:outlineLvl w:val="0"/>
        <w:rPr>
          <w:b/>
          <w:noProof/>
          <w:sz w:val="24"/>
        </w:rPr>
      </w:pPr>
      <w:bookmarkStart w:id="3" w:name="OLE_LINK32"/>
      <w:bookmarkStart w:id="4" w:name="OLE_LINK33"/>
      <w:bookmarkEnd w:id="1"/>
      <w:bookmarkEnd w:id="2"/>
      <w:r>
        <w:rPr>
          <w:b/>
          <w:noProof/>
          <w:sz w:val="24"/>
        </w:rPr>
        <w:t>Chicago</w:t>
      </w:r>
      <w:r w:rsidR="00BA1BA4" w:rsidRPr="009952D9">
        <w:rPr>
          <w:b/>
          <w:noProof/>
          <w:sz w:val="24"/>
        </w:rPr>
        <w:t xml:space="preserve">, </w:t>
      </w:r>
      <w:r>
        <w:rPr>
          <w:b/>
          <w:noProof/>
          <w:sz w:val="24"/>
        </w:rPr>
        <w:t>U.S.A</w:t>
      </w:r>
      <w:r w:rsidR="00BA1BA4">
        <w:rPr>
          <w:b/>
          <w:noProof/>
          <w:sz w:val="24"/>
        </w:rPr>
        <w:t xml:space="preserve">, </w:t>
      </w:r>
      <w:r w:rsidR="00C90155">
        <w:rPr>
          <w:b/>
          <w:noProof/>
          <w:sz w:val="24"/>
        </w:rPr>
        <w:t>13</w:t>
      </w:r>
      <w:r w:rsidR="00C90155" w:rsidRPr="00C90155">
        <w:rPr>
          <w:b/>
          <w:noProof/>
          <w:sz w:val="24"/>
          <w:vertAlign w:val="superscript"/>
        </w:rPr>
        <w:t>th</w:t>
      </w:r>
      <w:r w:rsidR="00041831">
        <w:rPr>
          <w:b/>
          <w:noProof/>
          <w:sz w:val="24"/>
        </w:rPr>
        <w:t>-17</w:t>
      </w:r>
      <w:r w:rsidR="00041831" w:rsidRPr="00041831">
        <w:rPr>
          <w:b/>
          <w:noProof/>
          <w:sz w:val="24"/>
          <w:vertAlign w:val="superscript"/>
        </w:rPr>
        <w:t>th</w:t>
      </w:r>
      <w:r w:rsidR="00041831">
        <w:rPr>
          <w:b/>
          <w:noProof/>
          <w:sz w:val="24"/>
        </w:rPr>
        <w:t xml:space="preserve"> </w:t>
      </w:r>
      <w:r>
        <w:rPr>
          <w:b/>
          <w:noProof/>
          <w:sz w:val="24"/>
        </w:rPr>
        <w:t>November</w:t>
      </w:r>
      <w:r w:rsidR="00BA1BA4">
        <w:rPr>
          <w:b/>
          <w:noProof/>
          <w:sz w:val="24"/>
        </w:rPr>
        <w:t>, 2023</w:t>
      </w:r>
      <w:bookmarkEnd w:id="3"/>
      <w:bookmarkEnd w:id="4"/>
    </w:p>
    <w:p w14:paraId="19C9BFE6" w14:textId="2C0988C9" w:rsidR="00505E15" w:rsidRDefault="00F716E2" w:rsidP="00C93588">
      <w:pPr>
        <w:pStyle w:val="a4"/>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4F167814">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FE36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plg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52240B7E"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[POST</w:t>
      </w:r>
      <w:proofErr w:type="gramStart"/>
      <w:r w:rsidR="00973105" w:rsidRPr="00973105">
        <w:rPr>
          <w:rFonts w:ascii="Arial" w:hAnsi="Arial"/>
          <w:b/>
          <w:sz w:val="24"/>
        </w:rPr>
        <w:t>124][</w:t>
      </w:r>
      <w:proofErr w:type="gramEnd"/>
      <w:r w:rsidR="00973105" w:rsidRPr="00973105">
        <w:rPr>
          <w:rFonts w:ascii="Arial" w:hAnsi="Arial"/>
          <w:b/>
          <w:sz w:val="24"/>
        </w:rPr>
        <w:t>037][NES] 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39C793AB"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C90155" w:rsidRPr="00EA5065">
        <w:rPr>
          <w:rFonts w:ascii="Arial" w:hAnsi="Arial" w:cs="Arial"/>
          <w:color w:val="000000"/>
          <w:lang w:eastAsia="zh-CN"/>
        </w:rPr>
        <w:t>NES</w:t>
      </w:r>
      <w:r w:rsidR="00FA08A2">
        <w:rPr>
          <w:rFonts w:ascii="Arial" w:hAnsi="Arial" w:cs="Arial"/>
          <w:color w:val="000000"/>
          <w:lang w:eastAsia="zh-CN"/>
        </w:rPr>
        <w:t xml:space="preserve"> feature</w:t>
      </w:r>
      <w:r w:rsidR="00F157E0">
        <w:rPr>
          <w:rFonts w:ascii="Arial" w:hAnsi="Arial" w:cs="Arial"/>
          <w:color w:val="000000"/>
          <w:lang w:eastAsia="zh-CN"/>
        </w:rPr>
        <w:t>:</w:t>
      </w:r>
    </w:p>
    <w:p w14:paraId="62158B54" w14:textId="77777777" w:rsidR="00723596" w:rsidRDefault="00723596" w:rsidP="00723596">
      <w:pPr>
        <w:pStyle w:val="EmailDiscussion2"/>
      </w:pPr>
    </w:p>
    <w:p w14:paraId="418C35AC" w14:textId="77777777" w:rsidR="009E331F" w:rsidRDefault="009E331F" w:rsidP="009E331F">
      <w:pPr>
        <w:pStyle w:val="EmailDiscussion"/>
        <w:numPr>
          <w:ilvl w:val="0"/>
          <w:numId w:val="14"/>
        </w:numPr>
        <w:rPr>
          <w:lang w:val="fr-FR"/>
        </w:rPr>
      </w:pPr>
      <w:r>
        <w:rPr>
          <w:lang w:val="fr-FR"/>
        </w:rPr>
        <w:t>[POST124][037][NES] 38.321 CR (InterDigital)</w:t>
      </w:r>
    </w:p>
    <w:p w14:paraId="3AF3F050" w14:textId="77777777" w:rsidR="009E331F" w:rsidRDefault="009E331F" w:rsidP="009E331F">
      <w:pPr>
        <w:pStyle w:val="EmailDiscussion2"/>
      </w:pPr>
      <w:r>
        <w:rPr>
          <w:lang w:val="en-US"/>
        </w:rPr>
        <w:tab/>
      </w:r>
      <w:r>
        <w:t>Intended outcome: Agree to CR</w:t>
      </w:r>
    </w:p>
    <w:p w14:paraId="3B56F06C" w14:textId="77777777" w:rsidR="009E331F" w:rsidRDefault="009E331F" w:rsidP="009E331F">
      <w:pPr>
        <w:pStyle w:val="EmailDiscussion2"/>
      </w:pPr>
      <w:r>
        <w:tab/>
        <w:t>Deadline:  2 weeks (December 1</w:t>
      </w:r>
      <w:r>
        <w:rPr>
          <w:vertAlign w:val="superscript"/>
        </w:rPr>
        <w:t>st</w:t>
      </w:r>
      <w:r>
        <w:t>)</w:t>
      </w:r>
    </w:p>
    <w:p w14:paraId="5873306B" w14:textId="72C0B580" w:rsidR="00D43D6F" w:rsidRPr="00EA5065" w:rsidRDefault="007F2B4D" w:rsidP="007F2B4D">
      <w:pPr>
        <w:pStyle w:val="20"/>
        <w:numPr>
          <w:ilvl w:val="0"/>
          <w:numId w:val="0"/>
        </w:numPr>
        <w:ind w:left="567" w:hanging="567"/>
        <w:rPr>
          <w:rFonts w:eastAsia="等线" w:cs="Arial"/>
          <w:lang w:eastAsia="zh-CN"/>
        </w:rPr>
      </w:pPr>
      <w:r w:rsidRPr="00EA5065">
        <w:rPr>
          <w:rFonts w:eastAsia="等线" w:cs="Arial"/>
          <w:lang w:eastAsia="zh-CN"/>
        </w:rPr>
        <w:t>Contact informat</w:t>
      </w:r>
      <w:r w:rsidR="003D5EEB">
        <w:rPr>
          <w:rFonts w:eastAsia="等线"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3168"/>
        <w:gridCol w:w="4138"/>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68639441"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w:t>
            </w:r>
            <w:r>
              <w:rPr>
                <w:rFonts w:ascii="Arial" w:hAnsi="Arial" w:cs="Arial"/>
                <w:color w:val="000000"/>
                <w:sz w:val="21"/>
                <w:lang w:eastAsia="zh-CN"/>
              </w:rPr>
              <w:t>ivo</w:t>
            </w:r>
          </w:p>
        </w:tc>
        <w:tc>
          <w:tcPr>
            <w:tcW w:w="3261" w:type="dxa"/>
            <w:shd w:val="clear" w:color="auto" w:fill="auto"/>
          </w:tcPr>
          <w:p w14:paraId="3FD7CC18" w14:textId="0F5CCED7"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Wenjuan Pu</w:t>
            </w:r>
          </w:p>
        </w:tc>
        <w:tc>
          <w:tcPr>
            <w:tcW w:w="4218" w:type="dxa"/>
            <w:shd w:val="clear" w:color="auto" w:fill="auto"/>
          </w:tcPr>
          <w:p w14:paraId="54BD98BF" w14:textId="1754F2AB"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w</w:t>
            </w:r>
            <w:r>
              <w:rPr>
                <w:rFonts w:ascii="Arial" w:hAnsi="Arial" w:cs="Arial"/>
                <w:color w:val="000000"/>
                <w:sz w:val="21"/>
                <w:lang w:eastAsia="zh-CN"/>
              </w:rPr>
              <w:t>enjuan.pu@vivo.com</w:t>
            </w:r>
          </w:p>
        </w:tc>
      </w:tr>
      <w:tr w:rsidR="00C90155" w:rsidRPr="00EA5065" w14:paraId="300F7EAB" w14:textId="77777777" w:rsidTr="00DF0723">
        <w:tc>
          <w:tcPr>
            <w:tcW w:w="2376" w:type="dxa"/>
            <w:shd w:val="clear" w:color="auto" w:fill="auto"/>
          </w:tcPr>
          <w:p w14:paraId="0E024F4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09A857F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1A43A4A1"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3333"/>
        <w:gridCol w:w="4938"/>
      </w:tblGrid>
      <w:tr w:rsidR="00000654" w:rsidRPr="00EA5065" w14:paraId="66B50DE8" w14:textId="77777777" w:rsidTr="002243D5">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3415"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5069"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2243D5">
        <w:tc>
          <w:tcPr>
            <w:tcW w:w="1371" w:type="dxa"/>
            <w:shd w:val="clear" w:color="auto" w:fill="auto"/>
          </w:tcPr>
          <w:p w14:paraId="4AE36D26" w14:textId="4C0D206B" w:rsidR="00000654" w:rsidRPr="00EA5065" w:rsidRDefault="00FA472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w:t>
            </w:r>
            <w:r w:rsidR="002243D5">
              <w:rPr>
                <w:rFonts w:ascii="Arial" w:hAnsi="Arial" w:cs="Arial"/>
                <w:color w:val="000000"/>
                <w:lang w:eastAsia="zh-CN"/>
              </w:rPr>
              <w:t>001</w:t>
            </w:r>
          </w:p>
        </w:tc>
        <w:tc>
          <w:tcPr>
            <w:tcW w:w="3415" w:type="dxa"/>
            <w:shd w:val="clear" w:color="auto" w:fill="auto"/>
          </w:tcPr>
          <w:p w14:paraId="07808FF7" w14:textId="77777777" w:rsidR="002243D5" w:rsidRDefault="002243D5" w:rsidP="002243D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PD/SD NES features: </w:t>
            </w:r>
          </w:p>
          <w:p w14:paraId="0357A0BC" w14:textId="1167EB5A" w:rsidR="002243D5" w:rsidRDefault="002243D5" w:rsidP="002243D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Capture the </w:t>
            </w:r>
            <w:r>
              <w:rPr>
                <w:rFonts w:ascii="Arial" w:hAnsi="Arial" w:cs="Arial"/>
                <w:color w:val="000000"/>
                <w:lang w:eastAsia="zh-CN"/>
              </w:rPr>
              <w:t xml:space="preserve">below </w:t>
            </w:r>
            <w:r>
              <w:rPr>
                <w:rFonts w:ascii="Arial" w:hAnsi="Arial" w:cs="Arial"/>
                <w:color w:val="000000"/>
                <w:lang w:eastAsia="zh-CN"/>
              </w:rPr>
              <w:t xml:space="preserve">RAN2#124 agreement in section </w:t>
            </w:r>
            <w:r w:rsidRPr="002243D5">
              <w:rPr>
                <w:rFonts w:ascii="Arial" w:hAnsi="Arial" w:cs="Arial"/>
                <w:color w:val="000000"/>
                <w:lang w:eastAsia="zh-CN"/>
              </w:rPr>
              <w:t>5.18.6</w:t>
            </w:r>
            <w:r>
              <w:rPr>
                <w:rFonts w:ascii="Arial" w:hAnsi="Arial" w:cs="Arial"/>
                <w:color w:val="000000"/>
                <w:lang w:eastAsia="zh-CN"/>
              </w:rPr>
              <w:t xml:space="preserve">. </w:t>
            </w:r>
          </w:p>
          <w:p w14:paraId="56940596" w14:textId="110F55D1" w:rsidR="002243D5" w:rsidRPr="002243D5" w:rsidRDefault="002243D5" w:rsidP="002243D5">
            <w:pPr>
              <w:spacing w:before="100" w:beforeAutospacing="1" w:after="100" w:afterAutospacing="1"/>
              <w:jc w:val="both"/>
              <w:rPr>
                <w:rFonts w:ascii="Arial" w:hAnsi="Arial" w:cs="Arial"/>
                <w:b/>
                <w:color w:val="000000"/>
                <w:lang w:eastAsia="zh-CN"/>
              </w:rPr>
            </w:pPr>
            <w:r w:rsidRPr="002243D5">
              <w:rPr>
                <w:rFonts w:ascii="Arial" w:hAnsi="Arial" w:cs="Arial"/>
                <w:b/>
                <w:color w:val="000000"/>
                <w:lang w:eastAsia="zh-CN"/>
              </w:rPr>
              <w:t>Agreements</w:t>
            </w:r>
            <w:r w:rsidRPr="002243D5">
              <w:rPr>
                <w:rFonts w:ascii="Arial" w:hAnsi="Arial" w:cs="Arial"/>
                <w:b/>
                <w:color w:val="000000"/>
                <w:lang w:eastAsia="zh-CN"/>
              </w:rPr>
              <w:t>:</w:t>
            </w:r>
          </w:p>
          <w:p w14:paraId="11DF2BEA" w14:textId="35ACEDB6" w:rsidR="002243D5" w:rsidRPr="002243D5" w:rsidRDefault="002243D5" w:rsidP="002243D5">
            <w:pPr>
              <w:rPr>
                <w:rFonts w:ascii="Arial" w:hAnsi="Arial" w:cs="Arial" w:hint="eastAsia"/>
                <w:color w:val="000000"/>
                <w:lang w:eastAsia="zh-CN"/>
              </w:rPr>
            </w:pPr>
            <w:r w:rsidRPr="002243D5">
              <w:rPr>
                <w:rFonts w:ascii="Arial" w:hAnsi="Arial" w:cs="Arial"/>
                <w:color w:val="000000"/>
                <w:lang w:eastAsia="zh-CN"/>
              </w:rPr>
              <w:t xml:space="preserve">Legacy MAC CE can be used when activating only configuration without sub-configuration and when </w:t>
            </w:r>
            <w:proofErr w:type="spellStart"/>
            <w:r w:rsidRPr="002243D5">
              <w:rPr>
                <w:rFonts w:ascii="Arial" w:hAnsi="Arial" w:cs="Arial"/>
                <w:color w:val="000000"/>
                <w:lang w:eastAsia="zh-CN"/>
              </w:rPr>
              <w:t>gNB</w:t>
            </w:r>
            <w:proofErr w:type="spellEnd"/>
            <w:r w:rsidRPr="002243D5">
              <w:rPr>
                <w:rFonts w:ascii="Arial" w:hAnsi="Arial" w:cs="Arial"/>
                <w:color w:val="000000"/>
                <w:lang w:eastAsia="zh-CN"/>
              </w:rPr>
              <w:t xml:space="preserve"> is de-activating all sub-configurations.  </w:t>
            </w:r>
          </w:p>
        </w:tc>
        <w:tc>
          <w:tcPr>
            <w:tcW w:w="5069" w:type="dxa"/>
            <w:shd w:val="clear" w:color="auto" w:fill="auto"/>
          </w:tcPr>
          <w:p w14:paraId="3BEA444A" w14:textId="5CA6CF74" w:rsidR="002243D5" w:rsidRPr="002243D5" w:rsidRDefault="002243D5" w:rsidP="002243D5">
            <w:pPr>
              <w:pStyle w:val="ac"/>
              <w:rPr>
                <w:rFonts w:ascii="Arial" w:hAnsi="Arial" w:cs="Arial"/>
                <w:color w:val="000000"/>
                <w:lang w:eastAsia="zh-CN"/>
              </w:rPr>
            </w:pPr>
            <w:r w:rsidRPr="002243D5">
              <w:rPr>
                <w:rFonts w:ascii="Arial" w:hAnsi="Arial" w:cs="Arial"/>
                <w:color w:val="000000"/>
                <w:lang w:eastAsia="zh-CN"/>
              </w:rPr>
              <w:t>We think th</w:t>
            </w:r>
            <w:r w:rsidRPr="002243D5">
              <w:rPr>
                <w:rFonts w:ascii="Arial" w:hAnsi="Arial" w:cs="Arial"/>
                <w:color w:val="000000"/>
                <w:lang w:eastAsia="zh-CN"/>
              </w:rPr>
              <w:t xml:space="preserve">is </w:t>
            </w:r>
            <w:r w:rsidRPr="002243D5">
              <w:rPr>
                <w:rFonts w:ascii="Arial" w:hAnsi="Arial" w:cs="Arial"/>
                <w:color w:val="000000"/>
                <w:lang w:eastAsia="zh-CN"/>
              </w:rPr>
              <w:t>agreement should be reflected in section 5.18.6</w:t>
            </w:r>
            <w:r w:rsidRPr="002243D5">
              <w:rPr>
                <w:rFonts w:ascii="Arial" w:hAnsi="Arial" w:cs="Arial"/>
                <w:color w:val="000000"/>
                <w:lang w:eastAsia="zh-CN"/>
              </w:rPr>
              <w:t xml:space="preserve"> </w:t>
            </w:r>
            <w:r w:rsidRPr="002243D5">
              <w:rPr>
                <w:rFonts w:ascii="Arial" w:hAnsi="Arial" w:cs="Arial"/>
                <w:color w:val="000000"/>
                <w:lang w:eastAsia="zh-CN"/>
              </w:rPr>
              <w:t>to clarify the NW behaviour. From th</w:t>
            </w:r>
            <w:r w:rsidRPr="002243D5">
              <w:rPr>
                <w:rFonts w:ascii="Arial" w:hAnsi="Arial" w:cs="Arial"/>
                <w:color w:val="000000"/>
                <w:lang w:eastAsia="zh-CN"/>
              </w:rPr>
              <w:t xml:space="preserve">is </w:t>
            </w:r>
            <w:r w:rsidRPr="002243D5">
              <w:rPr>
                <w:rFonts w:ascii="Arial" w:hAnsi="Arial" w:cs="Arial"/>
                <w:color w:val="000000"/>
                <w:lang w:eastAsia="zh-CN"/>
              </w:rPr>
              <w:t>agreement, two clarifications on correct NW behaviour should be captured:</w:t>
            </w:r>
          </w:p>
          <w:p w14:paraId="254AA9F8" w14:textId="77777777" w:rsidR="002243D5" w:rsidRPr="002243D5" w:rsidRDefault="002243D5" w:rsidP="002243D5">
            <w:pPr>
              <w:pStyle w:val="ac"/>
              <w:rPr>
                <w:rFonts w:ascii="Arial" w:hAnsi="Arial" w:cs="Arial"/>
                <w:color w:val="000000"/>
                <w:lang w:eastAsia="zh-CN"/>
              </w:rPr>
            </w:pPr>
            <w:r w:rsidRPr="002243D5">
              <w:rPr>
                <w:rFonts w:ascii="Arial" w:hAnsi="Arial" w:cs="Arial"/>
                <w:color w:val="000000"/>
                <w:lang w:eastAsia="zh-CN"/>
              </w:rPr>
              <w:t xml:space="preserve">when at least one CSI report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concerned serving cell id and BWP ID, </w:t>
            </w:r>
          </w:p>
          <w:p w14:paraId="70D4B150" w14:textId="77777777" w:rsidR="002243D5" w:rsidRPr="002243D5" w:rsidRDefault="002243D5" w:rsidP="002243D5">
            <w:pPr>
              <w:pStyle w:val="ac"/>
              <w:numPr>
                <w:ilvl w:val="0"/>
                <w:numId w:val="26"/>
              </w:numPr>
              <w:overflowPunct w:val="0"/>
              <w:autoSpaceDE w:val="0"/>
              <w:autoSpaceDN w:val="0"/>
              <w:adjustRightInd w:val="0"/>
              <w:textAlignment w:val="baseline"/>
              <w:rPr>
                <w:rFonts w:ascii="Arial" w:hAnsi="Arial" w:cs="Arial"/>
                <w:color w:val="000000"/>
                <w:lang w:eastAsia="zh-CN"/>
              </w:rPr>
            </w:pPr>
            <w:r w:rsidRPr="002243D5">
              <w:rPr>
                <w:rFonts w:ascii="Arial" w:hAnsi="Arial" w:cs="Arial"/>
                <w:color w:val="000000"/>
                <w:lang w:eastAsia="zh-CN"/>
              </w:rPr>
              <w:t xml:space="preserve">1) new MAC CE should be used by the network even for activating the CSI report without sub-configurations. </w:t>
            </w:r>
          </w:p>
          <w:p w14:paraId="39A47312" w14:textId="78B5C85E" w:rsidR="0061749B" w:rsidRPr="002243D5" w:rsidRDefault="002243D5" w:rsidP="002243D5">
            <w:pPr>
              <w:pStyle w:val="ac"/>
              <w:numPr>
                <w:ilvl w:val="0"/>
                <w:numId w:val="26"/>
              </w:numPr>
              <w:overflowPunct w:val="0"/>
              <w:autoSpaceDE w:val="0"/>
              <w:autoSpaceDN w:val="0"/>
              <w:adjustRightInd w:val="0"/>
              <w:textAlignment w:val="baseline"/>
            </w:pPr>
            <w:r w:rsidRPr="002243D5">
              <w:rPr>
                <w:rFonts w:ascii="Arial" w:hAnsi="Arial" w:cs="Arial"/>
                <w:color w:val="000000"/>
                <w:lang w:eastAsia="zh-CN"/>
              </w:rPr>
              <w:t>2) legacy MAC CE can be used to deactivate all sub-configurations for all CSI report.</w:t>
            </w:r>
          </w:p>
        </w:tc>
      </w:tr>
      <w:tr w:rsidR="002243D5" w:rsidRPr="00EA5065" w14:paraId="17F50B3B" w14:textId="77777777" w:rsidTr="002243D5">
        <w:tc>
          <w:tcPr>
            <w:tcW w:w="1371" w:type="dxa"/>
            <w:shd w:val="clear" w:color="auto" w:fill="auto"/>
          </w:tcPr>
          <w:p w14:paraId="2F1A4410" w14:textId="2DD2D4E4" w:rsidR="002243D5" w:rsidRDefault="00FA472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w:t>
            </w:r>
            <w:bookmarkStart w:id="5" w:name="_GoBack"/>
            <w:bookmarkEnd w:id="5"/>
            <w:r w:rsidR="002243D5">
              <w:rPr>
                <w:rFonts w:ascii="Arial" w:hAnsi="Arial" w:cs="Arial"/>
                <w:color w:val="000000"/>
                <w:lang w:eastAsia="zh-CN"/>
              </w:rPr>
              <w:t>00</w:t>
            </w:r>
            <w:r w:rsidR="002243D5">
              <w:rPr>
                <w:rFonts w:ascii="Arial" w:hAnsi="Arial" w:cs="Arial"/>
                <w:color w:val="000000"/>
                <w:lang w:eastAsia="zh-CN"/>
              </w:rPr>
              <w:t>2</w:t>
            </w:r>
          </w:p>
        </w:tc>
        <w:tc>
          <w:tcPr>
            <w:tcW w:w="3415" w:type="dxa"/>
            <w:shd w:val="clear" w:color="auto" w:fill="auto"/>
          </w:tcPr>
          <w:p w14:paraId="1DB1F42E" w14:textId="77A9B1E3" w:rsidR="002243D5" w:rsidRDefault="004F0FB4"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PD/SD NES features</w:t>
            </w:r>
            <w:r>
              <w:rPr>
                <w:rFonts w:ascii="Arial" w:hAnsi="Arial" w:cs="Arial"/>
                <w:color w:val="000000"/>
                <w:lang w:eastAsia="zh-CN"/>
              </w:rPr>
              <w:t>, a</w:t>
            </w:r>
            <w:r w:rsidRPr="004F0FB4">
              <w:rPr>
                <w:rFonts w:ascii="Arial" w:hAnsi="Arial" w:cs="Arial"/>
                <w:color w:val="000000"/>
                <w:lang w:eastAsia="zh-CN"/>
              </w:rPr>
              <w:t xml:space="preserve"> new </w:t>
            </w:r>
            <w:proofErr w:type="spellStart"/>
            <w:r w:rsidRPr="004F0FB4">
              <w:rPr>
                <w:rFonts w:ascii="Arial" w:hAnsi="Arial" w:cs="Arial"/>
                <w:color w:val="000000"/>
                <w:lang w:eastAsia="zh-CN"/>
              </w:rPr>
              <w:t>eLCID</w:t>
            </w:r>
            <w:proofErr w:type="spellEnd"/>
            <w:r w:rsidRPr="004F0FB4">
              <w:rPr>
                <w:rFonts w:ascii="Arial" w:hAnsi="Arial" w:cs="Arial"/>
                <w:color w:val="000000"/>
                <w:lang w:eastAsia="zh-CN"/>
              </w:rPr>
              <w:t xml:space="preserve"> </w:t>
            </w:r>
            <w:r>
              <w:rPr>
                <w:rFonts w:ascii="Arial" w:hAnsi="Arial" w:cs="Arial"/>
                <w:color w:val="000000"/>
                <w:lang w:eastAsia="zh-CN"/>
              </w:rPr>
              <w:t xml:space="preserve">for new MAC CE is missing. </w:t>
            </w:r>
          </w:p>
        </w:tc>
        <w:tc>
          <w:tcPr>
            <w:tcW w:w="5069" w:type="dxa"/>
            <w:shd w:val="clear" w:color="auto" w:fill="auto"/>
          </w:tcPr>
          <w:p w14:paraId="4EF13E6F" w14:textId="4082DECA" w:rsidR="002243D5" w:rsidRDefault="006214E6" w:rsidP="002243D5">
            <w:pPr>
              <w:pStyle w:val="ac"/>
              <w:rPr>
                <w:rFonts w:eastAsia="等线"/>
                <w:lang w:eastAsia="zh-CN"/>
              </w:rPr>
            </w:pPr>
            <w:r>
              <w:rPr>
                <w:rFonts w:ascii="Arial" w:hAnsi="Arial" w:cs="Arial"/>
                <w:color w:val="000000"/>
                <w:lang w:eastAsia="zh-CN"/>
              </w:rPr>
              <w:t>A</w:t>
            </w:r>
            <w:r w:rsidRPr="004F0FB4">
              <w:rPr>
                <w:rFonts w:ascii="Arial" w:hAnsi="Arial" w:cs="Arial"/>
                <w:color w:val="000000"/>
                <w:lang w:eastAsia="zh-CN"/>
              </w:rPr>
              <w:t xml:space="preserve"> new </w:t>
            </w:r>
            <w:proofErr w:type="spellStart"/>
            <w:r w:rsidRPr="004F0FB4">
              <w:rPr>
                <w:rFonts w:ascii="Arial" w:hAnsi="Arial" w:cs="Arial"/>
                <w:color w:val="000000"/>
                <w:lang w:eastAsia="zh-CN"/>
              </w:rPr>
              <w:t>eLCID</w:t>
            </w:r>
            <w:proofErr w:type="spellEnd"/>
            <w:r w:rsidRPr="004F0FB4">
              <w:rPr>
                <w:rFonts w:ascii="Arial" w:hAnsi="Arial" w:cs="Arial"/>
                <w:color w:val="000000"/>
                <w:lang w:eastAsia="zh-CN"/>
              </w:rPr>
              <w:t xml:space="preserve"> </w:t>
            </w:r>
            <w:r>
              <w:rPr>
                <w:rFonts w:ascii="Arial" w:hAnsi="Arial" w:cs="Arial"/>
                <w:color w:val="000000"/>
                <w:lang w:eastAsia="zh-CN"/>
              </w:rPr>
              <w:t xml:space="preserve">for new MAC CE </w:t>
            </w:r>
            <w:r w:rsidRPr="004F0FB4">
              <w:rPr>
                <w:rFonts w:ascii="Arial" w:hAnsi="Arial" w:cs="Arial"/>
                <w:color w:val="000000"/>
                <w:lang w:eastAsia="zh-CN"/>
              </w:rPr>
              <w:t>should be introduced in Table 6.2.1-1b</w:t>
            </w:r>
            <w:r>
              <w:rPr>
                <w:rFonts w:ascii="Arial" w:hAnsi="Arial" w:cs="Arial"/>
                <w:color w:val="000000"/>
                <w:lang w:eastAsia="zh-CN"/>
              </w:rPr>
              <w:t>.</w:t>
            </w: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1"/>
        <w:numPr>
          <w:ilvl w:val="0"/>
          <w:numId w:val="0"/>
        </w:numPr>
        <w:ind w:left="567" w:hanging="567"/>
        <w:rPr>
          <w:rFonts w:eastAsia="等线"/>
          <w:lang w:eastAsia="zh-CN"/>
        </w:rPr>
      </w:pPr>
      <w:r>
        <w:rPr>
          <w:rFonts w:eastAsia="等线" w:hint="eastAsia"/>
          <w:lang w:eastAsia="zh-CN"/>
        </w:rPr>
        <w:t>A</w:t>
      </w:r>
      <w:r>
        <w:rPr>
          <w:rFonts w:eastAsia="等线"/>
          <w:lang w:eastAsia="zh-CN"/>
        </w:rPr>
        <w:t>nnex A: R2 agreements affecting TS 38.321</w:t>
      </w:r>
    </w:p>
    <w:p w14:paraId="702E637A" w14:textId="77777777" w:rsidR="00870F37" w:rsidRPr="00B96B1B" w:rsidRDefault="00870F37" w:rsidP="00870F37">
      <w:pPr>
        <w:rPr>
          <w:sz w:val="22"/>
          <w:szCs w:val="22"/>
        </w:rPr>
      </w:pPr>
      <w:r w:rsidRPr="00B96B1B">
        <w:rPr>
          <w:rStyle w:val="ui-provider"/>
          <w:sz w:val="22"/>
          <w:szCs w:val="22"/>
          <w:highlight w:val="green"/>
        </w:rPr>
        <w:t>Fully implemented</w:t>
      </w:r>
      <w:r w:rsidRPr="00B96B1B">
        <w:rPr>
          <w:rStyle w:val="ui-provider"/>
          <w:sz w:val="22"/>
          <w:szCs w:val="22"/>
        </w:rPr>
        <w:br/>
      </w:r>
      <w:r w:rsidRPr="00B96B1B">
        <w:rPr>
          <w:rStyle w:val="ui-provider"/>
          <w:sz w:val="22"/>
          <w:szCs w:val="22"/>
          <w:highlight w:val="yellow"/>
        </w:rPr>
        <w:t>partially implemented but additional agreements/FFSs needed before conclusion</w:t>
      </w:r>
      <w:r w:rsidRPr="00B96B1B">
        <w:rPr>
          <w:rStyle w:val="ui-provider"/>
          <w:sz w:val="22"/>
          <w:szCs w:val="22"/>
        </w:rPr>
        <w:br/>
      </w:r>
      <w:r w:rsidRPr="00D477B3">
        <w:rPr>
          <w:rStyle w:val="ui-provider"/>
          <w:sz w:val="22"/>
          <w:szCs w:val="22"/>
          <w:highlight w:val="cyan"/>
        </w:rPr>
        <w:t>Doesn’t impact MAC spec or already specified</w:t>
      </w:r>
    </w:p>
    <w:p w14:paraId="3EAB38B4" w14:textId="77777777" w:rsidR="00870F37" w:rsidRPr="00F8389F" w:rsidRDefault="00870F37" w:rsidP="00CA7C74">
      <w:pPr>
        <w:pStyle w:val="20"/>
        <w:numPr>
          <w:ilvl w:val="0"/>
          <w:numId w:val="0"/>
        </w:numPr>
        <w:ind w:left="567" w:hanging="567"/>
        <w:rPr>
          <w:rFonts w:eastAsia="宋体"/>
          <w:lang w:val="en-US" w:eastAsia="zh-CN"/>
        </w:rPr>
      </w:pPr>
      <w:r w:rsidRPr="00E42F67">
        <w:rPr>
          <w:rFonts w:eastAsia="宋体" w:hint="eastAsia"/>
          <w:lang w:val="en-US" w:eastAsia="zh-CN"/>
        </w:rPr>
        <w:t>R</w:t>
      </w:r>
      <w:r w:rsidRPr="00E42F67">
        <w:rPr>
          <w:rFonts w:eastAsia="宋体"/>
          <w:lang w:val="en-US" w:eastAsia="zh-CN"/>
        </w:rPr>
        <w:t>AN2</w:t>
      </w:r>
      <w:r>
        <w:rPr>
          <w:rFonts w:eastAsia="宋体"/>
          <w:lang w:val="en-US" w:eastAsia="zh-CN"/>
        </w:rPr>
        <w:t>#</w:t>
      </w:r>
      <w:r w:rsidRPr="00E42F67">
        <w:rPr>
          <w:rFonts w:eastAsia="宋体"/>
          <w:lang w:val="en-US" w:eastAsia="zh-CN"/>
        </w:rPr>
        <w:t>12</w:t>
      </w:r>
      <w:r>
        <w:rPr>
          <w:rFonts w:eastAsia="宋体"/>
          <w:lang w:val="en-US" w:eastAsia="zh-CN"/>
        </w:rPr>
        <w:t>1</w:t>
      </w:r>
      <w:r w:rsidRPr="00E42F67">
        <w:rPr>
          <w:rFonts w:eastAsia="宋体"/>
          <w:lang w:val="en-US" w:eastAsia="zh-CN"/>
        </w:rPr>
        <w:t xml:space="preserve"> </w:t>
      </w:r>
    </w:p>
    <w:p w14:paraId="49AB351F" w14:textId="77777777" w:rsidR="00870F37" w:rsidRPr="008E5319" w:rsidRDefault="00870F37" w:rsidP="00870F37">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lang w:val="en-US" w:eastAsia="en-GB"/>
        </w:rPr>
      </w:pPr>
      <w:r w:rsidRPr="008E5319">
        <w:rPr>
          <w:rFonts w:ascii="Arial" w:eastAsia="MS Mincho" w:hAnsi="Arial"/>
          <w:b/>
          <w:bCs/>
          <w:lang w:val="en-US" w:eastAsia="en-GB"/>
        </w:rPr>
        <w:t xml:space="preserve">Agreements </w:t>
      </w:r>
    </w:p>
    <w:p w14:paraId="4821B709"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There will be no impact to RACH, paging, and SIBs in idle/inactive for both gNB and Rel-18 and legacy UEs</w:t>
      </w:r>
    </w:p>
    <w:p w14:paraId="5077A6C4"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Rel-18 NES capable CONNECTED UE(s) can perform RACH and receive SIBs in non-active duration of cell DTX and/or DRX (i.e., same behavior for cell DTX and cell DRX).  No further enhancements for CBRA and CFRA will be pursued.</w:t>
      </w:r>
    </w:p>
    <w:p w14:paraId="19458685"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177E0D">
        <w:rPr>
          <w:rFonts w:ascii="Arial" w:eastAsia="MS Mincho" w:hAnsi="Arial"/>
          <w:highlight w:val="green"/>
          <w:lang w:val="en-US" w:eastAsia="en-GB"/>
        </w:rPr>
        <w:t xml:space="preserve">Pattern configuration for cell DRX/DTX is common for Rel-18 UEs in the cell.   </w:t>
      </w:r>
      <w:r w:rsidRPr="008E5319">
        <w:rPr>
          <w:rFonts w:ascii="Arial" w:eastAsia="MS Mincho" w:hAnsi="Arial"/>
          <w:lang w:val="en-US" w:eastAsia="en-GB"/>
        </w:rPr>
        <w:t xml:space="preserve">FFS whether we have DTX UE specific inactivity timer .  FFS on configuration signaling and stage 3.  </w:t>
      </w:r>
    </w:p>
    <w:p w14:paraId="1B466393"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D477B3">
        <w:rPr>
          <w:rFonts w:ascii="Arial" w:eastAsia="MS Mincho" w:hAnsi="Arial"/>
          <w:highlight w:val="green"/>
          <w:lang w:val="en-US" w:eastAsia="en-GB"/>
        </w:rPr>
        <w:t>Confirm study item agreement that we can have separate DTX and DRX configuration</w:t>
      </w:r>
      <w:r w:rsidRPr="008E5319">
        <w:rPr>
          <w:rFonts w:ascii="Arial" w:eastAsia="MS Mincho" w:hAnsi="Arial"/>
          <w:lang w:val="en-US" w:eastAsia="en-GB"/>
        </w:rPr>
        <w:t xml:space="preserve">.   We will focus on designing DTX/DRX for at least single configuration.  FFS whether multiple configuration of cell DTX or DRX will be supported.  </w:t>
      </w:r>
    </w:p>
    <w:p w14:paraId="7666CE46" w14:textId="77777777" w:rsidR="00870F37" w:rsidRDefault="00870F37" w:rsidP="00CA7C74">
      <w:pPr>
        <w:pStyle w:val="20"/>
        <w:numPr>
          <w:ilvl w:val="0"/>
          <w:numId w:val="0"/>
        </w:numPr>
        <w:ind w:left="567" w:hanging="567"/>
        <w:rPr>
          <w:rFonts w:eastAsia="宋体"/>
          <w:lang w:val="en-US" w:eastAsia="zh-CN"/>
        </w:rPr>
      </w:pPr>
      <w:r w:rsidRPr="00E42F67">
        <w:rPr>
          <w:rFonts w:eastAsia="宋体" w:hint="eastAsia"/>
          <w:lang w:val="en-US" w:eastAsia="zh-CN"/>
        </w:rPr>
        <w:t>R</w:t>
      </w:r>
      <w:r w:rsidRPr="00E42F67">
        <w:rPr>
          <w:rFonts w:eastAsia="宋体"/>
          <w:lang w:val="en-US" w:eastAsia="zh-CN"/>
        </w:rPr>
        <w:t>AN2</w:t>
      </w:r>
      <w:r>
        <w:rPr>
          <w:rFonts w:eastAsia="宋体"/>
          <w:lang w:val="en-US" w:eastAsia="zh-CN"/>
        </w:rPr>
        <w:t>#</w:t>
      </w:r>
      <w:r w:rsidRPr="00E42F67">
        <w:rPr>
          <w:rFonts w:eastAsia="宋体"/>
          <w:lang w:val="en-US" w:eastAsia="zh-CN"/>
        </w:rPr>
        <w:t>121</w:t>
      </w:r>
      <w:r>
        <w:rPr>
          <w:rFonts w:eastAsia="宋体"/>
          <w:lang w:val="en-US" w:eastAsia="zh-CN"/>
        </w:rPr>
        <w:t>-bis</w:t>
      </w:r>
    </w:p>
    <w:p w14:paraId="61044565" w14:textId="77777777" w:rsidR="00870F37" w:rsidRDefault="00870F37" w:rsidP="00870F37">
      <w:pPr>
        <w:pStyle w:val="Doc-text2"/>
      </w:pPr>
    </w:p>
    <w:p w14:paraId="7BE7182B"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B9719B6"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configuration is explicitly signalled to the UEs. </w:t>
      </w:r>
    </w:p>
    <w:p w14:paraId="1EC25122"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pattern is configured by UE specific RRC signalling. </w:t>
      </w:r>
    </w:p>
    <w:p w14:paraId="1FAF3C2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The Cell DTX/DRX configuration contains at least: periodicity, start slot/offset, on duration. </w:t>
      </w:r>
    </w:p>
    <w:p w14:paraId="20A2690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a baseline Cell DTX/DRX is activated/deactivated implicitly by RRC signalling, i.e. activated immediately once configured by RRC and deactivated once the RRC configuration is released. </w:t>
      </w:r>
    </w:p>
    <w:p w14:paraId="11A2E285"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green"/>
        </w:rPr>
        <w:t>From RAN2 point of view, majority companies see a benefit with L1 signalling for Cell DTX/DRX activation/deactivation</w:t>
      </w:r>
      <w:r>
        <w:t xml:space="preserve">, send a LS to RAN1 (email 308) with our preference and ask about feasibility and design details.   Ask about feasibility and reliability of using L1 </w:t>
      </w:r>
      <w:proofErr w:type="spellStart"/>
      <w:r>
        <w:t>signaling</w:t>
      </w:r>
      <w:proofErr w:type="spellEnd"/>
      <w:r>
        <w:t xml:space="preserve">.  Clarify that the question is about activation/deactivation copy the agreement from last meeting that we are focusing on single configuration.  Extract a few key benefits of dynamic </w:t>
      </w:r>
      <w:proofErr w:type="spellStart"/>
      <w:r>
        <w:t>signaling</w:t>
      </w:r>
      <w:proofErr w:type="spellEnd"/>
      <w:r>
        <w:t xml:space="preserve"> from email discussion and online discussions</w:t>
      </w:r>
    </w:p>
    <w:p w14:paraId="30D8C0AA"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baseline, UE doesn’t monitor SPS occasions during Cell DTX non-active period. As baseline, gNB is assumed to be not transmitting PDSCH to that UE on such SPS </w:t>
      </w:r>
      <w:r w:rsidRPr="00086438">
        <w:rPr>
          <w:highlight w:val="green"/>
        </w:rPr>
        <w:t>occasions during the Cell DTX non-active period</w:t>
      </w:r>
    </w:p>
    <w:p w14:paraId="06640404"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As baseline, UE does not transmit on CG occasions during Cell DRX non-active periods</w:t>
      </w:r>
    </w:p>
    <w:p w14:paraId="45FAC127"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w:t>
      </w:r>
      <w:r w:rsidRPr="00D477B3">
        <w:rPr>
          <w:highlight w:val="green"/>
        </w:rPr>
        <w:t xml:space="preserve">UE does not transmit SR occasions overlapping with Cell DRX non-active periods, e.g. SR transmissions are dropped during the non-active period </w:t>
      </w:r>
    </w:p>
    <w:p w14:paraId="3FD0DBBF"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t xml:space="preserve">FFS: whether we will allow to configure the UE per SR configuration with whether SR can be transmitted during Cell DRX non-active period to </w:t>
      </w:r>
      <w:proofErr w:type="spellStart"/>
      <w:r>
        <w:t>to</w:t>
      </w:r>
      <w:proofErr w:type="spellEnd"/>
      <w:r>
        <w:t xml:space="preserve"> support high priority traffic </w:t>
      </w:r>
    </w:p>
    <w:p w14:paraId="4A8AFB6A"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cyan"/>
        </w:rPr>
        <w:t>(for the SRs that will be dropped) If SR is not to be transmitted on an PUCCH occasion during Cell DRX non-active time, the UE keep the SR pending, i.e</w:t>
      </w:r>
      <w:r w:rsidRPr="00763C64">
        <w:rPr>
          <w:highlight w:val="green"/>
        </w:rPr>
        <w:t xml:space="preserve">., the UE delays the SR </w:t>
      </w:r>
      <w:r w:rsidRPr="00763C64">
        <w:rPr>
          <w:highlight w:val="green"/>
        </w:rPr>
        <w:lastRenderedPageBreak/>
        <w:t>transmission till the Cell DRX active period without triggering RACH</w:t>
      </w:r>
      <w:r>
        <w:t xml:space="preserve">.  For the FFS case there may be some exceptions.  </w:t>
      </w:r>
    </w:p>
    <w:p w14:paraId="50DBE0DB"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26675">
        <w:rPr>
          <w:highlight w:val="cyan"/>
        </w:rPr>
        <w:t>The understanding for the gNB scheduling behaviour for new transmissions during Cell DTX non-active period is that the gNB does not schedule UE-specific dynamic grants/assignments, even if the UE is in C-DRX Active Time</w:t>
      </w:r>
      <w:r>
        <w:t xml:space="preserve">.   </w:t>
      </w:r>
      <w:r w:rsidRPr="00D26675">
        <w:rPr>
          <w:highlight w:val="green"/>
        </w:rPr>
        <w:t>UE doesn’t monitor PDCCH for dynamic grants/assignments for new transmissions during Cell DTX non-active period, even if the UE is in C-DRX Active time</w:t>
      </w:r>
      <w:r>
        <w:t xml:space="preserve">.   FFS how to deal with any exceptions (e.g. SR if agreed and RACH).  </w:t>
      </w:r>
    </w:p>
    <w:p w14:paraId="1E4E191D"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5262210" w14:textId="77777777" w:rsidR="00870F37" w:rsidRDefault="00870F37" w:rsidP="00870F37">
      <w:pPr>
        <w:pStyle w:val="Doc-text2"/>
        <w:rPr>
          <w:i/>
          <w:iCs/>
        </w:rPr>
      </w:pPr>
    </w:p>
    <w:p w14:paraId="12F57FF4" w14:textId="77777777" w:rsidR="00870F37" w:rsidRPr="009132FB" w:rsidRDefault="00870F37" w:rsidP="00870F37">
      <w:pPr>
        <w:rPr>
          <w:lang w:val="en-US" w:eastAsia="zh-CN"/>
        </w:rPr>
      </w:pPr>
    </w:p>
    <w:p w14:paraId="6F3A79B2" w14:textId="77777777" w:rsidR="00870F37" w:rsidRDefault="00870F37" w:rsidP="00CA7C74">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 xml:space="preserve">AN2#122 </w:t>
      </w:r>
    </w:p>
    <w:p w14:paraId="315B9B80"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rPr>
          <w:b/>
          <w:bCs/>
        </w:rPr>
      </w:pPr>
      <w:r w:rsidRPr="00F738C4">
        <w:rPr>
          <w:b/>
          <w:bCs/>
        </w:rPr>
        <w:t>Agreements:</w:t>
      </w:r>
    </w:p>
    <w:p w14:paraId="22693E77"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1</w:t>
      </w:r>
      <w:r w:rsidRPr="00D26675">
        <w:rPr>
          <w:highlight w:val="cyan"/>
        </w:rPr>
        <w:tab/>
      </w:r>
      <w:r w:rsidRPr="006520A4">
        <w:rPr>
          <w:highlight w:val="green"/>
        </w:rPr>
        <w:t>UE monitors PDCCH for RAR during Cell DTX non-active time</w:t>
      </w:r>
      <w:r w:rsidRPr="00D26675">
        <w:rPr>
          <w:highlight w:val="cyan"/>
        </w:rPr>
        <w:t>. The ra-ResponseWindow could be started as legacy.</w:t>
      </w:r>
    </w:p>
    <w:p w14:paraId="3A8E2137"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2</w:t>
      </w:r>
      <w:r w:rsidRPr="00D26675">
        <w:rPr>
          <w:highlight w:val="cyan"/>
        </w:rPr>
        <w:tab/>
      </w:r>
      <w:r w:rsidRPr="006B12EA">
        <w:rPr>
          <w:highlight w:val="green"/>
        </w:rPr>
        <w:t>UE monitors PDCCH for msg4 during Cell DTX non-active time</w:t>
      </w:r>
      <w:r w:rsidRPr="00D26675">
        <w:rPr>
          <w:highlight w:val="cyan"/>
        </w:rPr>
        <w:t>. The ra-ContentionResolutionTimer could be started as legacy.</w:t>
      </w:r>
    </w:p>
    <w:p w14:paraId="799D077B"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3</w:t>
      </w:r>
      <w:r w:rsidRPr="00D26675">
        <w:rPr>
          <w:highlight w:val="cyan"/>
        </w:rPr>
        <w:tab/>
        <w:t xml:space="preserve">Working assumption:  </w:t>
      </w:r>
      <w:r w:rsidRPr="006B12EA">
        <w:rPr>
          <w:highlight w:val="green"/>
        </w:rPr>
        <w:t>When the retransmission timer is running (if C-DRX is configured), the UE is expected to monitor PDCCH, like in legacy.</w:t>
      </w:r>
      <w:r w:rsidRPr="00D26675">
        <w:rPr>
          <w:highlight w:val="cyan"/>
        </w:rPr>
        <w:t xml:space="preserve">  It is up to the network whether it schedules retransmissions out of the Cell DTX active period, i.e., </w:t>
      </w:r>
      <w:r w:rsidRPr="008F7FC8">
        <w:rPr>
          <w:highlight w:val="green"/>
        </w:rPr>
        <w:t>when the DRX retransmission timer is running, the UE should monitor PDCCH regardless of the Cell DTX</w:t>
      </w:r>
      <w:r w:rsidRPr="00D26675">
        <w:rPr>
          <w:highlight w:val="cyan"/>
        </w:rPr>
        <w:t>.</w:t>
      </w:r>
      <w:r w:rsidRPr="00F738C4">
        <w:t xml:space="preserve">   </w:t>
      </w:r>
    </w:p>
    <w:p w14:paraId="1834E4FC"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4</w:t>
      </w:r>
      <w:r w:rsidRPr="00D26675">
        <w:rPr>
          <w:highlight w:val="cyan"/>
        </w:rPr>
        <w:tab/>
        <w:t xml:space="preserve">Once gNB recognizes there is an emergency call or public safety related service (e.g. MPS/MCS), the NW should ensure there is no impact to the emergency call (e.g. may deactivate Cell DTX/DRX).  The </w:t>
      </w:r>
      <w:proofErr w:type="spellStart"/>
      <w:r w:rsidRPr="00D26675">
        <w:rPr>
          <w:highlight w:val="cyan"/>
        </w:rPr>
        <w:t>behavior</w:t>
      </w:r>
      <w:proofErr w:type="spellEnd"/>
      <w:r w:rsidRPr="00D26675">
        <w:rPr>
          <w:highlight w:val="cyan"/>
        </w:rPr>
        <w:t xml:space="preserve"> is captured in stage 2 spec</w:t>
      </w:r>
    </w:p>
    <w:p w14:paraId="40414F38"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i/>
          <w:iCs/>
          <w:highlight w:val="cyan"/>
        </w:rPr>
        <w:t>5</w:t>
      </w:r>
      <w:r w:rsidRPr="00D26675">
        <w:rPr>
          <w:i/>
          <w:iCs/>
          <w:highlight w:val="cyan"/>
        </w:rPr>
        <w:tab/>
      </w:r>
      <w:r w:rsidRPr="00D26675">
        <w:rPr>
          <w:highlight w:val="cyan"/>
        </w:rPr>
        <w:t>When an DG grant is received, by the gNB during cell DRX/DTX, the UE follows the grant assignment (i.e. like in legacy).  This includes DL HARQ feedback.</w:t>
      </w:r>
      <w:r w:rsidRPr="00F738C4">
        <w:t xml:space="preserve">  </w:t>
      </w:r>
    </w:p>
    <w:p w14:paraId="2488EF9C" w14:textId="77777777" w:rsidR="00870F37" w:rsidRPr="00F738C4" w:rsidRDefault="00870F37" w:rsidP="00870F37">
      <w:pPr>
        <w:pStyle w:val="Doc-text2"/>
        <w:ind w:left="0" w:firstLine="0"/>
      </w:pPr>
    </w:p>
    <w:p w14:paraId="345D0C77" w14:textId="77777777" w:rsidR="00870F37" w:rsidRPr="005B4CDD" w:rsidRDefault="00870F37" w:rsidP="00CA7C74">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AN2#123</w:t>
      </w:r>
    </w:p>
    <w:p w14:paraId="70B3EE12" w14:textId="77777777" w:rsidR="00870F37" w:rsidRDefault="00870F37" w:rsidP="00870F37">
      <w:pPr>
        <w:pStyle w:val="Doc-text2"/>
        <w:ind w:left="0" w:firstLine="0"/>
      </w:pPr>
    </w:p>
    <w:p w14:paraId="41C11543" w14:textId="77777777" w:rsidR="00870F37" w:rsidRPr="004975A7" w:rsidRDefault="00870F37" w:rsidP="00870F37">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27597466"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CA076E">
        <w:rPr>
          <w:szCs w:val="20"/>
          <w:highlight w:val="green"/>
        </w:rPr>
        <w:t>Activation/deactivation is per serving cell.</w:t>
      </w:r>
      <w:r>
        <w:rPr>
          <w:szCs w:val="20"/>
        </w:rPr>
        <w:t xml:space="preserve">  </w:t>
      </w:r>
      <w:r w:rsidRPr="00CA076E">
        <w:rPr>
          <w:szCs w:val="20"/>
          <w:highlight w:val="cyan"/>
        </w:rPr>
        <w:t>FFS if the configuration is per cell or per MAC entity</w:t>
      </w:r>
      <w:r>
        <w:rPr>
          <w:szCs w:val="20"/>
        </w:rPr>
        <w:t xml:space="preserve"> </w:t>
      </w:r>
    </w:p>
    <w:p w14:paraId="2DD3245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t>2</w:t>
      </w:r>
      <w:r>
        <w:tab/>
      </w:r>
      <w:r w:rsidRPr="00EA29EC">
        <w:rPr>
          <w:highlight w:val="green"/>
        </w:rPr>
        <w:t xml:space="preserve">RAN2 will reuse the start timer formula of the </w:t>
      </w:r>
      <w:proofErr w:type="spellStart"/>
      <w:r w:rsidRPr="00EA29EC">
        <w:rPr>
          <w:highlight w:val="green"/>
        </w:rPr>
        <w:t>onDurationTimer</w:t>
      </w:r>
      <w:proofErr w:type="spellEnd"/>
      <w:r w:rsidRPr="00EA29EC">
        <w:rPr>
          <w:highlight w:val="green"/>
        </w:rPr>
        <w:t xml:space="preserve"> from UE C-DRX (including </w:t>
      </w:r>
      <w:proofErr w:type="spellStart"/>
      <w:r w:rsidRPr="00EA29EC">
        <w:rPr>
          <w:highlight w:val="green"/>
        </w:rPr>
        <w:t>SlotOffset</w:t>
      </w:r>
      <w:proofErr w:type="spellEnd"/>
      <w:r w:rsidRPr="00EA29EC">
        <w:rPr>
          <w:highlight w:val="green"/>
        </w:rPr>
        <w:t xml:space="preserve">) to specify the start of </w:t>
      </w:r>
      <w:proofErr w:type="spellStart"/>
      <w:r w:rsidRPr="00EA29EC">
        <w:rPr>
          <w:highlight w:val="green"/>
        </w:rPr>
        <w:t>cellDTX-onDurationTimer</w:t>
      </w:r>
      <w:proofErr w:type="spellEnd"/>
      <w:r w:rsidRPr="00EA29EC">
        <w:rPr>
          <w:highlight w:val="green"/>
        </w:rPr>
        <w:t xml:space="preserve"> (and </w:t>
      </w:r>
      <w:proofErr w:type="spellStart"/>
      <w:r w:rsidRPr="00EA29EC">
        <w:rPr>
          <w:highlight w:val="green"/>
        </w:rPr>
        <w:t>cellDRX-onDurationTimer</w:t>
      </w:r>
      <w:proofErr w:type="spellEnd"/>
      <w:r w:rsidRPr="00EA29EC">
        <w:rPr>
          <w:highlight w:val="green"/>
        </w:rPr>
        <w:t>) in 38.321.</w:t>
      </w:r>
    </w:p>
    <w:p w14:paraId="18266C7C" w14:textId="77777777" w:rsidR="00870F37" w:rsidRPr="00220071"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220071">
        <w:rPr>
          <w:highlight w:val="cyan"/>
        </w:rPr>
        <w:t>3</w:t>
      </w:r>
      <w:r w:rsidRPr="00220071">
        <w:rPr>
          <w:highlight w:val="cyan"/>
        </w:rPr>
        <w:tab/>
        <w:t xml:space="preserve">The gNB should ensures that there is at least partial overlapping between UE C-DRX on-duration and cell DTX/DRX on-duration.  It is up to network implementation to ensure the alignment.  We will capture this in stage 2 specification.  </w:t>
      </w:r>
    </w:p>
    <w:p w14:paraId="151C9815"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220071">
        <w:rPr>
          <w:highlight w:val="cyan"/>
        </w:rPr>
        <w:tab/>
        <w:t>Understanding is that alignment means that the cell DTX/DRX and C-DRX periodicity should be multiple of each other.   FFS if we anything needs to be specified in stage 3 (i.e. in IE description)</w:t>
      </w:r>
    </w:p>
    <w:p w14:paraId="0503189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4</w:t>
      </w:r>
      <w:r w:rsidRPr="00954B45">
        <w:rPr>
          <w:highlight w:val="cyan"/>
        </w:rPr>
        <w:tab/>
        <w:t>As a baseline legacy C-DRX reconfiguration is used to change UE C-DRX configuration once Cell DTX/DRX is activated/deactivated.</w:t>
      </w:r>
    </w:p>
    <w:p w14:paraId="62D37D8C" w14:textId="77777777" w:rsidR="00870F37" w:rsidRPr="00954B4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954B45">
        <w:rPr>
          <w:highlight w:val="cyan"/>
        </w:rPr>
        <w:t>5</w:t>
      </w:r>
      <w:r w:rsidRPr="00954B45">
        <w:rPr>
          <w:highlight w:val="cyan"/>
        </w:rPr>
        <w:tab/>
        <w:t xml:space="preserve">RAN2 specifies </w:t>
      </w:r>
      <w:proofErr w:type="spellStart"/>
      <w:r w:rsidRPr="00954B45">
        <w:rPr>
          <w:i/>
          <w:highlight w:val="cyan"/>
        </w:rPr>
        <w:t>cellDTX-onDurationTimer</w:t>
      </w:r>
      <w:proofErr w:type="spellEnd"/>
      <w:r w:rsidRPr="00954B45">
        <w:rPr>
          <w:highlight w:val="cyan"/>
        </w:rPr>
        <w:t xml:space="preserve"> (and </w:t>
      </w:r>
      <w:proofErr w:type="spellStart"/>
      <w:r w:rsidRPr="00954B45">
        <w:rPr>
          <w:i/>
          <w:highlight w:val="cyan"/>
        </w:rPr>
        <w:t>cellDRX-onDurationTimer</w:t>
      </w:r>
      <w:proofErr w:type="spellEnd"/>
      <w:r w:rsidRPr="00954B45">
        <w:rPr>
          <w:highlight w:val="cyan"/>
        </w:rPr>
        <w:t xml:space="preserve">) to have the same value range as UE C-DRX on-duration timer. </w:t>
      </w:r>
    </w:p>
    <w:p w14:paraId="6684472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6</w:t>
      </w:r>
      <w:r w:rsidRPr="00954B45">
        <w:rPr>
          <w:highlight w:val="cyan"/>
        </w:rPr>
        <w:tab/>
        <w:t xml:space="preserve">RAN2 specifies </w:t>
      </w:r>
      <w:proofErr w:type="spellStart"/>
      <w:r w:rsidRPr="00954B45">
        <w:rPr>
          <w:i/>
          <w:highlight w:val="cyan"/>
        </w:rPr>
        <w:t>cellDTX</w:t>
      </w:r>
      <w:proofErr w:type="spellEnd"/>
      <w:r w:rsidRPr="00954B45">
        <w:rPr>
          <w:i/>
          <w:highlight w:val="cyan"/>
        </w:rPr>
        <w:t>-Cycle</w:t>
      </w:r>
      <w:r w:rsidRPr="00954B45">
        <w:rPr>
          <w:highlight w:val="cyan"/>
        </w:rPr>
        <w:t xml:space="preserve"> (and </w:t>
      </w:r>
      <w:proofErr w:type="spellStart"/>
      <w:r w:rsidRPr="00954B45">
        <w:rPr>
          <w:i/>
          <w:highlight w:val="cyan"/>
        </w:rPr>
        <w:t>cellDRX</w:t>
      </w:r>
      <w:proofErr w:type="spellEnd"/>
      <w:r w:rsidRPr="00954B45">
        <w:rPr>
          <w:i/>
          <w:highlight w:val="cyan"/>
        </w:rPr>
        <w:t>-Cycle</w:t>
      </w:r>
      <w:r w:rsidRPr="00954B45">
        <w:rPr>
          <w:highlight w:val="cyan"/>
        </w:rPr>
        <w:t>) to have the same value range as UE C-DRX Long cycle.</w:t>
      </w:r>
      <w:r w:rsidRPr="00AC6564">
        <w:t xml:space="preserve"> </w:t>
      </w:r>
    </w:p>
    <w:p w14:paraId="7BA9FD67"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7</w:t>
      </w:r>
      <w:r w:rsidRPr="00954B45">
        <w:rPr>
          <w:highlight w:val="green"/>
        </w:rPr>
        <w:tab/>
        <w:t>Separate DTX and DRX configuration means that the features can be enabled separately (i.e. Cell DTX can be configured without Cell DRX)</w:t>
      </w:r>
    </w:p>
    <w:p w14:paraId="436B43A4"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8</w:t>
      </w:r>
      <w:r w:rsidRPr="00954B45">
        <w:rPr>
          <w:highlight w:val="cyan"/>
        </w:rPr>
        <w:tab/>
      </w:r>
      <w:r w:rsidRPr="00A81E62">
        <w:rPr>
          <w:highlight w:val="green"/>
        </w:rPr>
        <w:t>On-duration and Cycle parameters are common between cell DTX and DRX, when both are configured</w:t>
      </w:r>
      <w:r w:rsidRPr="00954B45">
        <w:rPr>
          <w:highlight w:val="cyan"/>
        </w:rPr>
        <w:t xml:space="preserve">.  FFS if we have different </w:t>
      </w:r>
      <w:r w:rsidRPr="00954B45">
        <w:rPr>
          <w:i/>
          <w:highlight w:val="cyan"/>
        </w:rPr>
        <w:t>start offset</w:t>
      </w:r>
      <w:r w:rsidRPr="00954B45">
        <w:rPr>
          <w:highlight w:val="cyan"/>
        </w:rPr>
        <w:t xml:space="preserve"> configuration for cell DTX and cell DRX</w:t>
      </w:r>
    </w:p>
    <w:p w14:paraId="050EC1B9"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9</w:t>
      </w:r>
      <w:r w:rsidRPr="00954B45">
        <w:rPr>
          <w:highlight w:val="cyan"/>
        </w:rPr>
        <w:tab/>
        <w:t>RAN2 will not introduce a MAC CE for cell DTX/DRX (de)activation</w:t>
      </w:r>
      <w:r w:rsidRPr="00AC6564">
        <w:t xml:space="preserve">. </w:t>
      </w:r>
      <w:r>
        <w:t xml:space="preserve"> </w:t>
      </w:r>
    </w:p>
    <w:p w14:paraId="222A933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10</w:t>
      </w:r>
      <w:r w:rsidRPr="00954B45">
        <w:rPr>
          <w:highlight w:val="cyan"/>
        </w:rPr>
        <w:tab/>
        <w:t xml:space="preserve">Confirm working assumption, </w:t>
      </w:r>
      <w:r w:rsidRPr="00A97859">
        <w:rPr>
          <w:highlight w:val="green"/>
        </w:rPr>
        <w:t>when the retransmission timer is running (if C-DRX is configured), the UE is expected to monitor PDCCH, like in legacy</w:t>
      </w:r>
      <w:r w:rsidRPr="00954B45">
        <w:rPr>
          <w:highlight w:val="cyan"/>
        </w:rPr>
        <w:t xml:space="preserve">.  It is up to the network </w:t>
      </w:r>
      <w:r w:rsidRPr="00954B45">
        <w:rPr>
          <w:highlight w:val="cyan"/>
        </w:rPr>
        <w:lastRenderedPageBreak/>
        <w:t xml:space="preserve">whether it schedules retransmissions out of the Cell DTX active period, i.e., </w:t>
      </w:r>
      <w:r w:rsidRPr="00A97859">
        <w:rPr>
          <w:highlight w:val="green"/>
        </w:rPr>
        <w:t>when the DRX retransmission timer is running, the UE should monitor PDCCH regardless of the Cell DTX</w:t>
      </w:r>
      <w:r w:rsidRPr="00954B45">
        <w:rPr>
          <w:highlight w:val="cyan"/>
        </w:rPr>
        <w:t>.</w:t>
      </w:r>
    </w:p>
    <w:p w14:paraId="565DDFD2" w14:textId="77777777" w:rsidR="00870F37" w:rsidRPr="00AC6564"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11</w:t>
      </w:r>
      <w:r w:rsidRPr="00954B45">
        <w:rPr>
          <w:highlight w:val="green"/>
        </w:rPr>
        <w:tab/>
        <w:t>We focus on the case where DTX in RRC can only be configured when C-DRX is configured.  We will not optimize for the case where C-DRX is not configured.</w:t>
      </w:r>
    </w:p>
    <w:p w14:paraId="6A606263" w14:textId="77777777" w:rsidR="00870F37" w:rsidRPr="00AC6564" w:rsidRDefault="00870F37" w:rsidP="00870F37">
      <w:pPr>
        <w:pStyle w:val="Doc-text2"/>
        <w:ind w:left="0" w:firstLine="0"/>
      </w:pPr>
    </w:p>
    <w:p w14:paraId="0EAB6DC6" w14:textId="77777777" w:rsidR="00870F37" w:rsidRPr="005B4CDD" w:rsidRDefault="00870F37" w:rsidP="00CA7C74">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AN2#123bis</w:t>
      </w:r>
    </w:p>
    <w:p w14:paraId="619EF76E"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A872123"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225DE1">
        <w:rPr>
          <w:rFonts w:ascii="Arial" w:eastAsia="MS Mincho" w:hAnsi="Arial"/>
          <w:szCs w:val="24"/>
          <w:highlight w:val="green"/>
          <w:lang w:eastAsia="en-GB"/>
        </w:rPr>
        <w:t>Cell DTX/DRX configuration is provided per Serving Cell</w:t>
      </w:r>
      <w:r w:rsidRPr="000A0C45">
        <w:rPr>
          <w:rFonts w:ascii="Arial" w:eastAsia="MS Mincho" w:hAnsi="Arial"/>
          <w:szCs w:val="24"/>
          <w:lang w:eastAsia="en-GB"/>
        </w:rPr>
        <w:t xml:space="preserve"> </w:t>
      </w:r>
      <w:r w:rsidRPr="00225DE1">
        <w:rPr>
          <w:rFonts w:ascii="Arial" w:eastAsia="MS Mincho" w:hAnsi="Arial"/>
          <w:szCs w:val="24"/>
          <w:highlight w:val="cyan"/>
          <w:lang w:eastAsia="en-GB"/>
        </w:rPr>
        <w:t>with the following restrictions:</w:t>
      </w:r>
    </w:p>
    <w:p w14:paraId="1D0EFDF4"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A maximum of two cell DTX/DRX patterns can be configured per MAC entity </w:t>
      </w:r>
    </w:p>
    <w:p w14:paraId="633142F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The two configured patterns are aligned, </w:t>
      </w:r>
    </w:p>
    <w:p w14:paraId="73E403C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r>
      <w:proofErr w:type="gramStart"/>
      <w:r w:rsidRPr="00225DE1">
        <w:rPr>
          <w:rFonts w:ascii="Arial" w:eastAsia="MS Mincho" w:hAnsi="Arial"/>
          <w:szCs w:val="24"/>
          <w:highlight w:val="cyan"/>
          <w:lang w:eastAsia="en-GB"/>
        </w:rPr>
        <w:t>The</w:t>
      </w:r>
      <w:proofErr w:type="gramEnd"/>
      <w:r w:rsidRPr="00225DE1">
        <w:rPr>
          <w:rFonts w:ascii="Arial" w:eastAsia="MS Mincho" w:hAnsi="Arial"/>
          <w:szCs w:val="24"/>
          <w:highlight w:val="cyan"/>
          <w:lang w:eastAsia="en-GB"/>
        </w:rPr>
        <w:t xml:space="preserve"> start and slot offset are common for the two patterns.</w:t>
      </w:r>
    </w:p>
    <w:p w14:paraId="0D72E781"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t>one periodicity is an integer multiple of the other.</w:t>
      </w:r>
    </w:p>
    <w:p w14:paraId="0C28087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A0C45">
        <w:rPr>
          <w:rFonts w:ascii="Arial" w:eastAsia="MS Mincho" w:hAnsi="Arial"/>
          <w:szCs w:val="24"/>
          <w:lang w:eastAsia="en-GB"/>
        </w:rPr>
        <w:t>2.</w:t>
      </w:r>
      <w:r w:rsidRPr="000A0C45">
        <w:rPr>
          <w:rFonts w:ascii="Arial" w:eastAsia="MS Mincho" w:hAnsi="Arial"/>
          <w:szCs w:val="24"/>
          <w:lang w:eastAsia="en-GB"/>
        </w:rPr>
        <w:tab/>
      </w:r>
      <w:r w:rsidRPr="00086438">
        <w:rPr>
          <w:rFonts w:ascii="Arial" w:eastAsia="MS Mincho" w:hAnsi="Arial"/>
          <w:szCs w:val="24"/>
          <w:highlight w:val="yellow"/>
          <w:lang w:eastAsia="en-GB"/>
        </w:rPr>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76D9BDCE" w14:textId="77777777" w:rsidR="00870F37" w:rsidRPr="00014A5F"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014A5F">
        <w:rPr>
          <w:rFonts w:ascii="Arial" w:eastAsia="MS Mincho" w:hAnsi="Arial"/>
          <w:szCs w:val="24"/>
          <w:highlight w:val="cyan"/>
          <w:lang w:eastAsia="en-GB"/>
        </w:rPr>
        <w:t>=&gt;</w:t>
      </w:r>
      <w:r w:rsidRPr="00014A5F">
        <w:rPr>
          <w:rFonts w:ascii="Arial" w:eastAsia="MS Mincho" w:hAnsi="Arial"/>
          <w:szCs w:val="24"/>
          <w:highlight w:val="cyan"/>
          <w:lang w:eastAsia="en-GB"/>
        </w:rPr>
        <w:tab/>
        <w:t>Rapporteur will specify the alignment in the field description in his CR (stage 3 alignment description)</w:t>
      </w:r>
    </w:p>
    <w:p w14:paraId="1A537C5A"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1.</w:t>
      </w:r>
      <w:r w:rsidRPr="006C0CD4">
        <w:rPr>
          <w:rFonts w:ascii="Arial" w:eastAsia="MS Mincho" w:hAnsi="Arial"/>
          <w:szCs w:val="24"/>
          <w:highlight w:val="green"/>
          <w:lang w:eastAsia="en-GB"/>
        </w:rPr>
        <w:tab/>
        <w:t>Introduce explicit activation/deactivation in RRC once DTX/DRX is configured (i.e. not for dynamic activation/deactivation).   This reverses previous agreement on implicit activation.</w:t>
      </w:r>
    </w:p>
    <w:p w14:paraId="0FD64D8F"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2.</w:t>
      </w:r>
      <w:r w:rsidRPr="006C0CD4">
        <w:rPr>
          <w:rFonts w:ascii="Arial" w:eastAsia="MS Mincho" w:hAnsi="Arial"/>
          <w:szCs w:val="24"/>
          <w:highlight w:val="green"/>
          <w:lang w:eastAsia="en-GB"/>
        </w:rPr>
        <w:tab/>
        <w:t xml:space="preserve">Start offset and slot offset configuration is also common between Cell DTX and Cell DRX when both are configured </w:t>
      </w:r>
    </w:p>
    <w:p w14:paraId="2B6A17A7"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3.</w:t>
      </w:r>
      <w:r w:rsidRPr="006C0CD4">
        <w:rPr>
          <w:rFonts w:ascii="Arial" w:eastAsia="MS Mincho" w:hAnsi="Arial"/>
          <w:szCs w:val="24"/>
          <w:highlight w:val="green"/>
          <w:lang w:eastAsia="en-GB"/>
        </w:rPr>
        <w:tab/>
        <w:t xml:space="preserve">Standalone cell DRX configuration is possible to configure  </w:t>
      </w:r>
    </w:p>
    <w:p w14:paraId="201A3E0F"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14A5F">
        <w:rPr>
          <w:rFonts w:ascii="Arial" w:eastAsia="MS Mincho" w:hAnsi="Arial"/>
          <w:szCs w:val="24"/>
          <w:highlight w:val="cyan"/>
          <w:lang w:eastAsia="en-GB"/>
        </w:rPr>
        <w:t>4.</w:t>
      </w:r>
      <w:r w:rsidRPr="00014A5F">
        <w:rPr>
          <w:rFonts w:ascii="Arial" w:eastAsia="MS Mincho" w:hAnsi="Arial"/>
          <w:szCs w:val="24"/>
          <w:highlight w:val="cyan"/>
          <w:lang w:eastAsia="en-GB"/>
        </w:rPr>
        <w:tab/>
        <w:t>Multiple configurations of Cell DTX/DRX are not pursued in Rel-18 for serving cell.</w:t>
      </w:r>
      <w:r w:rsidRPr="000A0C45">
        <w:rPr>
          <w:rFonts w:ascii="Arial" w:eastAsia="MS Mincho" w:hAnsi="Arial"/>
          <w:szCs w:val="24"/>
          <w:lang w:eastAsia="en-GB"/>
        </w:rPr>
        <w:t xml:space="preserve">  </w:t>
      </w:r>
    </w:p>
    <w:p w14:paraId="29CB7781" w14:textId="77777777" w:rsidR="00870F37" w:rsidRPr="009A12A6"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 xml:space="preserve">The rapporteur will implement all fields as optional and companies can review to see if there </w:t>
      </w:r>
      <w:proofErr w:type="gramStart"/>
      <w:r w:rsidRPr="009A12A6">
        <w:rPr>
          <w:rFonts w:ascii="Arial" w:eastAsia="MS Mincho" w:hAnsi="Arial"/>
          <w:szCs w:val="24"/>
          <w:highlight w:val="cyan"/>
          <w:lang w:eastAsia="en-GB"/>
        </w:rPr>
        <w:t>is</w:t>
      </w:r>
      <w:proofErr w:type="gramEnd"/>
      <w:r w:rsidRPr="009A12A6">
        <w:rPr>
          <w:rFonts w:ascii="Arial" w:eastAsia="MS Mincho" w:hAnsi="Arial"/>
          <w:szCs w:val="24"/>
          <w:highlight w:val="cyan"/>
          <w:lang w:eastAsia="en-GB"/>
        </w:rPr>
        <w:t xml:space="preserve"> any issues (</w:t>
      </w:r>
      <w:proofErr w:type="spellStart"/>
      <w:r w:rsidRPr="009A12A6">
        <w:rPr>
          <w:rFonts w:ascii="Arial" w:eastAsia="MS Mincho" w:hAnsi="Arial"/>
          <w:szCs w:val="24"/>
          <w:highlight w:val="cyan"/>
          <w:lang w:eastAsia="en-GB"/>
        </w:rPr>
        <w:t>cellDTX</w:t>
      </w:r>
      <w:proofErr w:type="spellEnd"/>
      <w:r w:rsidRPr="009A12A6">
        <w:rPr>
          <w:rFonts w:ascii="Arial" w:eastAsia="MS Mincho" w:hAnsi="Arial"/>
          <w:szCs w:val="24"/>
          <w:highlight w:val="cyan"/>
          <w:lang w:eastAsia="en-GB"/>
        </w:rPr>
        <w:t xml:space="preserve">-config)  </w:t>
      </w:r>
    </w:p>
    <w:p w14:paraId="7DB4503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Rapporteurs will capture it in RRC (the focus was on the case where cell DTX in RRC can only be configured when C-DRX is configured)</w:t>
      </w:r>
    </w:p>
    <w:p w14:paraId="09769C0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green"/>
          <w:lang w:eastAsia="en-GB"/>
        </w:rPr>
        <w:t>1.</w:t>
      </w:r>
      <w:r w:rsidRPr="00FF70C4">
        <w:rPr>
          <w:rFonts w:ascii="Arial" w:eastAsia="MS Mincho" w:hAnsi="Arial"/>
          <w:szCs w:val="24"/>
          <w:highlight w:val="green"/>
          <w:lang w:eastAsia="en-GB"/>
        </w:rPr>
        <w:tab/>
        <w:t>The case that Cell DRX activation is received between delivering a configured grant to the HARQ entity and HARQ processing for the CGO will not be addressed by RAN2, as it is not valid for the MAC model.</w:t>
      </w:r>
      <w:r w:rsidRPr="000A0C45">
        <w:rPr>
          <w:rFonts w:ascii="Arial" w:eastAsia="MS Mincho" w:hAnsi="Arial"/>
          <w:szCs w:val="24"/>
          <w:lang w:eastAsia="en-GB"/>
        </w:rPr>
        <w:t xml:space="preserve">  </w:t>
      </w:r>
    </w:p>
    <w:p w14:paraId="264CCC87" w14:textId="77777777" w:rsidR="00870F37" w:rsidRPr="000A0C45" w:rsidRDefault="00870F37" w:rsidP="00870F37"/>
    <w:p w14:paraId="6B4F26EA" w14:textId="77777777" w:rsidR="00870F37" w:rsidRPr="002C6F29" w:rsidRDefault="00870F37" w:rsidP="00870F37">
      <w:pPr>
        <w:keepNext/>
        <w:keepLines/>
        <w:numPr>
          <w:ilvl w:val="2"/>
          <w:numId w:val="0"/>
        </w:numPr>
        <w:spacing w:before="120"/>
        <w:ind w:left="720" w:hanging="720"/>
        <w:outlineLvl w:val="2"/>
        <w:rPr>
          <w:rFonts w:ascii="Arial" w:eastAsia="MS Mincho" w:hAnsi="Arial"/>
          <w:sz w:val="22"/>
          <w:szCs w:val="22"/>
        </w:rPr>
      </w:pPr>
      <w:r w:rsidRPr="002C6F29">
        <w:rPr>
          <w:rFonts w:ascii="Arial" w:hAnsi="Arial"/>
          <w:sz w:val="22"/>
          <w:szCs w:val="22"/>
        </w:rPr>
        <w:t>Others</w:t>
      </w:r>
    </w:p>
    <w:p w14:paraId="5694D0F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621C4F0" w14:textId="77777777" w:rsidR="00870F37" w:rsidRPr="00FF70C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yellow"/>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FF70C4">
        <w:rPr>
          <w:rFonts w:ascii="Arial" w:eastAsia="MS Mincho" w:hAnsi="Arial"/>
          <w:szCs w:val="24"/>
          <w:highlight w:val="green"/>
          <w:lang w:eastAsia="en-GB"/>
        </w:rPr>
        <w:t>Design a new MAC CE for activating/deactivating SP CSI report configurations</w:t>
      </w:r>
      <w:r w:rsidRPr="000A0C45">
        <w:rPr>
          <w:rFonts w:ascii="Arial" w:eastAsia="MS Mincho" w:hAnsi="Arial"/>
          <w:szCs w:val="24"/>
          <w:lang w:eastAsia="en-GB"/>
        </w:rPr>
        <w:t xml:space="preserve"> </w:t>
      </w:r>
      <w:r w:rsidRPr="00FF70C4">
        <w:rPr>
          <w:rFonts w:ascii="Arial" w:eastAsia="MS Mincho" w:hAnsi="Arial"/>
          <w:szCs w:val="24"/>
          <w:highlight w:val="yellow"/>
          <w:lang w:eastAsia="en-GB"/>
        </w:rPr>
        <w:t xml:space="preserve">and selecting N out of L </w:t>
      </w:r>
      <w:proofErr w:type="spellStart"/>
      <w:r w:rsidRPr="00FF70C4">
        <w:rPr>
          <w:rFonts w:ascii="Arial" w:eastAsia="MS Mincho" w:hAnsi="Arial"/>
          <w:szCs w:val="24"/>
          <w:highlight w:val="yellow"/>
          <w:lang w:eastAsia="en-GB"/>
        </w:rPr>
        <w:t>subconfigurations</w:t>
      </w:r>
      <w:proofErr w:type="spellEnd"/>
      <w:r w:rsidRPr="00FF70C4">
        <w:rPr>
          <w:rFonts w:ascii="Arial" w:eastAsia="MS Mincho" w:hAnsi="Arial"/>
          <w:szCs w:val="24"/>
          <w:highlight w:val="yellow"/>
          <w:lang w:eastAsia="en-GB"/>
        </w:rPr>
        <w:t xml:space="preserve"> for each CSI </w:t>
      </w:r>
      <w:proofErr w:type="spellStart"/>
      <w:r w:rsidRPr="00FF70C4">
        <w:rPr>
          <w:rFonts w:ascii="Arial" w:eastAsia="MS Mincho" w:hAnsi="Arial"/>
          <w:szCs w:val="24"/>
          <w:highlight w:val="yellow"/>
          <w:lang w:eastAsia="en-GB"/>
        </w:rPr>
        <w:t>reportconfiguration</w:t>
      </w:r>
      <w:proofErr w:type="spellEnd"/>
      <w:r w:rsidRPr="00FF70C4">
        <w:rPr>
          <w:rFonts w:ascii="Arial" w:eastAsia="MS Mincho" w:hAnsi="Arial"/>
          <w:szCs w:val="24"/>
          <w:highlight w:val="yellow"/>
          <w:lang w:eastAsia="en-GB"/>
        </w:rPr>
        <w:t>.</w:t>
      </w:r>
    </w:p>
    <w:p w14:paraId="788CF4EA"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yellow"/>
          <w:lang w:eastAsia="en-GB"/>
        </w:rPr>
        <w:t>2.</w:t>
      </w:r>
      <w:r w:rsidRPr="00FF70C4">
        <w:rPr>
          <w:rFonts w:ascii="Arial" w:eastAsia="MS Mincho" w:hAnsi="Arial"/>
          <w:szCs w:val="24"/>
          <w:highlight w:val="yellow"/>
          <w:lang w:eastAsia="en-GB"/>
        </w:rPr>
        <w:tab/>
        <w:t>The new MAC CE can be used to activate/deactivate configuration and sub-configuration. One new bit per sub-configuration will be added to activate/deactivate.</w:t>
      </w:r>
      <w:r w:rsidRPr="000A0C45">
        <w:rPr>
          <w:rFonts w:ascii="Arial" w:eastAsia="MS Mincho" w:hAnsi="Arial"/>
          <w:szCs w:val="24"/>
          <w:lang w:eastAsia="en-GB"/>
        </w:rPr>
        <w:t xml:space="preserve">  </w:t>
      </w:r>
    </w:p>
    <w:p w14:paraId="529CAB05" w14:textId="77777777" w:rsidR="00870F37" w:rsidRDefault="00870F37" w:rsidP="00870F37">
      <w:pPr>
        <w:rPr>
          <w:rFonts w:eastAsia="等线"/>
          <w:lang w:val="en-US" w:eastAsia="zh-CN"/>
        </w:rPr>
      </w:pPr>
    </w:p>
    <w:p w14:paraId="537A597E" w14:textId="5AAA29CB" w:rsidR="002C6F29" w:rsidRDefault="002C6F29" w:rsidP="002C6F29">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AN2#12</w:t>
      </w:r>
      <w:r w:rsidR="00543D39">
        <w:rPr>
          <w:rFonts w:eastAsia="等线"/>
          <w:lang w:eastAsia="zh-CN"/>
        </w:rPr>
        <w:t>4</w:t>
      </w:r>
    </w:p>
    <w:p w14:paraId="4D57054B" w14:textId="77777777" w:rsidR="00543D39" w:rsidRDefault="00543D39" w:rsidP="00543D39">
      <w:pPr>
        <w:pStyle w:val="Doc-text2"/>
        <w:pBdr>
          <w:top w:val="single" w:sz="4" w:space="1" w:color="auto"/>
          <w:left w:val="single" w:sz="4" w:space="4" w:color="auto"/>
          <w:bottom w:val="single" w:sz="4" w:space="1" w:color="auto"/>
          <w:right w:val="single" w:sz="4" w:space="4" w:color="auto"/>
        </w:pBdr>
        <w:rPr>
          <w:b/>
          <w:bCs/>
        </w:rPr>
      </w:pPr>
      <w:r>
        <w:rPr>
          <w:b/>
          <w:bCs/>
        </w:rPr>
        <w:t>Agreements on RRC open issues:</w:t>
      </w:r>
    </w:p>
    <w:p w14:paraId="1E72FA4C"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Confirm no other features have legacy impact (for cell selection and reselection purposes)</w:t>
      </w:r>
    </w:p>
    <w:p w14:paraId="3BF8E63D"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 xml:space="preserve">Refer to UE capability of cell DTX/DRX (NES Cell DTX/DRX) </w:t>
      </w:r>
    </w:p>
    <w:p w14:paraId="56A58794"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i/>
          <w:iCs/>
          <w:highlight w:val="cyan"/>
        </w:rPr>
      </w:pPr>
      <w:r w:rsidRPr="00904FFE">
        <w:rPr>
          <w:rStyle w:val="afe"/>
          <w:highlight w:val="cyan"/>
        </w:rPr>
        <w:t>Add a flag to event configuration (as in the current running CR) for NES specific CHO execution</w:t>
      </w:r>
    </w:p>
    <w:p w14:paraId="274F154E" w14:textId="77777777" w:rsidR="00543D39" w:rsidRDefault="00543D39" w:rsidP="00543D39">
      <w:pPr>
        <w:pStyle w:val="Doc-text2"/>
      </w:pPr>
    </w:p>
    <w:p w14:paraId="43832BF0" w14:textId="77777777" w:rsidR="00FD1BA5" w:rsidRDefault="00FD1BA5" w:rsidP="00FD1BA5">
      <w:pPr>
        <w:pStyle w:val="Doc-text2"/>
        <w:pBdr>
          <w:top w:val="single" w:sz="4" w:space="1" w:color="auto"/>
          <w:left w:val="single" w:sz="4" w:space="4" w:color="auto"/>
          <w:bottom w:val="single" w:sz="4" w:space="1" w:color="auto"/>
          <w:right w:val="single" w:sz="4" w:space="4" w:color="auto"/>
        </w:pBdr>
        <w:rPr>
          <w:b/>
          <w:bCs/>
        </w:rPr>
      </w:pPr>
      <w:r>
        <w:rPr>
          <w:b/>
          <w:bCs/>
        </w:rPr>
        <w:lastRenderedPageBreak/>
        <w:t>Agreements on MAC open issues</w:t>
      </w:r>
    </w:p>
    <w:p w14:paraId="1A397007" w14:textId="77777777" w:rsidR="00FD1BA5" w:rsidRPr="00904FFE"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904FFE">
        <w:rPr>
          <w:highlight w:val="cyan"/>
        </w:rPr>
        <w:t>It is up to RAN1 whether to allow partial transmission of a configured grant bundle in case a part of the bundle overlaps with cell DRX Active Period</w:t>
      </w:r>
    </w:p>
    <w:p w14:paraId="288B8E37"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sidRPr="00E87080">
        <w:rPr>
          <w:highlight w:val="green"/>
        </w:rPr>
        <w:t>As a baseline, add the implementation in section 3.2 (</w:t>
      </w:r>
      <w:hyperlink r:id="rId15" w:history="1">
        <w:r w:rsidRPr="00E87080">
          <w:rPr>
            <w:rStyle w:val="aa"/>
            <w:highlight w:val="green"/>
          </w:rPr>
          <w:t>R2-</w:t>
        </w:r>
      </w:hyperlink>
      <w:r w:rsidRPr="00E87080">
        <w:rPr>
          <w:highlight w:val="green"/>
        </w:rPr>
        <w:t xml:space="preserve"> 2313021) for the Enhanced SP CSI reporting on PUCCH Activation/Deactivation MAC CE into the TS 38.321 running CR (i.e., in sections and 6.1.3 and 5.18).</w:t>
      </w:r>
    </w:p>
    <w:p w14:paraId="0CDBAD60"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t>The following timers are not affected by activation of cell DRX/DTX. Proper configuration of these timers (i.e., to account for cell DRX and non-active period) is left to NW implementation.</w:t>
      </w:r>
    </w:p>
    <w:p w14:paraId="6296E3B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xml:space="preserve">- CG timer </w:t>
      </w:r>
    </w:p>
    <w:p w14:paraId="51AB9569"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CG retransmission timer</w:t>
      </w:r>
    </w:p>
    <w:p w14:paraId="3E8FCF7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xml:space="preserve">- </w:t>
      </w:r>
      <w:proofErr w:type="spellStart"/>
      <w:r w:rsidRPr="00E87080">
        <w:rPr>
          <w:highlight w:val="cyan"/>
        </w:rPr>
        <w:t>SCellDeativation</w:t>
      </w:r>
      <w:proofErr w:type="spellEnd"/>
      <w:r w:rsidRPr="00E87080">
        <w:rPr>
          <w:highlight w:val="cyan"/>
        </w:rPr>
        <w:t xml:space="preserve"> timer </w:t>
      </w:r>
    </w:p>
    <w:p w14:paraId="2E17A8EE"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BWP-</w:t>
      </w:r>
      <w:proofErr w:type="spellStart"/>
      <w:r w:rsidRPr="00E87080">
        <w:rPr>
          <w:highlight w:val="cyan"/>
        </w:rPr>
        <w:t>InactivityTimer</w:t>
      </w:r>
      <w:proofErr w:type="spellEnd"/>
      <w:r w:rsidRPr="00E87080">
        <w:rPr>
          <w:highlight w:val="cyan"/>
        </w:rPr>
        <w:t xml:space="preserve"> </w:t>
      </w:r>
    </w:p>
    <w:p w14:paraId="5CB886FB" w14:textId="77777777" w:rsidR="00FD1BA5" w:rsidRDefault="00FD1BA5" w:rsidP="00FD1BA5">
      <w:pPr>
        <w:pStyle w:val="Doc-text2"/>
        <w:pBdr>
          <w:top w:val="single" w:sz="4" w:space="1" w:color="auto"/>
          <w:left w:val="single" w:sz="4" w:space="4" w:color="auto"/>
          <w:bottom w:val="single" w:sz="4" w:space="1" w:color="auto"/>
          <w:right w:val="single" w:sz="4" w:space="4" w:color="auto"/>
        </w:pBdr>
        <w:ind w:left="1259" w:firstLine="0"/>
      </w:pPr>
      <w:r w:rsidRPr="00E87080">
        <w:rPr>
          <w:highlight w:val="cyan"/>
        </w:rPr>
        <w:t>- C-DRX timers</w:t>
      </w:r>
      <w:r>
        <w:t xml:space="preserve"> </w:t>
      </w:r>
    </w:p>
    <w:p w14:paraId="2E1F20D4"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t xml:space="preserve">No new timer as a Cell DTX/DRX specific UE inactivity timer is introduced. </w:t>
      </w:r>
      <w:r w:rsidRPr="00E87080">
        <w:rPr>
          <w:highlight w:val="green"/>
        </w:rPr>
        <w:tab/>
        <w:t>The UE already monitors PDCCH during the non-active period when C-DRX retransmission timer is running, during RACH and when SR is pending.</w:t>
      </w:r>
    </w:p>
    <w:p w14:paraId="7B3B3017" w14:textId="77777777" w:rsidR="00FD1BA5" w:rsidRDefault="00FD1BA5" w:rsidP="00FD1BA5">
      <w:pPr>
        <w:pStyle w:val="Doc-text2"/>
        <w:ind w:left="1619" w:firstLine="0"/>
      </w:pPr>
    </w:p>
    <w:p w14:paraId="0CA4EB2A" w14:textId="77777777" w:rsidR="00CD7A5C" w:rsidRDefault="00CD7A5C" w:rsidP="00CD7A5C">
      <w:pPr>
        <w:pStyle w:val="Doc-text2"/>
      </w:pPr>
    </w:p>
    <w:p w14:paraId="2DDE4EE6" w14:textId="77777777" w:rsidR="00CD7A5C" w:rsidRDefault="00CD7A5C" w:rsidP="00CD7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RAN2 UE capabilities </w:t>
      </w:r>
    </w:p>
    <w:p w14:paraId="4485A093"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(e.g. nesBasedCondHandoverWithDCI-r18) is defined to identify Rel-18 UEs supporting NES CHO execution condition based on source cell NES mode via DCI format 2_9, and the UE indicating support of this feature shall also indicate the support of condHandover-r16.</w:t>
      </w:r>
    </w:p>
    <w:p w14:paraId="556E0B22"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(e.g. eventA4BasedCondHandoverNES-r18) is defined to identify Rel-18 UEs supporting Event A4 to be configured as a CHO execution condition, and the UE indicating support of this feature shall also indicate the support of condHandover-r16</w:t>
      </w:r>
    </w:p>
    <w:p w14:paraId="79ADE81F" w14:textId="1C363822"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The UE capability of eventA4BasedCondHandoverNES-r18 is per band, no FDD-TDD DIFF, and no FR1-FR2 DIFF. UE shall set the capability value consistently for all FDD-FR1 bands, all TDD-FR1 bands, all TDD-F</w:t>
      </w:r>
      <w:r w:rsidRPr="00316F27">
        <w:rPr>
          <w:highlight w:val="cyan"/>
        </w:rPr>
        <w:t>R2-1</w:t>
      </w:r>
      <w:r w:rsidRPr="00C67E87">
        <w:rPr>
          <w:highlight w:val="cyan"/>
        </w:rPr>
        <w:t xml:space="preserve"> bands and all TDD-F</w:t>
      </w:r>
      <w:r w:rsidRPr="00316F27">
        <w:rPr>
          <w:highlight w:val="cyan"/>
        </w:rPr>
        <w:t>R2-2</w:t>
      </w:r>
      <w:r w:rsidRPr="00C67E87">
        <w:rPr>
          <w:highlight w:val="cyan"/>
        </w:rPr>
        <w:t xml:space="preserve"> bands respectively</w:t>
      </w:r>
    </w:p>
    <w:p w14:paraId="4F8510CE" w14:textId="39E1378E" w:rsidR="00543D39" w:rsidRPr="00887FD5" w:rsidRDefault="00CD7A5C" w:rsidP="00543D39">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From UE capability’s perspective, the supported number of cell DTX/DRX patterns per cell group is two, regardless of each pattern is for cell DTX only, cell DRX only, or both (i.e. remove the FFS)</w:t>
      </w:r>
    </w:p>
    <w:p w14:paraId="56EC8DA8" w14:textId="77777777" w:rsidR="00003264" w:rsidRDefault="00003264" w:rsidP="00003264">
      <w:pPr>
        <w:pStyle w:val="Doc-text2"/>
        <w:rPr>
          <w:lang w:val="en-US"/>
        </w:rPr>
      </w:pPr>
    </w:p>
    <w:p w14:paraId="4C03432B"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343499FF"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lang w:val="en-US"/>
        </w:rPr>
      </w:pPr>
      <w:r w:rsidRPr="00E87080">
        <w:rPr>
          <w:highlight w:val="yellow"/>
          <w:lang w:val="en-US"/>
        </w:rPr>
        <w:t xml:space="preserve">1. </w:t>
      </w:r>
      <w:r w:rsidRPr="00E87080">
        <w:rPr>
          <w:highlight w:val="yellow"/>
          <w:lang w:val="en-US"/>
        </w:rPr>
        <w:tab/>
        <w:t>RAN2 will capture the NES-RNTI monitoring behavior in February meeting (once discussion is finalized)</w:t>
      </w:r>
    </w:p>
    <w:p w14:paraId="7726DA79" w14:textId="77777777" w:rsidR="00887FD5" w:rsidRPr="00887FD5" w:rsidRDefault="00887FD5" w:rsidP="00887FD5">
      <w:pPr>
        <w:tabs>
          <w:tab w:val="left" w:pos="1622"/>
        </w:tabs>
        <w:spacing w:before="40" w:after="0"/>
        <w:rPr>
          <w:rFonts w:ascii="Arial" w:eastAsia="MS Mincho" w:hAnsi="Arial"/>
          <w:szCs w:val="24"/>
          <w:lang w:eastAsia="en-GB"/>
        </w:rPr>
      </w:pPr>
    </w:p>
    <w:p w14:paraId="28985E0D"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622" w:hanging="363"/>
        <w:rPr>
          <w:rFonts w:ascii="Arial" w:eastAsia="MS Mincho" w:hAnsi="Arial"/>
          <w:b/>
          <w:bCs/>
          <w:szCs w:val="24"/>
          <w:lang w:eastAsia="en-GB"/>
        </w:rPr>
      </w:pPr>
      <w:r w:rsidRPr="00887FD5">
        <w:rPr>
          <w:rFonts w:ascii="Arial" w:eastAsia="MS Mincho" w:hAnsi="Arial"/>
          <w:b/>
          <w:bCs/>
          <w:szCs w:val="24"/>
          <w:lang w:eastAsia="en-GB"/>
        </w:rPr>
        <w:t>Agreements</w:t>
      </w:r>
    </w:p>
    <w:p w14:paraId="785CE99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 xml:space="preserve">Confirm WA emergency call: UE triggers RACH upon determining that an emergency call is initiated during the cell DTX/DRX </w:t>
      </w:r>
      <w:proofErr w:type="gramStart"/>
      <w:r w:rsidRPr="00887FD5">
        <w:rPr>
          <w:rFonts w:ascii="Calibri" w:eastAsia="Calibri" w:hAnsi="Calibri" w:cs="Calibri"/>
          <w:sz w:val="22"/>
          <w:szCs w:val="22"/>
          <w:highlight w:val="green"/>
          <w:lang w:val="en-US"/>
        </w:rPr>
        <w:t>non active</w:t>
      </w:r>
      <w:proofErr w:type="gramEnd"/>
      <w:r w:rsidRPr="00887FD5">
        <w:rPr>
          <w:rFonts w:ascii="Calibri" w:eastAsia="Calibri" w:hAnsi="Calibri" w:cs="Calibri"/>
          <w:sz w:val="22"/>
          <w:szCs w:val="22"/>
          <w:highlight w:val="green"/>
          <w:lang w:val="en-US"/>
        </w:rPr>
        <w:t xml:space="preserve"> period</w:t>
      </w:r>
    </w:p>
    <w:p w14:paraId="1F795F8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In running MAC CR, capture a NOTE similar to section 5.3.13.2 of TS 38.331 (i.e., “NOTE: How the MAC layer in the UE is aware of an ongoing emergency service is up to UE implementation.”)</w:t>
      </w:r>
    </w:p>
    <w:p w14:paraId="0E51AD36"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cyan"/>
          <w:lang w:val="en-US"/>
        </w:rPr>
      </w:pPr>
      <w:r w:rsidRPr="00887FD5">
        <w:rPr>
          <w:rFonts w:ascii="Calibri" w:eastAsia="Calibri" w:hAnsi="Calibri" w:cs="Calibri"/>
          <w:sz w:val="22"/>
          <w:szCs w:val="22"/>
          <w:highlight w:val="cyan"/>
          <w:lang w:val="en-US"/>
        </w:rPr>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6E6E9FD2"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lang w:val="en-US"/>
        </w:rPr>
      </w:pPr>
      <w:r w:rsidRPr="00887FD5">
        <w:rPr>
          <w:rFonts w:ascii="Calibri" w:eastAsia="Calibri" w:hAnsi="Calibri" w:cs="Calibri"/>
          <w:sz w:val="22"/>
          <w:szCs w:val="22"/>
          <w:highlight w:val="cyan"/>
          <w:lang w:val="en-US"/>
        </w:rPr>
        <w:t>No need to restrict that the cell DRX is only configured when C-DRX is configured</w:t>
      </w:r>
    </w:p>
    <w:p w14:paraId="24F625C4"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Adopt the TP to capture the RAN2 requirement “UE doesn’t monitor PDCCH for dynamic grants/assignments for new transmissions during Cell DTX non-active period, even if the UE is in C-DRX Active time”.</w:t>
      </w:r>
    </w:p>
    <w:p w14:paraId="12138807"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259"/>
        <w:rPr>
          <w:rFonts w:ascii="Arial" w:eastAsia="MS Mincho" w:hAnsi="Arial"/>
          <w:szCs w:val="24"/>
          <w:highlight w:val="green"/>
          <w:lang w:eastAsia="en-GB"/>
        </w:rPr>
      </w:pPr>
      <w:r w:rsidRPr="00887FD5">
        <w:rPr>
          <w:rFonts w:ascii="Arial" w:eastAsia="MS Mincho" w:hAnsi="Arial"/>
          <w:szCs w:val="24"/>
          <w:highlight w:val="green"/>
          <w:lang w:eastAsia="en-GB"/>
        </w:rPr>
        <w:t>For each Serving Cell configured with cell DTX and each configured downlink assignment, the MAC entity may:</w:t>
      </w:r>
    </w:p>
    <w:p w14:paraId="12563463"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if cell DTX operation is activated and the Serving Cell is not in the cell DTX Active Period:</w:t>
      </w:r>
    </w:p>
    <w:p w14:paraId="10246427"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u w:val="single"/>
          <w:lang w:val="en-US"/>
        </w:rPr>
      </w:pPr>
      <w:r w:rsidRPr="00887FD5">
        <w:rPr>
          <w:rFonts w:ascii="Calibri" w:eastAsia="Calibri" w:hAnsi="Calibri" w:cs="Calibri"/>
          <w:sz w:val="22"/>
          <w:szCs w:val="22"/>
          <w:highlight w:val="green"/>
          <w:u w:val="single"/>
          <w:lang w:val="en-US"/>
        </w:rPr>
        <w:lastRenderedPageBreak/>
        <w:t>not monitor PDCCH irrespective of the requirements of clause 5.7, unless explicitly stated otherwise in this clause;</w:t>
      </w:r>
    </w:p>
    <w:p w14:paraId="5F22E9C2" w14:textId="77777777" w:rsidR="00887FD5" w:rsidRPr="00887FD5" w:rsidRDefault="00887FD5" w:rsidP="00887FD5">
      <w:pPr>
        <w:spacing w:before="40" w:after="160" w:line="256" w:lineRule="auto"/>
        <w:rPr>
          <w:rFonts w:ascii="Calibri" w:eastAsia="Calibri" w:hAnsi="Calibri"/>
          <w:b/>
          <w:bCs/>
          <w:kern w:val="2"/>
          <w:sz w:val="22"/>
          <w:szCs w:val="22"/>
          <w:lang w:eastAsia="en-GB"/>
        </w:rPr>
      </w:pPr>
    </w:p>
    <w:p w14:paraId="0EE76D83" w14:textId="77777777" w:rsidR="00D3060B" w:rsidRDefault="00D3060B" w:rsidP="00D3060B">
      <w:pPr>
        <w:pStyle w:val="Doc-title"/>
        <w:pBdr>
          <w:top w:val="single" w:sz="4" w:space="1" w:color="auto"/>
          <w:left w:val="single" w:sz="4" w:space="4" w:color="auto"/>
          <w:bottom w:val="single" w:sz="4" w:space="1" w:color="auto"/>
          <w:right w:val="single" w:sz="4" w:space="4" w:color="auto"/>
        </w:pBdr>
        <w:ind w:left="2518"/>
        <w:rPr>
          <w:b/>
          <w:bCs/>
          <w:lang w:val="en-GB"/>
        </w:rPr>
      </w:pPr>
      <w:r>
        <w:rPr>
          <w:b/>
          <w:bCs/>
        </w:rPr>
        <w:t xml:space="preserve">Agreements </w:t>
      </w:r>
    </w:p>
    <w:p w14:paraId="5F6102BF" w14:textId="77777777" w:rsidR="00D3060B" w:rsidRPr="007C1A92" w:rsidRDefault="00D3060B" w:rsidP="00D3060B">
      <w:pPr>
        <w:pStyle w:val="Doc-text2"/>
        <w:numPr>
          <w:ilvl w:val="0"/>
          <w:numId w:val="25"/>
        </w:numPr>
        <w:pBdr>
          <w:top w:val="single" w:sz="4" w:space="1" w:color="auto"/>
          <w:left w:val="single" w:sz="4" w:space="4" w:color="auto"/>
          <w:bottom w:val="single" w:sz="4" w:space="1" w:color="auto"/>
          <w:right w:val="single" w:sz="4" w:space="4" w:color="auto"/>
        </w:pBdr>
        <w:rPr>
          <w:highlight w:val="cyan"/>
        </w:rPr>
      </w:pPr>
      <w:r w:rsidRPr="007C1A92">
        <w:rPr>
          <w:highlight w:val="cyan"/>
        </w:rPr>
        <w:t>We will not optimize for the case where DTX/DRX is activated simultaneously with multicast/broadcast</w:t>
      </w:r>
    </w:p>
    <w:p w14:paraId="6106A0C4" w14:textId="77777777" w:rsidR="00003264" w:rsidRDefault="00003264" w:rsidP="00543D39">
      <w:pPr>
        <w:rPr>
          <w:lang w:eastAsia="zh-CN"/>
        </w:rPr>
      </w:pPr>
    </w:p>
    <w:p w14:paraId="1DC82087" w14:textId="77777777" w:rsidR="000B07EC" w:rsidRPr="000B07EC" w:rsidRDefault="000B07EC" w:rsidP="000B07EC">
      <w:pPr>
        <w:tabs>
          <w:tab w:val="left" w:pos="1622"/>
        </w:tabs>
        <w:spacing w:before="40" w:after="0"/>
        <w:ind w:left="1622" w:hanging="363"/>
        <w:rPr>
          <w:rFonts w:ascii="Arial" w:eastAsia="MS Mincho" w:hAnsi="Arial"/>
          <w:b/>
          <w:bCs/>
          <w:szCs w:val="24"/>
          <w:lang w:eastAsia="en-GB"/>
        </w:rPr>
      </w:pPr>
      <w:r w:rsidRPr="000B07EC">
        <w:rPr>
          <w:rFonts w:ascii="Arial" w:eastAsia="MS Mincho" w:hAnsi="Arial"/>
          <w:b/>
          <w:bCs/>
          <w:szCs w:val="24"/>
          <w:lang w:eastAsia="en-GB"/>
        </w:rPr>
        <w:t xml:space="preserve">Agreements </w:t>
      </w:r>
    </w:p>
    <w:p w14:paraId="21948DFF" w14:textId="77777777" w:rsidR="000B07EC" w:rsidRPr="000B07EC" w:rsidRDefault="000B07EC" w:rsidP="000B07EC">
      <w:pPr>
        <w:tabs>
          <w:tab w:val="left" w:pos="1622"/>
        </w:tabs>
        <w:spacing w:before="40" w:after="0"/>
        <w:ind w:left="1622" w:hanging="363"/>
        <w:rPr>
          <w:rFonts w:ascii="Arial" w:eastAsia="MS Mincho" w:hAnsi="Arial"/>
          <w:szCs w:val="24"/>
          <w:lang w:eastAsia="en-GB"/>
        </w:rPr>
      </w:pPr>
      <w:r w:rsidRPr="000B07EC">
        <w:rPr>
          <w:rFonts w:ascii="Arial" w:eastAsia="MS Mincho" w:hAnsi="Arial"/>
          <w:szCs w:val="24"/>
          <w:highlight w:val="cyan"/>
          <w:lang w:eastAsia="en-GB"/>
        </w:rPr>
        <w:t>1.</w:t>
      </w:r>
      <w:r w:rsidRPr="000B07EC">
        <w:rPr>
          <w:rFonts w:ascii="Arial" w:eastAsia="MS Mincho" w:hAnsi="Arial"/>
          <w:szCs w:val="24"/>
          <w:highlight w:val="cyan"/>
          <w:lang w:eastAsia="en-GB"/>
        </w:rPr>
        <w:tab/>
        <w:t xml:space="preserve">Legacy MAC CE can be used when activating only configuration without sub-configuration and </w:t>
      </w:r>
      <w:r w:rsidRPr="000B07EC">
        <w:rPr>
          <w:rFonts w:ascii="Arial" w:eastAsia="MS Mincho" w:hAnsi="Arial"/>
          <w:szCs w:val="24"/>
          <w:highlight w:val="green"/>
          <w:lang w:eastAsia="en-GB"/>
        </w:rPr>
        <w:t>when gNB is de-activating all sub-configurations.</w:t>
      </w:r>
      <w:r w:rsidRPr="000B07EC">
        <w:rPr>
          <w:rFonts w:ascii="Arial" w:eastAsia="MS Mincho" w:hAnsi="Arial"/>
          <w:szCs w:val="24"/>
          <w:lang w:eastAsia="en-GB"/>
        </w:rPr>
        <w:t xml:space="preserve">  </w:t>
      </w:r>
    </w:p>
    <w:p w14:paraId="073D21DB" w14:textId="77777777" w:rsidR="00D34ADD" w:rsidRPr="00543D39" w:rsidRDefault="00D34ADD" w:rsidP="00543D39">
      <w:pPr>
        <w:rPr>
          <w:lang w:eastAsia="zh-CN"/>
        </w:rPr>
      </w:pPr>
    </w:p>
    <w:p w14:paraId="0CF5F9BC" w14:textId="77777777" w:rsidR="002C6F29" w:rsidRDefault="002C6F29" w:rsidP="00870F37">
      <w:pPr>
        <w:rPr>
          <w:rFonts w:eastAsia="等线"/>
          <w:lang w:val="en-US" w:eastAsia="zh-CN"/>
        </w:rPr>
      </w:pPr>
    </w:p>
    <w:p w14:paraId="5F59BBF3" w14:textId="77777777" w:rsidR="00870F37" w:rsidRDefault="00870F37" w:rsidP="0031712C">
      <w:pPr>
        <w:pStyle w:val="1"/>
        <w:numPr>
          <w:ilvl w:val="0"/>
          <w:numId w:val="0"/>
        </w:numPr>
        <w:ind w:left="567" w:hanging="567"/>
        <w:rPr>
          <w:rFonts w:eastAsia="等线"/>
          <w:lang w:eastAsia="zh-CN"/>
        </w:rPr>
      </w:pPr>
      <w:r>
        <w:rPr>
          <w:rFonts w:eastAsia="等线" w:hint="eastAsia"/>
          <w:lang w:eastAsia="zh-CN"/>
        </w:rPr>
        <w:t>A</w:t>
      </w:r>
      <w:r>
        <w:rPr>
          <w:rFonts w:eastAsia="等线"/>
          <w:lang w:eastAsia="zh-CN"/>
        </w:rPr>
        <w:t>nnex B: R1 agreements affecting TS 38.321</w:t>
      </w:r>
    </w:p>
    <w:p w14:paraId="108C5104" w14:textId="77777777" w:rsidR="00870F37" w:rsidRDefault="00870F37" w:rsidP="00152271">
      <w:pPr>
        <w:pStyle w:val="20"/>
        <w:numPr>
          <w:ilvl w:val="0"/>
          <w:numId w:val="0"/>
        </w:numPr>
        <w:rPr>
          <w:rFonts w:eastAsia="等线"/>
          <w:lang w:eastAsia="zh-CN"/>
        </w:rPr>
      </w:pPr>
      <w:r>
        <w:rPr>
          <w:rFonts w:eastAsia="等线" w:hint="eastAsia"/>
          <w:lang w:eastAsia="zh-CN"/>
        </w:rPr>
        <w:t>R</w:t>
      </w:r>
      <w:r>
        <w:rPr>
          <w:rFonts w:eastAsia="等线"/>
          <w:lang w:eastAsia="zh-CN"/>
        </w:rPr>
        <w:t>AN1#112bis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7152730F" w14:textId="77777777">
        <w:tc>
          <w:tcPr>
            <w:tcW w:w="9631" w:type="dxa"/>
            <w:shd w:val="clear" w:color="auto" w:fill="auto"/>
          </w:tcPr>
          <w:p w14:paraId="720CC3F7" w14:textId="77777777" w:rsidR="00870F37" w:rsidRDefault="00870F37" w:rsidP="005952D1">
            <w:pPr>
              <w:rPr>
                <w:rFonts w:ascii="Times" w:hAnsi="Times" w:cs="Times"/>
                <w:highlight w:val="green"/>
                <w:lang w:eastAsia="x-none"/>
              </w:rPr>
            </w:pPr>
            <w:r>
              <w:rPr>
                <w:rFonts w:ascii="Times" w:hAnsi="Times" w:cs="Times"/>
                <w:highlight w:val="green"/>
                <w:lang w:eastAsia="x-none"/>
              </w:rPr>
              <w:t>Agreement</w:t>
            </w:r>
          </w:p>
          <w:p w14:paraId="6EC6DFCD" w14:textId="77777777" w:rsidR="00870F37" w:rsidRDefault="00870F37" w:rsidP="005952D1">
            <w:pPr>
              <w:rPr>
                <w:lang w:eastAsia="zh-CN"/>
              </w:rPr>
            </w:pPr>
            <w:r>
              <w:t xml:space="preserve">From RAN1 point of view, </w:t>
            </w:r>
            <w:r>
              <w:rPr>
                <w:highlight w:val="green"/>
              </w:rPr>
              <w:t>Rel-18 UE supporting cell DRX is not expected to transmit the following signals/channels to the gNB during non-active periods of cell DRX</w:t>
            </w:r>
            <w:r>
              <w:t>. The list of signals/channels may be updated based on RAN2/RAN4 input and other signals/channels are not precluded from further discussions.</w:t>
            </w:r>
          </w:p>
          <w:p w14:paraId="5E84AC17" w14:textId="77777777" w:rsidR="00870F37" w:rsidRDefault="00870F37">
            <w:pPr>
              <w:numPr>
                <w:ilvl w:val="0"/>
                <w:numId w:val="18"/>
              </w:numPr>
              <w:overflowPunct w:val="0"/>
              <w:autoSpaceDN w:val="0"/>
              <w:snapToGrid w:val="0"/>
              <w:spacing w:after="0"/>
              <w:rPr>
                <w:lang w:eastAsia="ko-KR"/>
              </w:rPr>
            </w:pPr>
            <w:r>
              <w:rPr>
                <w:highlight w:val="green"/>
                <w:lang w:eastAsia="ko-KR"/>
              </w:rPr>
              <w:t>Periodic/Semi-persistent CSI report</w:t>
            </w:r>
          </w:p>
          <w:p w14:paraId="22CAC87F" w14:textId="77777777" w:rsidR="00870F37" w:rsidRDefault="00870F37">
            <w:pPr>
              <w:numPr>
                <w:ilvl w:val="0"/>
                <w:numId w:val="18"/>
              </w:numPr>
              <w:overflowPunct w:val="0"/>
              <w:autoSpaceDN w:val="0"/>
              <w:snapToGrid w:val="0"/>
              <w:spacing w:after="0"/>
              <w:rPr>
                <w:lang w:eastAsia="ko-KR"/>
              </w:rPr>
            </w:pPr>
            <w:r>
              <w:rPr>
                <w:lang w:eastAsia="ko-KR"/>
              </w:rPr>
              <w:t xml:space="preserve">Periodic/Semi-persistent SRS </w:t>
            </w:r>
          </w:p>
          <w:p w14:paraId="587A7751" w14:textId="77777777" w:rsidR="00870F37" w:rsidRDefault="00870F37">
            <w:pPr>
              <w:numPr>
                <w:ilvl w:val="1"/>
                <w:numId w:val="18"/>
              </w:numPr>
              <w:overflowPunct w:val="0"/>
              <w:autoSpaceDN w:val="0"/>
              <w:snapToGrid w:val="0"/>
              <w:spacing w:after="0"/>
              <w:rPr>
                <w:lang w:eastAsia="ko-KR"/>
              </w:rPr>
            </w:pPr>
            <w:r>
              <w:rPr>
                <w:lang w:eastAsia="ko-KR"/>
              </w:rPr>
              <w:t>FFS: SRS for positioning</w:t>
            </w:r>
          </w:p>
          <w:p w14:paraId="6D404DB1" w14:textId="77777777" w:rsidR="00870F37" w:rsidRDefault="00870F37">
            <w:pPr>
              <w:numPr>
                <w:ilvl w:val="0"/>
                <w:numId w:val="18"/>
              </w:numPr>
              <w:overflowPunct w:val="0"/>
              <w:autoSpaceDN w:val="0"/>
              <w:snapToGrid w:val="0"/>
              <w:spacing w:after="0"/>
              <w:rPr>
                <w:lang w:eastAsia="ko-KR"/>
              </w:rPr>
            </w:pPr>
            <w:r>
              <w:rPr>
                <w:lang w:eastAsia="ko-KR"/>
              </w:rPr>
              <w:t>FFS:</w:t>
            </w:r>
          </w:p>
          <w:p w14:paraId="56F17563" w14:textId="77777777" w:rsidR="00870F37" w:rsidRDefault="00870F37">
            <w:pPr>
              <w:numPr>
                <w:ilvl w:val="1"/>
                <w:numId w:val="18"/>
              </w:numPr>
              <w:overflowPunct w:val="0"/>
              <w:autoSpaceDN w:val="0"/>
              <w:snapToGrid w:val="0"/>
              <w:spacing w:after="0"/>
              <w:rPr>
                <w:lang w:eastAsia="ko-KR"/>
              </w:rPr>
            </w:pPr>
            <w:r>
              <w:rPr>
                <w:lang w:eastAsia="ko-KR"/>
              </w:rPr>
              <w:t>HARQ feedback for SPS PDSCH</w:t>
            </w:r>
          </w:p>
          <w:p w14:paraId="08313AFF" w14:textId="77777777" w:rsidR="00870F37" w:rsidRDefault="00870F37">
            <w:pPr>
              <w:numPr>
                <w:ilvl w:val="0"/>
                <w:numId w:val="18"/>
              </w:numPr>
              <w:overflowPunct w:val="0"/>
              <w:autoSpaceDN w:val="0"/>
              <w:snapToGrid w:val="0"/>
              <w:spacing w:after="0"/>
              <w:rPr>
                <w:lang w:eastAsia="ko-KR"/>
              </w:rPr>
            </w:pPr>
            <w:r>
              <w:rPr>
                <w:lang w:eastAsia="ko-KR"/>
              </w:rPr>
              <w:t>FFS whether there will be exception case(s) for UE transmitting listed signals/channels during non-active periods of DRX</w:t>
            </w:r>
          </w:p>
          <w:p w14:paraId="63B10EEB" w14:textId="77777777" w:rsidR="00870F37" w:rsidRDefault="00870F37">
            <w:pPr>
              <w:numPr>
                <w:ilvl w:val="0"/>
                <w:numId w:val="18"/>
              </w:numPr>
              <w:overflowPunct w:val="0"/>
              <w:autoSpaceDN w:val="0"/>
              <w:snapToGrid w:val="0"/>
              <w:spacing w:after="0"/>
              <w:rPr>
                <w:lang w:eastAsia="ko-KR"/>
              </w:rPr>
            </w:pPr>
            <w:r>
              <w:rPr>
                <w:lang w:eastAsia="ko-KR"/>
              </w:rPr>
              <w:t>FFS Whether the listed</w:t>
            </w:r>
            <w:r>
              <w:rPr>
                <w:color w:val="C00000"/>
                <w:lang w:eastAsia="ko-KR"/>
              </w:rPr>
              <w:t xml:space="preserve"> </w:t>
            </w:r>
            <w:r>
              <w:rPr>
                <w:lang w:eastAsia="ko-KR"/>
              </w:rPr>
              <w:t>signals/channels can be configurable by gNB</w:t>
            </w:r>
          </w:p>
          <w:p w14:paraId="1A9635C0" w14:textId="77777777" w:rsidR="00870F37" w:rsidRDefault="00870F37">
            <w:pPr>
              <w:numPr>
                <w:ilvl w:val="0"/>
                <w:numId w:val="18"/>
              </w:numPr>
              <w:overflowPunct w:val="0"/>
              <w:autoSpaceDN w:val="0"/>
              <w:snapToGrid w:val="0"/>
              <w:spacing w:after="0"/>
              <w:rPr>
                <w:lang w:eastAsia="ko-KR"/>
              </w:rPr>
            </w:pPr>
            <w:r>
              <w:rPr>
                <w:lang w:eastAsia="ko-KR"/>
              </w:rPr>
              <w:t xml:space="preserve">FFS: Whether the same or different UE </w:t>
            </w:r>
            <w:proofErr w:type="spellStart"/>
            <w:r>
              <w:rPr>
                <w:lang w:eastAsia="ko-KR"/>
              </w:rPr>
              <w:t>behavior</w:t>
            </w:r>
            <w:proofErr w:type="spellEnd"/>
            <w:r>
              <w:rPr>
                <w:lang w:eastAsia="ko-KR"/>
              </w:rPr>
              <w:t xml:space="preserve"> is applicable with or without C-DRX</w:t>
            </w:r>
          </w:p>
          <w:p w14:paraId="0F98BB34" w14:textId="77777777" w:rsidR="00870F37" w:rsidRDefault="00870F37" w:rsidP="005952D1">
            <w:pPr>
              <w:rPr>
                <w:rFonts w:eastAsia="Calibri"/>
                <w:lang w:eastAsia="ko-KR"/>
              </w:rPr>
            </w:pPr>
            <w:r>
              <w:rPr>
                <w:lang w:eastAsia="ko-KR"/>
              </w:rPr>
              <w:t>FFS: RAN1 to consider impact on system if the channels/signals are not transmitted during non-active period</w:t>
            </w:r>
          </w:p>
        </w:tc>
      </w:tr>
    </w:tbl>
    <w:p w14:paraId="0314F6FF" w14:textId="77777777" w:rsidR="00870F37" w:rsidRPr="00D86F3D" w:rsidRDefault="00870F37" w:rsidP="00870F37">
      <w:pPr>
        <w:rPr>
          <w:rFonts w:eastAsia="等线"/>
          <w:lang w:eastAsia="zh-CN"/>
        </w:rPr>
      </w:pPr>
    </w:p>
    <w:p w14:paraId="56544185" w14:textId="77777777" w:rsidR="00870F37" w:rsidRPr="00F526D8" w:rsidRDefault="00870F37" w:rsidP="00152271">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AN1#113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52335051" w14:textId="77777777">
        <w:tc>
          <w:tcPr>
            <w:tcW w:w="9631" w:type="dxa"/>
            <w:shd w:val="clear" w:color="auto" w:fill="auto"/>
          </w:tcPr>
          <w:p w14:paraId="79625D96"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b/>
                <w:bCs/>
                <w:color w:val="000000"/>
                <w:spacing w:val="-6"/>
                <w:kern w:val="20"/>
                <w:highlight w:val="green"/>
              </w:rPr>
              <w:t>Agreement</w:t>
            </w:r>
          </w:p>
          <w:p w14:paraId="4DAD4544"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highlight w:val="yellow"/>
              </w:rPr>
              <w:t xml:space="preserve">For N&gt;=1 CSI reporting corresponding to N out of L sub-configurations in one </w:t>
            </w:r>
            <w:proofErr w:type="spellStart"/>
            <w:r>
              <w:rPr>
                <w:rFonts w:ascii="Times" w:eastAsia="Batang" w:hAnsi="Times"/>
                <w:color w:val="000000"/>
                <w:spacing w:val="-6"/>
                <w:kern w:val="20"/>
                <w:highlight w:val="yellow"/>
              </w:rPr>
              <w:t>reportConfig</w:t>
            </w:r>
            <w:proofErr w:type="spellEnd"/>
            <w:r>
              <w:rPr>
                <w:rFonts w:ascii="Times" w:eastAsia="Batang" w:hAnsi="Times"/>
                <w:color w:val="000000"/>
                <w:spacing w:val="-6"/>
                <w:kern w:val="20"/>
                <w:highlight w:val="yellow"/>
              </w:rPr>
              <w:t xml:space="preserve"> where each sub-configuration corresponding to an SD adaptation pattern or/[and] a </w:t>
            </w:r>
            <w:proofErr w:type="spellStart"/>
            <w:r>
              <w:rPr>
                <w:rFonts w:ascii="Times" w:eastAsia="Batang" w:hAnsi="Times"/>
                <w:color w:val="000000"/>
                <w:spacing w:val="-6"/>
                <w:kern w:val="20"/>
                <w:highlight w:val="yellow"/>
              </w:rPr>
              <w:t>powerControlOffset</w:t>
            </w:r>
            <w:proofErr w:type="spellEnd"/>
            <w:r>
              <w:rPr>
                <w:rFonts w:ascii="Times" w:eastAsia="Batang" w:hAnsi="Times"/>
                <w:color w:val="000000"/>
                <w:spacing w:val="-6"/>
                <w:kern w:val="20"/>
                <w:highlight w:val="yellow"/>
              </w:rPr>
              <w:t xml:space="preserve"> value,</w:t>
            </w:r>
            <w:r>
              <w:rPr>
                <w:rFonts w:ascii="Times" w:eastAsia="Batang" w:hAnsi="Times"/>
                <w:color w:val="000000"/>
                <w:spacing w:val="-6"/>
                <w:kern w:val="20"/>
              </w:rPr>
              <w:t xml:space="preserve"> </w:t>
            </w:r>
          </w:p>
          <w:p w14:paraId="0B4732A0"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For A-CSI and SP-CSI on PUSCH report, support DCI-based triggering</w:t>
            </w:r>
          </w:p>
          <w:p w14:paraId="456DCD56"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For A-CSI-RS, CPU and CSI-RS resource/port counting depend on N indicated sub-configurations</w:t>
            </w:r>
          </w:p>
          <w:p w14:paraId="206B3256" w14:textId="77777777" w:rsidR="00870F37" w:rsidRDefault="00870F37">
            <w:pPr>
              <w:numPr>
                <w:ilvl w:val="2"/>
                <w:numId w:val="12"/>
              </w:numPr>
              <w:tabs>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FFS: How to do the counting</w:t>
            </w:r>
          </w:p>
          <w:p w14:paraId="4B76DBC4"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29D9D5D5"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For SP-CSI on PUCCH report, support MAC-CE-based triggering</w:t>
            </w:r>
          </w:p>
          <w:p w14:paraId="24ED07E0"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3453D865"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rPr>
              <w:t>Note: UE complexity reduction is not precluded</w:t>
            </w:r>
          </w:p>
          <w:p w14:paraId="0FA16121"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 xml:space="preserve">For DCI-based triggering, </w:t>
            </w:r>
          </w:p>
          <w:p w14:paraId="3D17D893"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lastRenderedPageBreak/>
              <w:t>Alt 1: A triggering state corresponding to N sub-configurations is indicated via the existing CSI request field in DCI. Different triggering states could represent different subsets of L sub-configurations.</w:t>
            </w:r>
          </w:p>
          <w:p w14:paraId="56DC51F9"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 xml:space="preserve">The DCI is UE specific (in this case, legacy DCI format applies) </w:t>
            </w:r>
          </w:p>
          <w:p w14:paraId="5D419DBD"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 xml:space="preserve">For MAC-CE based triggering </w:t>
            </w:r>
          </w:p>
          <w:p w14:paraId="394D4529"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highlight w:val="yellow"/>
                <w:lang w:val="en-US"/>
              </w:rPr>
            </w:pPr>
            <w:proofErr w:type="spellStart"/>
            <w:r>
              <w:rPr>
                <w:rFonts w:ascii="Times" w:eastAsia="Batang" w:hAnsi="Times"/>
                <w:color w:val="000000"/>
                <w:spacing w:val="-6"/>
                <w:kern w:val="20"/>
                <w:highlight w:val="yellow"/>
              </w:rPr>
              <w:t>Opt</w:t>
            </w:r>
            <w:proofErr w:type="spellEnd"/>
            <w:r>
              <w:rPr>
                <w:rFonts w:ascii="Times" w:eastAsia="Batang" w:hAnsi="Times"/>
                <w:color w:val="000000"/>
                <w:spacing w:val="-6"/>
                <w:kern w:val="20"/>
                <w:highlight w:val="yellow"/>
              </w:rPr>
              <w:t xml:space="preserve"> 2: An indication to select to N sub-configurations in a MAC-CE is supported</w:t>
            </w:r>
          </w:p>
          <w:p w14:paraId="64630624"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 xml:space="preserve">It is up to RAN2 to decide the </w:t>
            </w:r>
            <w:proofErr w:type="spellStart"/>
            <w:r>
              <w:rPr>
                <w:rFonts w:ascii="Times" w:eastAsia="Batang" w:hAnsi="Times"/>
                <w:color w:val="000000"/>
                <w:spacing w:val="-6"/>
                <w:kern w:val="20"/>
                <w:highlight w:val="yellow"/>
              </w:rPr>
              <w:t>signaling</w:t>
            </w:r>
            <w:proofErr w:type="spellEnd"/>
            <w:r>
              <w:rPr>
                <w:rFonts w:ascii="Times" w:eastAsia="Batang" w:hAnsi="Times"/>
                <w:color w:val="000000"/>
                <w:spacing w:val="-6"/>
                <w:kern w:val="20"/>
                <w:highlight w:val="yellow"/>
              </w:rPr>
              <w:t xml:space="preserve"> designs of the MAC-CE (including whether it is a new MAC CE or an existing MAC CE)</w:t>
            </w:r>
          </w:p>
          <w:p w14:paraId="45EF8186"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Only one MAC CE is used for this triggering</w:t>
            </w:r>
          </w:p>
          <w:p w14:paraId="1048C17B" w14:textId="77777777" w:rsidR="00870F37" w:rsidRDefault="00870F37" w:rsidP="005952D1">
            <w:pPr>
              <w:rPr>
                <w:rFonts w:eastAsia="等线"/>
                <w:lang w:val="en-US" w:eastAsia="zh-CN"/>
              </w:rPr>
            </w:pPr>
          </w:p>
        </w:tc>
      </w:tr>
    </w:tbl>
    <w:p w14:paraId="159D1BF4" w14:textId="77777777" w:rsidR="00870F37" w:rsidRDefault="00870F37" w:rsidP="00870F37">
      <w:pPr>
        <w:rPr>
          <w:rFonts w:eastAsia="等线"/>
          <w:lang w:val="en-US" w:eastAsia="zh-CN"/>
        </w:rPr>
      </w:pPr>
    </w:p>
    <w:p w14:paraId="47462207" w14:textId="77777777" w:rsidR="00870F37" w:rsidRPr="00D86F3D" w:rsidRDefault="00870F37" w:rsidP="00152271">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AN1#114bis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1AA591A4" w14:textId="77777777">
        <w:tc>
          <w:tcPr>
            <w:tcW w:w="9631" w:type="dxa"/>
            <w:shd w:val="clear" w:color="auto" w:fill="auto"/>
          </w:tcPr>
          <w:p w14:paraId="68943DD5" w14:textId="77777777" w:rsidR="00870F37" w:rsidRDefault="00870F37" w:rsidP="005952D1">
            <w:pPr>
              <w:rPr>
                <w:highlight w:val="green"/>
                <w:lang w:eastAsia="x-none"/>
              </w:rPr>
            </w:pPr>
            <w:r>
              <w:rPr>
                <w:highlight w:val="green"/>
                <w:lang w:eastAsia="x-none"/>
              </w:rPr>
              <w:t>Agreement</w:t>
            </w:r>
          </w:p>
          <w:p w14:paraId="1A1505AC" w14:textId="77777777" w:rsidR="00870F37" w:rsidRDefault="00870F37">
            <w:pPr>
              <w:jc w:val="both"/>
              <w:rPr>
                <w:rFonts w:eastAsia="Malgun Gothic"/>
                <w:lang w:eastAsia="ko-KR"/>
              </w:rPr>
            </w:pPr>
            <w:r>
              <w:rPr>
                <w:rFonts w:eastAsia="Malgun Gothic"/>
                <w:lang w:eastAsia="ko-KR"/>
              </w:rPr>
              <w:t>Send LS to RAN2 to ask to consider the following RAN1 agreements and ask RAN2 to capture them in RAN2 specification appropriately.</w:t>
            </w:r>
          </w:p>
          <w:p w14:paraId="3387638A" w14:textId="77777777" w:rsidR="00870F37" w:rsidRPr="00A94143" w:rsidRDefault="00870F37">
            <w:pPr>
              <w:numPr>
                <w:ilvl w:val="0"/>
                <w:numId w:val="19"/>
              </w:numPr>
              <w:suppressAutoHyphens/>
              <w:overflowPunct w:val="0"/>
              <w:spacing w:after="0"/>
              <w:rPr>
                <w:lang w:eastAsia="x-none"/>
              </w:rPr>
            </w:pPr>
            <w:r w:rsidRPr="00A94143">
              <w:rPr>
                <w:lang w:eastAsia="x-none"/>
              </w:rPr>
              <w:t>Agreement (from RAN1 #114)</w:t>
            </w:r>
          </w:p>
          <w:p w14:paraId="6C02669E" w14:textId="77777777" w:rsidR="00870F37" w:rsidRDefault="00870F37">
            <w:pPr>
              <w:numPr>
                <w:ilvl w:val="1"/>
                <w:numId w:val="19"/>
              </w:numPr>
              <w:suppressAutoHyphens/>
              <w:overflowPunct w:val="0"/>
              <w:spacing w:after="0"/>
              <w:jc w:val="both"/>
              <w:rPr>
                <w:rFonts w:eastAsia="Malgun Gothic"/>
                <w:highlight w:val="green"/>
                <w:lang w:eastAsia="ko-KR"/>
              </w:rPr>
            </w:pPr>
            <w:r>
              <w:rPr>
                <w:highlight w:val="green"/>
                <w:lang w:eastAsia="zh-CN"/>
              </w:rPr>
              <w:t>Rel-18 UE supporting cell DTX is not required to monitor the following signals/channels from the gNB, during non-active periods of cell DTX</w:t>
            </w:r>
            <w:r>
              <w:rPr>
                <w:rFonts w:eastAsia="Malgun Gothic"/>
                <w:highlight w:val="green"/>
                <w:lang w:eastAsia="ko-KR"/>
              </w:rPr>
              <w:t xml:space="preserve"> </w:t>
            </w:r>
          </w:p>
          <w:p w14:paraId="3327B229" w14:textId="77777777" w:rsidR="00870F37" w:rsidRDefault="00870F37">
            <w:pPr>
              <w:numPr>
                <w:ilvl w:val="2"/>
                <w:numId w:val="19"/>
              </w:numPr>
              <w:tabs>
                <w:tab w:val="left" w:pos="1480"/>
              </w:tabs>
              <w:suppressAutoHyphens/>
              <w:spacing w:after="0"/>
              <w:jc w:val="both"/>
              <w:rPr>
                <w:highlight w:val="green"/>
                <w:lang w:eastAsia="zh-CN"/>
              </w:rPr>
            </w:pPr>
            <w:r>
              <w:rPr>
                <w:highlight w:val="green"/>
                <w:lang w:eastAsia="zh-CN"/>
              </w:rPr>
              <w:t>PDCCHs associated with DCI format 2_0 – DCI Format 2_5</w:t>
            </w:r>
          </w:p>
          <w:p w14:paraId="14EAA4FD" w14:textId="77777777" w:rsidR="00870F37" w:rsidRPr="00A94143" w:rsidRDefault="00870F37">
            <w:pPr>
              <w:numPr>
                <w:ilvl w:val="0"/>
                <w:numId w:val="19"/>
              </w:numPr>
              <w:suppressAutoHyphens/>
              <w:overflowPunct w:val="0"/>
              <w:spacing w:after="0"/>
              <w:rPr>
                <w:lang w:eastAsia="x-none"/>
              </w:rPr>
            </w:pPr>
            <w:r w:rsidRPr="00A94143">
              <w:rPr>
                <w:lang w:eastAsia="x-none"/>
              </w:rPr>
              <w:t>Conclusion:</w:t>
            </w:r>
          </w:p>
          <w:p w14:paraId="08C84C70"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HARQ-ACK of SPS PDSCH transmitted is not impacted by non-active period of cell DRX.</w:t>
            </w:r>
          </w:p>
          <w:p w14:paraId="072925F4" w14:textId="77777777" w:rsidR="00870F37" w:rsidRPr="00A94143" w:rsidRDefault="00870F37">
            <w:pPr>
              <w:numPr>
                <w:ilvl w:val="0"/>
                <w:numId w:val="19"/>
              </w:numPr>
              <w:suppressAutoHyphens/>
              <w:overflowPunct w:val="0"/>
              <w:spacing w:after="0"/>
              <w:rPr>
                <w:lang w:eastAsia="zh-CN"/>
              </w:rPr>
            </w:pPr>
            <w:r w:rsidRPr="00A94143">
              <w:rPr>
                <w:lang w:eastAsia="x-none"/>
              </w:rPr>
              <w:t>Conclusion</w:t>
            </w:r>
          </w:p>
          <w:p w14:paraId="50A1BD22"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The following channels are not impacted by non-active period of cell DRX</w:t>
            </w:r>
          </w:p>
          <w:p w14:paraId="67E1A3BB" w14:textId="77777777" w:rsidR="00870F37" w:rsidRPr="00A94143" w:rsidRDefault="00870F37">
            <w:pPr>
              <w:numPr>
                <w:ilvl w:val="2"/>
                <w:numId w:val="19"/>
              </w:numPr>
              <w:tabs>
                <w:tab w:val="left" w:pos="1480"/>
              </w:tabs>
              <w:suppressAutoHyphens/>
              <w:spacing w:after="0"/>
              <w:jc w:val="both"/>
              <w:rPr>
                <w:lang w:eastAsia="zh-CN"/>
              </w:rPr>
            </w:pPr>
            <w:r w:rsidRPr="00A94143">
              <w:rPr>
                <w:lang w:eastAsia="zh-CN"/>
              </w:rPr>
              <w:t>HARQ-ACK of a DCI format without scheduling a PDSCH</w:t>
            </w:r>
          </w:p>
          <w:p w14:paraId="565329BA" w14:textId="77777777" w:rsidR="00870F37" w:rsidRPr="00A94143" w:rsidRDefault="00870F37">
            <w:pPr>
              <w:numPr>
                <w:ilvl w:val="0"/>
                <w:numId w:val="19"/>
              </w:numPr>
              <w:suppressAutoHyphens/>
              <w:overflowPunct w:val="0"/>
              <w:spacing w:after="0"/>
              <w:rPr>
                <w:lang w:eastAsia="x-none"/>
              </w:rPr>
            </w:pPr>
            <w:r w:rsidRPr="00A94143">
              <w:rPr>
                <w:lang w:eastAsia="x-none"/>
              </w:rPr>
              <w:t>Part of the Agreement (from RAN1 #112-bis-e)</w:t>
            </w:r>
          </w:p>
          <w:p w14:paraId="4F74BAE2" w14:textId="77777777" w:rsidR="00870F37" w:rsidRDefault="00870F37">
            <w:pPr>
              <w:numPr>
                <w:ilvl w:val="1"/>
                <w:numId w:val="19"/>
              </w:numPr>
              <w:suppressAutoHyphens/>
              <w:spacing w:after="0"/>
              <w:jc w:val="both"/>
              <w:rPr>
                <w:strike/>
                <w:highlight w:val="green"/>
                <w:lang w:eastAsia="zh-CN"/>
              </w:rPr>
            </w:pPr>
            <w:r>
              <w:rPr>
                <w:highlight w:val="green"/>
                <w:lang w:eastAsia="zh-CN"/>
              </w:rPr>
              <w:t>From RAN1 point of view, Rel-18 UE supporting cell DRX is not expected to transmit the following signals/channels to the gNB during non-active periods of cell DRX.</w:t>
            </w:r>
          </w:p>
          <w:p w14:paraId="4C3242AC" w14:textId="77777777" w:rsidR="00870F37" w:rsidRDefault="00870F37">
            <w:pPr>
              <w:numPr>
                <w:ilvl w:val="2"/>
                <w:numId w:val="19"/>
              </w:numPr>
              <w:tabs>
                <w:tab w:val="left" w:pos="0"/>
              </w:tabs>
              <w:suppressAutoHyphens/>
              <w:overflowPunct w:val="0"/>
              <w:spacing w:after="0"/>
              <w:jc w:val="both"/>
              <w:rPr>
                <w:rFonts w:eastAsia="Malgun Gothic"/>
                <w:highlight w:val="green"/>
                <w:lang w:eastAsia="ko-KR"/>
              </w:rPr>
            </w:pPr>
            <w:r>
              <w:rPr>
                <w:rFonts w:eastAsia="Malgun Gothic"/>
                <w:highlight w:val="green"/>
                <w:lang w:eastAsia="ko-KR"/>
              </w:rPr>
              <w:t>Periodic/Semi-persistent CSI report</w:t>
            </w:r>
          </w:p>
          <w:p w14:paraId="3F34A0C5" w14:textId="77777777" w:rsidR="00870F37" w:rsidRPr="00A94143" w:rsidRDefault="00870F37" w:rsidP="005952D1">
            <w:pPr>
              <w:rPr>
                <w:lang w:eastAsia="x-none"/>
              </w:rPr>
            </w:pPr>
            <w:r w:rsidRPr="00A94143">
              <w:rPr>
                <w:lang w:eastAsia="x-none"/>
              </w:rPr>
              <w:t>Include a note saying that for the conclusions, RAN1 does not expect any specification impact.</w:t>
            </w:r>
          </w:p>
          <w:p w14:paraId="610868B3" w14:textId="77777777" w:rsidR="00870F37" w:rsidRDefault="00870F37" w:rsidP="005952D1">
            <w:pPr>
              <w:rPr>
                <w:rFonts w:eastAsia="等线"/>
                <w:lang w:val="en-US" w:eastAsia="zh-CN"/>
              </w:rPr>
            </w:pPr>
          </w:p>
        </w:tc>
      </w:tr>
    </w:tbl>
    <w:p w14:paraId="417D7014" w14:textId="6E38E0DA" w:rsidR="005C731A" w:rsidRDefault="005C731A" w:rsidP="00973105">
      <w:pPr>
        <w:pStyle w:val="Reference"/>
        <w:numPr>
          <w:ilvl w:val="0"/>
          <w:numId w:val="0"/>
        </w:numPr>
        <w:rPr>
          <w:rFonts w:eastAsia="等线" w:cs="Arial"/>
          <w:bCs/>
          <w:iCs/>
          <w:noProof/>
          <w:kern w:val="2"/>
          <w:szCs w:val="22"/>
        </w:rPr>
      </w:pPr>
    </w:p>
    <w:p w14:paraId="1DC00B28" w14:textId="77777777" w:rsidR="00152271" w:rsidRDefault="00152271" w:rsidP="00973105">
      <w:pPr>
        <w:pStyle w:val="Reference"/>
        <w:numPr>
          <w:ilvl w:val="0"/>
          <w:numId w:val="0"/>
        </w:numPr>
        <w:rPr>
          <w:rFonts w:eastAsia="等线" w:cs="Arial"/>
          <w:bCs/>
          <w:iCs/>
          <w:noProof/>
          <w:kern w:val="2"/>
          <w:szCs w:val="22"/>
        </w:rPr>
      </w:pPr>
    </w:p>
    <w:p w14:paraId="4931B831" w14:textId="29F6D553" w:rsidR="00152271" w:rsidRDefault="00152271" w:rsidP="00152271">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AN1#115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5307" w14:paraId="3C00BB45" w14:textId="77777777">
        <w:tc>
          <w:tcPr>
            <w:tcW w:w="9855" w:type="dxa"/>
            <w:shd w:val="clear" w:color="auto" w:fill="auto"/>
          </w:tcPr>
          <w:p w14:paraId="1AD7D7F8"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6584F92B" w14:textId="77777777" w:rsidR="00595307" w:rsidRDefault="00595307">
            <w:pPr>
              <w:overflowPunct w:val="0"/>
              <w:spacing w:after="0"/>
              <w:rPr>
                <w:rFonts w:ascii="Times" w:hAnsi="Times" w:cs="Times"/>
                <w:lang w:eastAsia="zh-CN"/>
              </w:rPr>
            </w:pPr>
            <w:r>
              <w:rPr>
                <w:rFonts w:ascii="Times" w:hAnsi="Times" w:cs="Times"/>
                <w:highlight w:val="cyan"/>
                <w:lang w:eastAsia="x-none"/>
              </w:rPr>
              <w:t>UE transmits a subset of the repetitions in a CG bundle that do not overlap with the cell DRX non-active period</w:t>
            </w:r>
          </w:p>
          <w:p w14:paraId="3957C9AD" w14:textId="77777777" w:rsidR="00595307" w:rsidRDefault="00595307">
            <w:pPr>
              <w:spacing w:after="0"/>
              <w:rPr>
                <w:rFonts w:ascii="Calibri" w:eastAsia="Calibri" w:hAnsi="Calibri" w:cs="Calibri"/>
                <w:sz w:val="22"/>
                <w:szCs w:val="22"/>
                <w:lang w:val="en-US"/>
              </w:rPr>
            </w:pPr>
          </w:p>
          <w:p w14:paraId="77E0D0A1"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06B0A814" w14:textId="77777777" w:rsidR="00595307" w:rsidRDefault="00595307">
            <w:pPr>
              <w:overflowPunct w:val="0"/>
              <w:spacing w:after="0"/>
              <w:rPr>
                <w:rFonts w:ascii="Times" w:hAnsi="Times" w:cs="Times"/>
                <w:lang w:eastAsia="zh-CN"/>
              </w:rPr>
            </w:pPr>
            <w:r>
              <w:rPr>
                <w:rFonts w:ascii="Times" w:hAnsi="Times" w:cs="Times"/>
                <w:highlight w:val="yellow"/>
                <w:lang w:eastAsia="zh-CN"/>
              </w:rPr>
              <w:t>UE is expected to monitor DCI format 2_9 during active periods of C-DRX</w:t>
            </w:r>
          </w:p>
          <w:p w14:paraId="422CB6D8" w14:textId="77777777" w:rsidR="00595307" w:rsidRDefault="00595307">
            <w:pPr>
              <w:overflowPunct w:val="0"/>
              <w:spacing w:after="0"/>
              <w:rPr>
                <w:rFonts w:ascii="Times" w:hAnsi="Times" w:cs="Times"/>
                <w:highlight w:val="yellow"/>
                <w:lang w:eastAsia="zh-CN"/>
              </w:rPr>
            </w:pPr>
          </w:p>
          <w:p w14:paraId="486F636C" w14:textId="77777777" w:rsidR="00595307" w:rsidRDefault="00595307">
            <w:pPr>
              <w:overflowPunct w:val="0"/>
              <w:spacing w:after="0"/>
              <w:rPr>
                <w:rFonts w:ascii="Times" w:hAnsi="Times" w:cs="Times"/>
                <w:b/>
                <w:bCs/>
                <w:lang w:eastAsia="zh-CN"/>
              </w:rPr>
            </w:pPr>
            <w:r>
              <w:rPr>
                <w:rFonts w:ascii="Times" w:hAnsi="Times" w:cs="Times"/>
                <w:b/>
                <w:bCs/>
                <w:lang w:eastAsia="zh-CN"/>
              </w:rPr>
              <w:t>Conclusion</w:t>
            </w:r>
          </w:p>
          <w:p w14:paraId="7445EFBC" w14:textId="77777777" w:rsidR="00595307" w:rsidRDefault="00595307">
            <w:pPr>
              <w:overflowPunct w:val="0"/>
              <w:spacing w:after="0"/>
              <w:rPr>
                <w:rFonts w:ascii="Times" w:hAnsi="Times" w:cs="Times"/>
                <w:lang w:eastAsia="zh-CN"/>
              </w:rPr>
            </w:pPr>
            <w:r>
              <w:rPr>
                <w:rFonts w:ascii="Times" w:hAnsi="Times" w:cs="Times"/>
                <w:lang w:eastAsia="zh-CN"/>
              </w:rPr>
              <w:t>There is no consensus in RAN1 on whether or not the UE is expected to monitor DCI format 2_9 during non-active periods on C-DRX</w:t>
            </w:r>
          </w:p>
          <w:p w14:paraId="3A0B06C5" w14:textId="77777777" w:rsidR="00595307" w:rsidRDefault="00595307">
            <w:pPr>
              <w:overflowPunct w:val="0"/>
              <w:spacing w:after="0"/>
              <w:rPr>
                <w:rFonts w:ascii="Times" w:hAnsi="Times" w:cs="Times"/>
                <w:lang w:eastAsia="zh-CN"/>
              </w:rPr>
            </w:pPr>
          </w:p>
          <w:p w14:paraId="540F76A0"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7046C7C4" w14:textId="409BFD17" w:rsidR="00595307" w:rsidRDefault="00595307">
            <w:pPr>
              <w:overflowPunct w:val="0"/>
              <w:spacing w:after="0"/>
              <w:rPr>
                <w:rFonts w:ascii="Times" w:hAnsi="Times" w:cs="Times"/>
                <w:lang w:eastAsia="x-none"/>
              </w:rPr>
            </w:pPr>
            <w:r>
              <w:rPr>
                <w:rFonts w:ascii="Times" w:hAnsi="Times" w:cs="Times"/>
                <w:lang w:eastAsia="x-none"/>
              </w:rPr>
              <w:t xml:space="preserve">Send an LS to RAN2 to ask RAN2 to decide whether/how to capture the following agreement. Final LS in </w:t>
            </w:r>
            <w:hyperlink r:id="rId16" w:history="1">
              <w:r>
                <w:rPr>
                  <w:rFonts w:ascii="Times" w:hAnsi="Times" w:cs="Times"/>
                  <w:color w:val="0563C1"/>
                  <w:u w:val="single"/>
                  <w:lang w:eastAsia="x-none"/>
                </w:rPr>
                <w:t>R1-2312409</w:t>
              </w:r>
            </w:hyperlink>
            <w:r>
              <w:rPr>
                <w:rFonts w:ascii="Times" w:hAnsi="Times" w:cs="Times"/>
                <w:lang w:eastAsia="x-none"/>
              </w:rPr>
              <w:t>.</w:t>
            </w:r>
          </w:p>
          <w:p w14:paraId="666A9CC4" w14:textId="77777777" w:rsidR="00595307" w:rsidRDefault="00595307">
            <w:pPr>
              <w:pStyle w:val="Reference"/>
              <w:numPr>
                <w:ilvl w:val="0"/>
                <w:numId w:val="0"/>
              </w:numPr>
              <w:rPr>
                <w:rFonts w:eastAsia="等线" w:cs="Arial"/>
                <w:bCs/>
                <w:iCs/>
                <w:noProof/>
                <w:kern w:val="2"/>
                <w:szCs w:val="22"/>
              </w:rPr>
            </w:pPr>
          </w:p>
          <w:p w14:paraId="230D0111" w14:textId="77777777" w:rsidR="00595307" w:rsidRDefault="00595307">
            <w:pPr>
              <w:spacing w:after="0" w:line="252" w:lineRule="auto"/>
              <w:jc w:val="both"/>
              <w:rPr>
                <w:b/>
                <w:bCs/>
                <w:highlight w:val="green"/>
                <w:lang w:eastAsia="zh-CN"/>
              </w:rPr>
            </w:pPr>
            <w:r>
              <w:rPr>
                <w:b/>
                <w:bCs/>
                <w:highlight w:val="green"/>
                <w:lang w:eastAsia="zh-CN"/>
              </w:rPr>
              <w:lastRenderedPageBreak/>
              <w:t>Agreement</w:t>
            </w:r>
          </w:p>
          <w:p w14:paraId="44EEB84D" w14:textId="77777777" w:rsidR="00595307" w:rsidRDefault="00595307">
            <w:pPr>
              <w:overflowPunct w:val="0"/>
              <w:spacing w:after="0"/>
              <w:rPr>
                <w:rFonts w:ascii="Times" w:hAnsi="Times" w:cs="Times"/>
                <w:highlight w:val="yellow"/>
                <w:lang w:eastAsia="zh-CN"/>
              </w:rPr>
            </w:pPr>
            <w:r>
              <w:rPr>
                <w:rFonts w:ascii="Times" w:hAnsi="Times" w:cs="Times"/>
                <w:highlight w:val="yellow"/>
                <w:lang w:eastAsia="zh-CN"/>
              </w:rPr>
              <w:t xml:space="preserve">Cell DTX/DRX operation is only supported for </w:t>
            </w:r>
            <w:proofErr w:type="spellStart"/>
            <w:r>
              <w:rPr>
                <w:rFonts w:ascii="Times" w:hAnsi="Times" w:cs="Times"/>
                <w:highlight w:val="yellow"/>
                <w:lang w:eastAsia="zh-CN"/>
              </w:rPr>
              <w:t>sTRP</w:t>
            </w:r>
            <w:proofErr w:type="spellEnd"/>
            <w:r>
              <w:rPr>
                <w:rFonts w:ascii="Times" w:hAnsi="Times" w:cs="Times"/>
                <w:highlight w:val="yellow"/>
                <w:lang w:eastAsia="zh-CN"/>
              </w:rPr>
              <w:t>.</w:t>
            </w:r>
          </w:p>
          <w:p w14:paraId="727CE241" w14:textId="77777777" w:rsidR="00595307" w:rsidRDefault="00595307" w:rsidP="00595307">
            <w:pPr>
              <w:rPr>
                <w:lang w:eastAsia="zh-CN"/>
              </w:rPr>
            </w:pPr>
          </w:p>
        </w:tc>
      </w:tr>
    </w:tbl>
    <w:p w14:paraId="0B109743" w14:textId="77777777" w:rsidR="00595307" w:rsidRPr="00595307" w:rsidRDefault="00595307" w:rsidP="00595307">
      <w:p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B07E4" w14:textId="77777777" w:rsidR="000C3819" w:rsidRDefault="000C3819">
      <w:r>
        <w:separator/>
      </w:r>
    </w:p>
  </w:endnote>
  <w:endnote w:type="continuationSeparator" w:id="0">
    <w:p w14:paraId="4A8A98B1" w14:textId="77777777" w:rsidR="000C3819" w:rsidRDefault="000C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F5BCA" w14:textId="77777777" w:rsidR="000C3819" w:rsidRDefault="000C3819">
      <w:r>
        <w:separator/>
      </w:r>
    </w:p>
  </w:footnote>
  <w:footnote w:type="continuationSeparator" w:id="0">
    <w:p w14:paraId="1681E9FA" w14:textId="77777777" w:rsidR="000C3819" w:rsidRDefault="000C3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80C05"/>
    <w:multiLevelType w:val="hybridMultilevel"/>
    <w:tmpl w:val="9E5A7844"/>
    <w:lvl w:ilvl="0" w:tplc="ACACEA22">
      <w:start w:val="1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0"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2"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3"/>
  </w:num>
  <w:num w:numId="2">
    <w:abstractNumId w:val="1"/>
  </w:num>
  <w:num w:numId="3">
    <w:abstractNumId w:val="9"/>
  </w:num>
  <w:num w:numId="4">
    <w:abstractNumId w:val="21"/>
  </w:num>
  <w:num w:numId="5">
    <w:abstractNumId w:val="17"/>
  </w:num>
  <w:num w:numId="6">
    <w:abstractNumId w:val="14"/>
  </w:num>
  <w:num w:numId="7">
    <w:abstractNumId w:val="0"/>
  </w:num>
  <w:num w:numId="8">
    <w:abstractNumId w:val="15"/>
  </w:num>
  <w:num w:numId="9">
    <w:abstractNumId w:val="17"/>
  </w:num>
  <w:num w:numId="10">
    <w:abstractNumId w:val="12"/>
  </w:num>
  <w:num w:numId="11">
    <w:abstractNumId w:val="22"/>
  </w:num>
  <w:num w:numId="12">
    <w:abstractNumId w:val="8"/>
  </w:num>
  <w:num w:numId="13">
    <w:abstractNumId w:val="18"/>
  </w:num>
  <w:num w:numId="14">
    <w:abstractNumId w:val="17"/>
  </w:num>
  <w:num w:numId="15">
    <w:abstractNumId w:val="5"/>
  </w:num>
  <w:num w:numId="16">
    <w:abstractNumId w:val="4"/>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3819"/>
    <w:rsid w:val="000C4BD0"/>
    <w:rsid w:val="000C4BF2"/>
    <w:rsid w:val="000C4F13"/>
    <w:rsid w:val="000C5836"/>
    <w:rsid w:val="000C5D47"/>
    <w:rsid w:val="000C6006"/>
    <w:rsid w:val="000C6598"/>
    <w:rsid w:val="000C6E36"/>
    <w:rsid w:val="000C7637"/>
    <w:rsid w:val="000C7BAA"/>
    <w:rsid w:val="000D00CE"/>
    <w:rsid w:val="000D081C"/>
    <w:rsid w:val="000D0EDE"/>
    <w:rsid w:val="000D17AA"/>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1B8D"/>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7E"/>
    <w:rsid w:val="002059E2"/>
    <w:rsid w:val="00205E83"/>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3D5"/>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4C4"/>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0FB4"/>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4E6"/>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5EC8"/>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1F1"/>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6761"/>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0BB4"/>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D1A"/>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3C4"/>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701"/>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16E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472B"/>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94AF0"/>
    <w:pPr>
      <w:spacing w:after="180"/>
    </w:pPr>
    <w:rPr>
      <w:rFonts w:ascii="Times New Roman" w:hAnsi="Times New Roman"/>
      <w:lang w:val="en-GB"/>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0"/>
    <w:qFormat/>
    <w:pPr>
      <w:keepNext/>
      <w:keepLines/>
      <w:numPr>
        <w:numId w:val="1"/>
      </w:numPr>
      <w:pBdr>
        <w:top w:val="single" w:sz="12" w:space="3" w:color="auto"/>
      </w:pBdr>
      <w:spacing w:before="240" w:after="180"/>
      <w:outlineLvl w:val="0"/>
    </w:pPr>
    <w:rPr>
      <w:rFonts w:ascii="Arial" w:hAnsi="Arial"/>
      <w:sz w:val="36"/>
      <w:lang w:val="en-GB"/>
    </w:rPr>
  </w:style>
  <w:style w:type="paragraph" w:styleId="20">
    <w:name w:val="heading 2"/>
    <w:aliases w:val="Head2A,2,H2,UNDERRUBRIK 1-2,DO NOT USE_h2,h2,h21,H2 Char,h2 Char,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0"/>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12"/>
    <w:pPr>
      <w:widowControl w:val="0"/>
    </w:pPr>
    <w:rPr>
      <w:rFonts w:ascii="Arial" w:hAnsi="Arial"/>
      <w:b/>
      <w:noProof/>
      <w:sz w:val="18"/>
      <w:lang w:val="en-GB"/>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5"/>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0"/>
    <w:link w:val="B4Char"/>
    <w:qFormat/>
  </w:style>
  <w:style w:type="paragraph" w:customStyle="1" w:styleId="B5">
    <w:name w:val="B5"/>
    <w:basedOn w:val="50"/>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0"/>
    <w:rsid w:val="00710ADB"/>
    <w:rPr>
      <w:rFonts w:ascii="Arial" w:eastAsia="Arial" w:hAnsi="Arial"/>
      <w:sz w:val="28"/>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a0"/>
    <w:rsid w:val="00870F37"/>
  </w:style>
  <w:style w:type="character" w:styleId="afe">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a"/>
    <w:next w:val="Doc-text2"/>
    <w:link w:val="Doc-titleChar"/>
    <w:qFormat/>
    <w:rsid w:val="00D3060B"/>
    <w:pPr>
      <w:spacing w:before="60" w:after="0"/>
      <w:ind w:left="1259" w:hanging="1259"/>
    </w:pPr>
    <w:rPr>
      <w:rFonts w:ascii="Arial" w:eastAsia="MS Mincho" w:hAnsi="Arial" w:cs="Arial"/>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Users\11103341\Docs\R1-231240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file:///C:\Users\panidx\OneDrive%20-%20InterDigital%20Communications,%20Inc\Documents\3GPP%20RAN\TSGR2_124\Docs\R2-.zip"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2.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3.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6.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7.xml><?xml version="1.0" encoding="utf-8"?>
<ds:datastoreItem xmlns:ds="http://schemas.openxmlformats.org/officeDocument/2006/customXml" ds:itemID="{C725407C-B909-48CE-884C-BB9264C41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2664</Words>
  <Characters>15187</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vivo(Wenjuan)</cp:lastModifiedBy>
  <cp:revision>6</cp:revision>
  <dcterms:created xsi:type="dcterms:W3CDTF">2023-11-23T08:53:00Z</dcterms:created>
  <dcterms:modified xsi:type="dcterms:W3CDTF">2023-11-23T08:54:00Z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ies>
</file>