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3"/>
        <w:rPr>
          <w:rFonts w:cs="Arial" w:eastAsiaTheme="minorEastAsia"/>
        </w:rPr>
      </w:pPr>
      <w:bookmarkStart w:id="0" w:name="_Toc193024528"/>
      <w:r>
        <w:rPr>
          <w:rFonts w:cs="Arial"/>
        </w:rPr>
        <w:t>3GPP TSG-RAN WG2 Meeting #1</w:t>
      </w:r>
      <w:r>
        <w:rPr>
          <w:rFonts w:cs="Arial"/>
          <w:lang w:val="en-US"/>
        </w:rPr>
        <w:t>2</w:t>
      </w:r>
      <w:r>
        <w:rPr>
          <w:rFonts w:eastAsia="宋体" w:cs="Arial"/>
          <w:lang w:val="en-US"/>
        </w:rPr>
        <w:t>4</w:t>
      </w:r>
      <w:r>
        <w:rPr>
          <w:rFonts w:cs="Arial"/>
        </w:rPr>
        <w:t xml:space="preserve">                             </w:t>
      </w:r>
      <w:r>
        <w:rPr>
          <w:rFonts w:cs="Arial" w:eastAsiaTheme="minorEastAsia"/>
        </w:rPr>
        <w:t xml:space="preserve">                             </w:t>
      </w:r>
      <w:r>
        <w:rPr>
          <w:rFonts w:cs="Arial"/>
        </w:rPr>
        <w:t xml:space="preserve">  R2-230</w:t>
      </w:r>
      <w:r>
        <w:rPr>
          <w:rFonts w:eastAsia="宋体" w:cs="Arial"/>
          <w:lang w:val="en-US"/>
        </w:rPr>
        <w:t>xxxx</w:t>
      </w:r>
      <w:r>
        <w:rPr>
          <w:rFonts w:cs="Arial"/>
        </w:rPr>
        <w:tab/>
      </w:r>
    </w:p>
    <w:p>
      <w:pPr>
        <w:pStyle w:val="153"/>
        <w:spacing w:line="276" w:lineRule="auto"/>
        <w:rPr>
          <w:rFonts w:cs="Arial" w:eastAsiaTheme="minorEastAsia"/>
        </w:rPr>
      </w:pPr>
      <w:r>
        <w:rPr>
          <w:rFonts w:cs="Arial"/>
        </w:rPr>
        <w:t>Chicago, US, November</w:t>
      </w:r>
      <w:r>
        <w:rPr>
          <w:rFonts w:eastAsia="宋体" w:cs="Arial"/>
          <w:lang w:val="en-US"/>
        </w:rPr>
        <w:t xml:space="preserve"> </w:t>
      </w:r>
      <w:r>
        <w:rPr>
          <w:rFonts w:cs="Arial"/>
        </w:rPr>
        <w:t>13-17</w:t>
      </w:r>
      <w:r>
        <w:rPr>
          <w:rFonts w:eastAsia="宋体" w:cs="Arial"/>
          <w:lang w:val="en-US"/>
        </w:rPr>
        <w:t>,</w:t>
      </w:r>
      <w:r>
        <w:rPr>
          <w:rFonts w:cs="Arial"/>
        </w:rPr>
        <w:t xml:space="preserve"> 2023</w:t>
      </w:r>
    </w:p>
    <w:p>
      <w:pPr>
        <w:pStyle w:val="153"/>
        <w:spacing w:line="276" w:lineRule="auto"/>
        <w:rPr>
          <w:rFonts w:cs="Arial" w:eastAsiaTheme="minorEastAsia"/>
          <w:lang w:val="en-US"/>
        </w:rPr>
      </w:pPr>
      <w:r>
        <w:rPr>
          <w:rFonts w:cs="Arial"/>
        </w:rPr>
        <w:t>Agenda Item:</w:t>
      </w:r>
      <w:r>
        <w:rPr>
          <w:rFonts w:cs="Arial"/>
        </w:rPr>
        <w:tab/>
      </w:r>
      <w:r>
        <w:rPr>
          <w:rFonts w:cs="Arial"/>
          <w:lang w:val="en-US"/>
        </w:rPr>
        <w:t>7.7.4.2</w:t>
      </w:r>
    </w:p>
    <w:p>
      <w:pPr>
        <w:pStyle w:val="153"/>
        <w:tabs>
          <w:tab w:val="left" w:pos="4196"/>
          <w:tab w:val="clear" w:pos="9639"/>
        </w:tabs>
        <w:spacing w:line="276" w:lineRule="auto"/>
        <w:rPr>
          <w:rFonts w:cs="Arial"/>
        </w:rPr>
      </w:pPr>
      <w:r>
        <w:rPr>
          <w:rFonts w:cs="Arial"/>
        </w:rPr>
        <w:t xml:space="preserve">Source: </w:t>
      </w:r>
      <w:r>
        <w:rPr>
          <w:rFonts w:cs="Arial"/>
        </w:rPr>
        <w:tab/>
      </w:r>
      <w:r>
        <w:rPr>
          <w:rFonts w:cs="Arial"/>
        </w:rPr>
        <w:t>CMCC</w:t>
      </w:r>
      <w:r>
        <w:rPr>
          <w:rFonts w:eastAsia="宋体" w:cs="Arial"/>
          <w:lang w:val="en-US"/>
        </w:rPr>
        <w:t>/Apple</w:t>
      </w:r>
    </w:p>
    <w:p>
      <w:pPr>
        <w:pStyle w:val="153"/>
        <w:spacing w:line="276" w:lineRule="auto"/>
        <w:rPr>
          <w:rStyle w:val="49"/>
          <w:rFonts w:eastAsia="微软雅黑" w:cs="Arial"/>
          <w:b w:val="0"/>
          <w:color w:val="000000"/>
          <w:sz w:val="11"/>
          <w:szCs w:val="11"/>
          <w:shd w:val="clear" w:color="auto" w:fill="FFFFFF"/>
        </w:rPr>
      </w:pPr>
      <w:r>
        <w:rPr>
          <w:rFonts w:cs="Arial"/>
        </w:rPr>
        <w:t xml:space="preserve">Title:  </w:t>
      </w:r>
      <w:r>
        <w:rPr>
          <w:rFonts w:cs="Arial"/>
        </w:rPr>
        <w:tab/>
      </w:r>
      <w:r>
        <w:rPr>
          <w:rFonts w:cs="Arial"/>
          <w:lang w:val="en-US"/>
        </w:rPr>
        <w:t xml:space="preserve">Report of [Post123bis][312][NR-NTN Enh] Unchanged PCI </w:t>
      </w:r>
      <w:r>
        <w:rPr>
          <w:rFonts w:cs="Arial"/>
        </w:rPr>
        <w:t>(CMCC</w:t>
      </w:r>
      <w:r>
        <w:rPr>
          <w:rFonts w:eastAsia="宋体" w:cs="Arial"/>
          <w:lang w:val="en-US"/>
        </w:rPr>
        <w:t>/Apple</w:t>
      </w:r>
      <w:r>
        <w:rPr>
          <w:rFonts w:cs="Arial"/>
        </w:rPr>
        <w:t>)</w:t>
      </w:r>
    </w:p>
    <w:p>
      <w:pPr>
        <w:pStyle w:val="153"/>
        <w:spacing w:line="276" w:lineRule="auto"/>
        <w:rPr>
          <w:rFonts w:cs="Arial"/>
        </w:rPr>
      </w:pPr>
      <w:r>
        <w:rPr>
          <w:rFonts w:cs="Arial"/>
        </w:rPr>
        <w:t>Document for:</w:t>
      </w:r>
      <w:r>
        <w:rPr>
          <w:rFonts w:cs="Arial"/>
        </w:rPr>
        <w:tab/>
      </w:r>
      <w:r>
        <w:rPr>
          <w:rFonts w:cs="Arial"/>
        </w:rPr>
        <w:t>Discussion and Decision</w:t>
      </w:r>
    </w:p>
    <w:p>
      <w:pPr>
        <w:pStyle w:val="2"/>
        <w:spacing w:line="276" w:lineRule="auto"/>
        <w:jc w:val="both"/>
        <w:rPr>
          <w:rFonts w:cs="Arial"/>
          <w:lang w:eastAsia="zh-CN"/>
        </w:rPr>
      </w:pPr>
      <w:r>
        <w:rPr>
          <w:rFonts w:cs="Arial"/>
          <w:lang w:eastAsia="zh-CN"/>
        </w:rPr>
        <w:t>1</w:t>
      </w:r>
      <w:r>
        <w:rPr>
          <w:rFonts w:cs="Arial"/>
          <w:lang w:eastAsia="zh-CN"/>
        </w:rPr>
        <w:tab/>
      </w:r>
      <w:r>
        <w:rPr>
          <w:rFonts w:cs="Arial"/>
          <w:lang w:eastAsia="zh-CN"/>
        </w:rPr>
        <w:t>Introduction</w:t>
      </w:r>
    </w:p>
    <w:p>
      <w:pPr>
        <w:suppressAutoHyphens/>
        <w:spacing w:before="120"/>
        <w:rPr>
          <w:rFonts w:cs="Arial"/>
        </w:rPr>
      </w:pPr>
      <w:r>
        <w:rPr>
          <w:rFonts w:ascii="Arial" w:hAnsi="Arial" w:cs="Arial"/>
          <w:lang w:val="en-US" w:eastAsia="zh-CN"/>
        </w:rPr>
        <w:t xml:space="preserve">In RAN2 #123bis meeting, </w:t>
      </w:r>
      <w:r>
        <w:rPr>
          <w:rFonts w:ascii="Arial" w:hAnsi="Arial" w:cs="Arial" w:eastAsiaTheme="minorEastAsia"/>
          <w:bCs/>
        </w:rPr>
        <w:t xml:space="preserve">there were some </w:t>
      </w:r>
      <w:r>
        <w:rPr>
          <w:rFonts w:ascii="Arial" w:hAnsi="Arial" w:cs="Arial" w:eastAsiaTheme="minorEastAsia"/>
          <w:bCs/>
          <w:lang w:val="en-US" w:eastAsia="zh-CN"/>
        </w:rPr>
        <w:t xml:space="preserve">fruitful </w:t>
      </w:r>
      <w:r>
        <w:rPr>
          <w:rFonts w:ascii="Arial" w:hAnsi="Arial" w:cs="Arial" w:eastAsiaTheme="minorEastAsia"/>
          <w:bCs/>
        </w:rPr>
        <w:t xml:space="preserve">discussions about </w:t>
      </w:r>
      <w:r>
        <w:rPr>
          <w:rFonts w:ascii="Arial" w:hAnsi="Arial" w:cs="Arial" w:eastAsiaTheme="minorEastAsia"/>
          <w:bCs/>
          <w:lang w:val="en-US"/>
        </w:rPr>
        <w:t>unchanged</w:t>
      </w:r>
      <w:r>
        <w:rPr>
          <w:rFonts w:ascii="Arial" w:hAnsi="Arial" w:cs="Arial" w:eastAsiaTheme="minorEastAsia"/>
          <w:bCs/>
        </w:rPr>
        <w:t xml:space="preserve"> </w:t>
      </w:r>
      <w:r>
        <w:rPr>
          <w:rFonts w:ascii="Arial" w:hAnsi="Arial" w:cs="Arial" w:eastAsiaTheme="minorEastAsia"/>
          <w:bCs/>
          <w:lang w:val="en-US" w:eastAsia="zh-CN"/>
        </w:rPr>
        <w:t xml:space="preserve">PCI. </w:t>
      </w:r>
      <w:r>
        <w:rPr>
          <w:rFonts w:ascii="Arial" w:hAnsi="Arial" w:cs="Arial"/>
          <w:lang w:val="en-US" w:eastAsia="zh-CN"/>
        </w:rPr>
        <w:t>However, there are still some open issues needed further discussion.</w:t>
      </w:r>
      <w:r>
        <w:rPr>
          <w:rFonts w:hint="eastAsia" w:ascii="Arial" w:hAnsi="Arial" w:cs="Arial"/>
          <w:lang w:val="en-US" w:eastAsia="zh-CN"/>
        </w:rPr>
        <w:t xml:space="preserve"> </w:t>
      </w:r>
    </w:p>
    <w:p>
      <w:pPr>
        <w:tabs>
          <w:tab w:val="left" w:pos="6286"/>
        </w:tabs>
        <w:overflowPunct w:val="0"/>
        <w:autoSpaceDE w:val="0"/>
        <w:autoSpaceDN w:val="0"/>
        <w:adjustRightInd w:val="0"/>
        <w:textAlignment w:val="baseline"/>
        <w:rPr>
          <w:rFonts w:ascii="Arial" w:hAnsi="Arial" w:cs="Arial"/>
          <w:lang w:val="en-US"/>
        </w:rPr>
      </w:pPr>
      <w:r>
        <w:rPr>
          <w:rFonts w:ascii="Arial" w:hAnsi="Arial" w:cs="Arial"/>
          <w:lang w:val="en-US"/>
        </w:rPr>
        <w:t xml:space="preserve">This document captures the outcome of the following discussion in order to address all the open issues. </w:t>
      </w:r>
    </w:p>
    <w:p>
      <w:pPr>
        <w:pStyle w:val="178"/>
        <w:rPr>
          <w:rFonts w:cs="Arial"/>
        </w:rPr>
      </w:pPr>
      <w:r>
        <w:rPr>
          <w:rFonts w:cs="Arial"/>
        </w:rPr>
        <w:t>[Post123bis][312][NR-NTN Enh] Unchanged PCI (CMCC/Apple)</w:t>
      </w:r>
    </w:p>
    <w:p>
      <w:pPr>
        <w:pStyle w:val="179"/>
        <w:rPr>
          <w:rFonts w:cs="Arial"/>
        </w:rPr>
      </w:pPr>
      <w:r>
        <w:rPr>
          <w:rFonts w:cs="Arial"/>
        </w:rPr>
        <w:tab/>
      </w:r>
      <w:r>
        <w:rPr>
          <w:rFonts w:cs="Arial"/>
        </w:rPr>
        <w:t xml:space="preserve">Scope: Continue the discussion on unchanged PCI specific aspects </w:t>
      </w:r>
    </w:p>
    <w:p>
      <w:pPr>
        <w:pStyle w:val="179"/>
        <w:rPr>
          <w:rFonts w:cs="Arial"/>
        </w:rPr>
      </w:pPr>
      <w:r>
        <w:rPr>
          <w:rFonts w:cs="Arial"/>
        </w:rPr>
        <w:tab/>
      </w:r>
      <w:r>
        <w:rPr>
          <w:rFonts w:cs="Arial"/>
        </w:rPr>
        <w:t>Intended outcome: email discussion summary</w:t>
      </w:r>
    </w:p>
    <w:p>
      <w:pPr>
        <w:pStyle w:val="179"/>
      </w:pPr>
      <w:r>
        <w:t xml:space="preserve">Deadline: Long </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Please provide your comments before </w:t>
      </w:r>
      <w:r>
        <w:rPr>
          <w:rFonts w:hint="eastAsia" w:ascii="Arial" w:hAnsi="Arial" w:cs="Arial"/>
          <w:highlight w:val="yellow"/>
        </w:rPr>
        <w:t>October 2</w:t>
      </w:r>
      <w:r>
        <w:rPr>
          <w:rFonts w:ascii="Arial" w:hAnsi="Arial" w:cs="Arial"/>
          <w:highlight w:val="yellow"/>
        </w:rPr>
        <w:t>6</w:t>
      </w:r>
      <w:r>
        <w:rPr>
          <w:rFonts w:hint="eastAsia" w:ascii="Arial" w:hAnsi="Arial" w:cs="Arial"/>
          <w:highlight w:val="yellow"/>
          <w:vertAlign w:val="superscript"/>
        </w:rPr>
        <w:t>th</w:t>
      </w:r>
      <w:r>
        <w:rPr>
          <w:rFonts w:hint="eastAsia" w:ascii="Arial" w:hAnsi="Arial" w:cs="Arial"/>
          <w:highlight w:val="yellow"/>
        </w:rPr>
        <w:t> 0100 UTC</w:t>
      </w:r>
      <w:r>
        <w:rPr>
          <w:rFonts w:ascii="Arial" w:hAnsi="Arial" w:cs="Arial"/>
          <w:lang w:val="en-US"/>
        </w:rPr>
        <w:t>.</w:t>
      </w:r>
    </w:p>
    <w:p>
      <w:pPr>
        <w:pStyle w:val="2"/>
        <w:spacing w:line="276" w:lineRule="auto"/>
        <w:jc w:val="both"/>
        <w:rPr>
          <w:rFonts w:cs="Arial"/>
          <w:lang w:eastAsia="zh-CN"/>
        </w:rPr>
      </w:pPr>
      <w:r>
        <w:rPr>
          <w:rFonts w:cs="Arial"/>
          <w:lang w:eastAsia="zh-CN"/>
        </w:rPr>
        <w:t>2</w:t>
      </w:r>
      <w:r>
        <w:rPr>
          <w:rFonts w:cs="Arial"/>
          <w:lang w:eastAsia="zh-CN"/>
        </w:rPr>
        <w:tab/>
      </w:r>
      <w:r>
        <w:rPr>
          <w:rFonts w:cs="Arial"/>
          <w:lang w:eastAsia="zh-CN"/>
        </w:rPr>
        <w:t xml:space="preserve">Discussion </w:t>
      </w:r>
    </w:p>
    <w:p>
      <w:pPr>
        <w:pStyle w:val="3"/>
        <w:ind w:right="200"/>
        <w:rPr>
          <w:lang w:val="en-US" w:eastAsia="zh-CN"/>
        </w:rPr>
      </w:pPr>
      <w:r>
        <w:rPr>
          <w:lang w:eastAsia="zh-CN"/>
        </w:rPr>
        <w:t xml:space="preserve">2.1 </w:t>
      </w:r>
      <w:r>
        <w:rPr>
          <w:lang w:val="en-US" w:eastAsia="zh-CN"/>
        </w:rPr>
        <w:t>Configuration (Part A)</w:t>
      </w:r>
    </w:p>
    <w:p>
      <w:pPr>
        <w:pStyle w:val="4"/>
        <w:ind w:right="200"/>
        <w:rPr>
          <w:rFonts w:cs="Arial"/>
          <w:b/>
          <w:bCs/>
          <w:szCs w:val="28"/>
          <w:lang w:val="en-US" w:eastAsia="zh-CN"/>
        </w:rPr>
      </w:pPr>
      <w:r>
        <w:rPr>
          <w:rFonts w:cs="Arial"/>
          <w:b/>
          <w:bCs/>
          <w:szCs w:val="28"/>
          <w:lang w:val="en-US" w:eastAsia="zh-CN"/>
        </w:rPr>
        <w:t xml:space="preserve">Issue 1: </w:t>
      </w:r>
      <w:r>
        <w:rPr>
          <w:rFonts w:hint="eastAsia" w:cs="Arial"/>
          <w:b/>
          <w:bCs/>
          <w:szCs w:val="28"/>
          <w:lang w:val="en-US" w:eastAsia="zh-CN"/>
        </w:rPr>
        <w:t>Target satellite information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Arial" w:hAnsi="Arial" w:eastAsia="Helvetica" w:cs="Arial"/>
                <w:lang w:val="en-US" w:eastAsia="zh-CN"/>
              </w:rPr>
            </w:pPr>
            <w:r>
              <w:rPr>
                <w:rFonts w:ascii="Arial" w:hAnsi="Arial" w:eastAsia="Helvetica" w:cs="Arial"/>
                <w:lang w:val="en-US" w:eastAsia="zh-CN"/>
              </w:rPr>
              <w:t>RAN2#123bis agreement:</w:t>
            </w:r>
          </w:p>
          <w:p>
            <w:pPr>
              <w:pStyle w:val="127"/>
              <w:numPr>
                <w:ilvl w:val="0"/>
                <w:numId w:val="13"/>
              </w:numPr>
              <w:spacing w:line="240" w:lineRule="auto"/>
              <w:rPr>
                <w:rFonts w:eastAsia="Helvetica"/>
                <w:i/>
                <w:iCs/>
                <w:highlight w:val="yellow"/>
              </w:rPr>
            </w:pPr>
            <w:r>
              <w:rPr>
                <w:rFonts w:eastAsia="Helvetica"/>
                <w:i/>
                <w:iCs/>
              </w:rPr>
              <w:t xml:space="preserve">Only 1 target satellite information (i.e. NTN-config) of serving cell is provided in SIB19. </w:t>
            </w:r>
            <w:r>
              <w:rPr>
                <w:rFonts w:eastAsia="Helvetica"/>
                <w:i/>
                <w:iCs/>
                <w:highlight w:val="yellow"/>
              </w:rPr>
              <w:t>FFS on exact signalling</w:t>
            </w:r>
          </w:p>
        </w:tc>
      </w:tr>
    </w:tbl>
    <w:p>
      <w:pPr>
        <w:rPr>
          <w:rFonts w:ascii="Arial" w:hAnsi="Arial" w:cs="Arial"/>
          <w:lang w:val="en-US" w:eastAsia="zh-CN"/>
        </w:rPr>
      </w:pPr>
    </w:p>
    <w:p>
      <w:pPr>
        <w:rPr>
          <w:rFonts w:ascii="Arial" w:hAnsi="Arial" w:cs="Arial"/>
          <w:lang w:val="en-US" w:eastAsia="zh-CN"/>
        </w:rPr>
      </w:pPr>
      <w:r>
        <w:rPr>
          <w:rFonts w:hint="eastAsia" w:ascii="Arial" w:hAnsi="Arial" w:cs="Arial"/>
          <w:lang w:val="en-US" w:eastAsia="zh-CN"/>
        </w:rPr>
        <w:t xml:space="preserve">Regarding the target satellite information, RAN2 agreed that only 1 target satellite information (i.e. NTN-config) of serving cell is provided in SIB19 with the FFS on exact signaling. </w:t>
      </w:r>
    </w:p>
    <w:p>
      <w:pPr>
        <w:rPr>
          <w:rFonts w:ascii="Arial" w:hAnsi="Arial" w:cs="Arial"/>
          <w:lang w:val="en-US" w:eastAsia="zh-CN"/>
        </w:rPr>
      </w:pPr>
      <w:r>
        <w:rPr>
          <w:rFonts w:ascii="Arial" w:hAnsi="Arial" w:cs="Arial"/>
          <w:lang w:val="en-US" w:eastAsia="zh-CN"/>
        </w:rPr>
        <w:t>About the exact signaling in detail, there are several options proposed during offline discussion:</w:t>
      </w:r>
    </w:p>
    <w:p>
      <w:pPr>
        <w:pStyle w:val="125"/>
        <w:numPr>
          <w:ilvl w:val="0"/>
          <w:numId w:val="14"/>
        </w:numPr>
        <w:rPr>
          <w:rFonts w:ascii="Arial" w:hAnsi="Arial" w:cs="Arial"/>
          <w:sz w:val="20"/>
          <w:szCs w:val="20"/>
          <w:lang w:eastAsia="zh-CN"/>
        </w:rPr>
      </w:pPr>
      <w:r>
        <w:rPr>
          <w:rFonts w:ascii="Arial" w:hAnsi="Arial" w:cs="Arial"/>
          <w:sz w:val="20"/>
          <w:szCs w:val="20"/>
          <w:lang w:eastAsia="zh-CN"/>
        </w:rPr>
        <w:t xml:space="preserve">Option 1: Introduce one new target satellite configuration (e.g. </w:t>
      </w:r>
      <w:r>
        <w:rPr>
          <w:rFonts w:ascii="Arial" w:hAnsi="Arial" w:cs="Arial"/>
          <w:i/>
          <w:iCs/>
          <w:sz w:val="20"/>
          <w:szCs w:val="20"/>
          <w:lang w:eastAsia="zh-CN"/>
        </w:rPr>
        <w:t>ntn-TargetSatConfig</w:t>
      </w:r>
      <w:r>
        <w:rPr>
          <w:rFonts w:ascii="Arial" w:hAnsi="Arial" w:cs="Arial"/>
          <w:sz w:val="20"/>
          <w:szCs w:val="20"/>
          <w:lang w:eastAsia="zh-CN"/>
        </w:rPr>
        <w:t xml:space="preserve">), and provide the </w:t>
      </w:r>
      <w:r>
        <w:rPr>
          <w:rFonts w:ascii="Arial" w:hAnsi="Arial" w:cs="Arial"/>
          <w:i/>
          <w:iCs/>
          <w:sz w:val="20"/>
          <w:szCs w:val="20"/>
          <w:lang w:eastAsia="zh-CN"/>
        </w:rPr>
        <w:t>NTN-config</w:t>
      </w:r>
      <w:r>
        <w:rPr>
          <w:rFonts w:ascii="Arial" w:hAnsi="Arial" w:cs="Arial"/>
          <w:sz w:val="20"/>
          <w:szCs w:val="20"/>
          <w:lang w:eastAsia="zh-CN"/>
        </w:rPr>
        <w:t xml:space="preserve"> of the target satellite in it. </w:t>
      </w:r>
    </w:p>
    <w:p>
      <w:pPr>
        <w:pStyle w:val="125"/>
        <w:rPr>
          <w:rFonts w:ascii="Arial" w:hAnsi="Arial" w:cs="Arial"/>
          <w:sz w:val="20"/>
          <w:szCs w:val="20"/>
          <w:lang w:eastAsia="zh-CN"/>
        </w:rPr>
      </w:pPr>
      <w:r>
        <w:rPr>
          <w:rFonts w:ascii="Arial" w:hAnsi="Arial" w:cs="Arial"/>
          <w:sz w:val="20"/>
          <w:szCs w:val="20"/>
          <w:lang w:eastAsia="zh-CN"/>
        </w:rPr>
        <w:t>F</w:t>
      </w:r>
      <w:r>
        <w:rPr>
          <w:rFonts w:hint="eastAsia" w:ascii="Arial" w:hAnsi="Arial" w:cs="Arial"/>
          <w:sz w:val="20"/>
          <w:szCs w:val="20"/>
          <w:lang w:eastAsia="zh-CN"/>
        </w:rPr>
        <w:t>ollowing</w:t>
      </w:r>
      <w:r>
        <w:rPr>
          <w:rFonts w:ascii="Arial" w:hAnsi="Arial" w:cs="Arial"/>
          <w:sz w:val="20"/>
          <w:szCs w:val="20"/>
          <w:lang w:eastAsia="zh-CN"/>
        </w:rPr>
        <w:t xml:space="preserve"> is one ASN.1 example.</w:t>
      </w:r>
    </w:p>
    <w:p>
      <w:pPr>
        <w:pStyle w:val="125"/>
        <w:rPr>
          <w:rFonts w:hint="eastAsia" w:ascii="Arial" w:hAnsi="Arial" w:cs="Arial"/>
          <w:sz w:val="20"/>
          <w:szCs w:val="20"/>
          <w:lang w:eastAsia="zh-CN"/>
        </w:rPr>
      </w:pPr>
      <w:r>
        <w:rPr>
          <w:rFonts w:ascii="Arial" w:hAnsi="Arial" w:cs="Arial"/>
          <w:sz w:val="20"/>
          <w:szCs w:val="20"/>
          <w:lang w:eastAsia="zh-CN"/>
        </w:rPr>
        <w:drawing>
          <wp:inline distT="0" distB="0" distL="0" distR="0">
            <wp:extent cx="5220970" cy="1895475"/>
            <wp:effectExtent l="0" t="0" r="8255"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pic:cNvPicPr>
                  </pic:nvPicPr>
                  <pic:blipFill>
                    <a:blip r:embed="rId7"/>
                    <a:stretch>
                      <a:fillRect/>
                    </a:stretch>
                  </pic:blipFill>
                  <pic:spPr>
                    <a:xfrm>
                      <a:off x="0" y="0"/>
                      <a:ext cx="5245279" cy="1904209"/>
                    </a:xfrm>
                    <a:prstGeom prst="rect">
                      <a:avLst/>
                    </a:prstGeom>
                  </pic:spPr>
                </pic:pic>
              </a:graphicData>
            </a:graphic>
          </wp:inline>
        </w:drawing>
      </w:r>
    </w:p>
    <w:p>
      <w:pPr>
        <w:pStyle w:val="125"/>
        <w:numPr>
          <w:ilvl w:val="0"/>
          <w:numId w:val="14"/>
        </w:numPr>
        <w:rPr>
          <w:rFonts w:ascii="Arial" w:hAnsi="Arial" w:cs="Arial"/>
          <w:sz w:val="20"/>
          <w:szCs w:val="20"/>
          <w:lang w:eastAsia="zh-CN"/>
        </w:rPr>
      </w:pPr>
      <w:r>
        <w:rPr>
          <w:rFonts w:ascii="Arial" w:hAnsi="Arial" w:cs="Arial"/>
          <w:sz w:val="20"/>
          <w:szCs w:val="20"/>
          <w:lang w:eastAsia="zh-CN"/>
        </w:rPr>
        <w:t>Option 2: Introduce one new target satellite configuration (e.g.</w:t>
      </w:r>
      <w:r>
        <w:rPr>
          <w:rFonts w:ascii="Arial" w:hAnsi="Arial" w:cs="Arial"/>
          <w:i/>
          <w:iCs/>
          <w:sz w:val="20"/>
          <w:szCs w:val="20"/>
          <w:lang w:eastAsia="zh-CN"/>
        </w:rPr>
        <w:t xml:space="preserve"> ntn-TargetSatConfig</w:t>
      </w:r>
      <w:r>
        <w:rPr>
          <w:rFonts w:ascii="Arial" w:hAnsi="Arial" w:cs="Arial"/>
          <w:sz w:val="20"/>
          <w:szCs w:val="20"/>
          <w:lang w:eastAsia="zh-CN"/>
        </w:rPr>
        <w:t xml:space="preserve">), but for the provision of the target satellite’s </w:t>
      </w:r>
      <w:r>
        <w:rPr>
          <w:rFonts w:ascii="Arial" w:hAnsi="Arial" w:cs="Arial"/>
          <w:i/>
          <w:iCs/>
          <w:sz w:val="20"/>
          <w:szCs w:val="20"/>
          <w:lang w:eastAsia="zh-CN"/>
        </w:rPr>
        <w:t>NTN-config</w:t>
      </w:r>
      <w:r>
        <w:rPr>
          <w:rFonts w:ascii="Arial" w:hAnsi="Arial" w:cs="Arial"/>
          <w:sz w:val="20"/>
          <w:szCs w:val="20"/>
          <w:lang w:eastAsia="zh-CN"/>
        </w:rPr>
        <w:t>, it is not explicitliy provided in it, but rely on a pointer (e.g.targetSatInfo) to</w:t>
      </w:r>
      <w:r>
        <w:rPr>
          <w:rFonts w:ascii="Arial" w:hAnsi="Arial" w:cs="Arial"/>
          <w:i/>
          <w:iCs/>
          <w:sz w:val="20"/>
          <w:szCs w:val="20"/>
          <w:lang w:eastAsia="zh-CN"/>
        </w:rPr>
        <w:t xml:space="preserve"> </w:t>
      </w:r>
      <w:r>
        <w:rPr>
          <w:rFonts w:ascii="Arial" w:hAnsi="Arial" w:cs="Arial"/>
          <w:i/>
          <w:iCs/>
          <w:sz w:val="20"/>
          <w:szCs w:val="20"/>
          <w:lang w:val="en-GB" w:eastAsia="zh-CN"/>
        </w:rPr>
        <w:t>NeighCellConfigList</w:t>
      </w:r>
      <w:r>
        <w:rPr>
          <w:rFonts w:ascii="Arial" w:hAnsi="Arial" w:cs="Arial"/>
          <w:sz w:val="20"/>
          <w:szCs w:val="20"/>
          <w:lang w:eastAsia="zh-CN"/>
        </w:rPr>
        <w:t xml:space="preserve"> (e.g.targetSatInfo) to aquire the NTN-config of the target satellite.</w:t>
      </w:r>
    </w:p>
    <w:p>
      <w:pPr>
        <w:pStyle w:val="125"/>
        <w:rPr>
          <w:rFonts w:ascii="Arial" w:hAnsi="Arial" w:cs="Arial"/>
          <w:lang w:eastAsia="zh-CN"/>
        </w:rPr>
      </w:pPr>
      <w:r>
        <w:rPr>
          <w:rFonts w:ascii="Arial" w:hAnsi="Arial" w:cs="Arial"/>
          <w:lang w:eastAsia="zh-CN"/>
        </w:rPr>
        <w:drawing>
          <wp:inline distT="0" distB="0" distL="0" distR="0">
            <wp:extent cx="5059045" cy="1829435"/>
            <wp:effectExtent l="0" t="0" r="0" b="0"/>
            <wp:docPr id="6710553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55361" name="Picture 1" descr="A screenshot of a computer&#10;&#10;Description automatically generated"/>
                    <pic:cNvPicPr>
                      <a:picLocks noChangeAspect="1"/>
                    </pic:cNvPicPr>
                  </pic:nvPicPr>
                  <pic:blipFill>
                    <a:blip r:embed="rId8"/>
                    <a:stretch>
                      <a:fillRect/>
                    </a:stretch>
                  </pic:blipFill>
                  <pic:spPr>
                    <a:xfrm>
                      <a:off x="0" y="0"/>
                      <a:ext cx="5094537" cy="1842616"/>
                    </a:xfrm>
                    <a:prstGeom prst="rect">
                      <a:avLst/>
                    </a:prstGeom>
                  </pic:spPr>
                </pic:pic>
              </a:graphicData>
            </a:graphic>
          </wp:inline>
        </w:drawing>
      </w:r>
    </w:p>
    <w:p>
      <w:pPr>
        <w:pStyle w:val="125"/>
        <w:numPr>
          <w:ilvl w:val="0"/>
          <w:numId w:val="14"/>
        </w:numPr>
        <w:rPr>
          <w:rFonts w:hint="eastAsia" w:ascii="Arial" w:hAnsi="Arial" w:cs="Arial"/>
          <w:i/>
          <w:iCs/>
          <w:lang w:eastAsia="zh-CN"/>
        </w:rPr>
      </w:pPr>
      <w:r>
        <w:rPr>
          <w:rFonts w:ascii="Arial" w:hAnsi="Arial" w:cs="Arial"/>
          <w:lang w:eastAsia="zh-CN"/>
        </w:rPr>
        <w:t xml:space="preserve">Option 3: </w:t>
      </w:r>
      <w:r>
        <w:rPr>
          <w:rFonts w:hint="eastAsia" w:ascii="Arial" w:hAnsi="Arial" w:cs="Arial"/>
          <w:lang w:val="en-US" w:eastAsia="zh-CN"/>
        </w:rPr>
        <w:t xml:space="preserve">Just extend the additional information for hard/soft switch in the existing </w:t>
      </w:r>
      <w:r>
        <w:rPr>
          <w:rFonts w:hint="eastAsia" w:ascii="Arial" w:hAnsi="Arial" w:cs="Arial"/>
          <w:i/>
          <w:iCs/>
          <w:lang w:eastAsia="zh-CN"/>
        </w:rPr>
        <w:t>NTN-NeighCellConfig</w:t>
      </w:r>
      <w:r>
        <w:rPr>
          <w:rFonts w:hint="eastAsia" w:ascii="Arial" w:hAnsi="Arial" w:cs="Arial"/>
          <w:i/>
          <w:iCs/>
          <w:lang w:val="en-US" w:eastAsia="zh-CN"/>
        </w:rPr>
        <w:t xml:space="preserve"> </w:t>
      </w:r>
      <w:r>
        <w:rPr>
          <w:rFonts w:hint="eastAsia" w:ascii="Arial" w:hAnsi="Arial" w:cs="Arial"/>
          <w:i w:val="0"/>
          <w:iCs w:val="0"/>
          <w:lang w:val="en-US" w:eastAsia="zh-CN"/>
        </w:rPr>
        <w:t>as follows:</w:t>
      </w:r>
    </w:p>
    <w:p>
      <w:pPr>
        <w:pStyle w:val="125"/>
        <w:rPr>
          <w:rFonts w:ascii="Arial" w:hAnsi="Arial" w:cs="Arial"/>
          <w:lang w:eastAsia="zh-CN"/>
        </w:rPr>
      </w:pPr>
    </w:p>
    <w:p>
      <w:pPr>
        <w:pStyle w:val="125"/>
        <w:rPr>
          <w:rFonts w:ascii="Arial" w:hAnsi="Arial" w:cs="Arial"/>
          <w:lang w:eastAsia="zh-CN"/>
        </w:rPr>
      </w:pPr>
    </w:p>
    <w:p>
      <w:pPr>
        <w:pStyle w:val="125"/>
        <w:rPr>
          <w:rFonts w:ascii="Arial" w:hAnsi="Arial" w:cs="Arial"/>
          <w:lang w:eastAsia="zh-CN"/>
        </w:rPr>
      </w:pPr>
      <w:r>
        <w:drawing>
          <wp:inline distT="0" distB="0" distL="114300" distR="114300">
            <wp:extent cx="6111875" cy="3484880"/>
            <wp:effectExtent l="0" t="0" r="3175" b="12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6111875" cy="3484880"/>
                    </a:xfrm>
                    <a:prstGeom prst="rect">
                      <a:avLst/>
                    </a:prstGeom>
                    <a:noFill/>
                    <a:ln>
                      <a:noFill/>
                    </a:ln>
                  </pic:spPr>
                </pic:pic>
              </a:graphicData>
            </a:graphic>
          </wp:inline>
        </w:drawing>
      </w:r>
    </w:p>
    <w:p>
      <w:pPr>
        <w:pStyle w:val="125"/>
        <w:numPr>
          <w:ilvl w:val="0"/>
          <w:numId w:val="14"/>
        </w:numPr>
        <w:ind w:right="200"/>
        <w:rPr>
          <w:rFonts w:cs="Arial"/>
          <w:b/>
          <w:sz w:val="20"/>
        </w:rPr>
      </w:pPr>
      <w:r>
        <w:rPr>
          <w:rFonts w:ascii="Arial" w:hAnsi="Arial" w:cs="Arial"/>
          <w:lang w:eastAsia="zh-CN"/>
        </w:rPr>
        <w:t xml:space="preserve">Option </w:t>
      </w:r>
      <w:r>
        <w:rPr>
          <w:rFonts w:hint="eastAsia" w:ascii="Arial" w:hAnsi="Arial" w:cs="Arial"/>
          <w:lang w:val="en-US" w:eastAsia="zh-CN"/>
        </w:rPr>
        <w:t>4</w:t>
      </w:r>
      <w:r>
        <w:rPr>
          <w:rFonts w:ascii="Arial" w:hAnsi="Arial" w:cs="Arial"/>
          <w:lang w:eastAsia="zh-CN"/>
        </w:rPr>
        <w:t xml:space="preserve">: </w:t>
      </w:r>
      <w:r>
        <w:rPr>
          <w:rFonts w:hint="eastAsia" w:ascii="Arial" w:hAnsi="Arial" w:cs="Arial"/>
          <w:lang w:val="en-US" w:eastAsia="zh-CN"/>
        </w:rPr>
        <w:t>Others?</w:t>
      </w:r>
    </w:p>
    <w:p>
      <w:pPr>
        <w:pStyle w:val="5"/>
        <w:ind w:right="200"/>
        <w:rPr>
          <w:rFonts w:cs="Arial"/>
          <w:b/>
          <w:sz w:val="20"/>
        </w:rPr>
      </w:pPr>
    </w:p>
    <w:p>
      <w:pPr>
        <w:pStyle w:val="5"/>
        <w:ind w:right="200"/>
        <w:rPr>
          <w:rFonts w:cs="Arial"/>
          <w:b/>
          <w:sz w:val="20"/>
        </w:rPr>
      </w:pPr>
      <w:r>
        <w:rPr>
          <w:rFonts w:cs="Arial"/>
          <w:b/>
          <w:sz w:val="20"/>
        </w:rPr>
        <w:t xml:space="preserve">Question </w:t>
      </w:r>
      <w:r>
        <w:rPr>
          <w:rFonts w:cs="Arial"/>
          <w:b/>
          <w:sz w:val="20"/>
          <w:lang w:val="en-US" w:eastAsia="zh-CN"/>
        </w:rPr>
        <w:t>A</w:t>
      </w:r>
      <w:r>
        <w:rPr>
          <w:rFonts w:hint="eastAsia" w:cs="Arial"/>
          <w:b/>
          <w:sz w:val="20"/>
          <w:lang w:eastAsia="zh-CN"/>
        </w:rPr>
        <w:t>1</w:t>
      </w:r>
      <w:r>
        <w:rPr>
          <w:rFonts w:cs="Arial"/>
          <w:b/>
          <w:sz w:val="20"/>
        </w:rPr>
        <w:t>: Please provide your</w:t>
      </w:r>
      <w:r>
        <w:rPr>
          <w:rFonts w:hint="eastAsia" w:cs="Arial"/>
          <w:b/>
          <w:sz w:val="20"/>
        </w:rPr>
        <w:t xml:space="preserve"> </w:t>
      </w:r>
      <w:r>
        <w:rPr>
          <w:rFonts w:cs="Arial"/>
          <w:b/>
          <w:sz w:val="20"/>
        </w:rPr>
        <w:t>prefer</w:t>
      </w:r>
      <w:r>
        <w:rPr>
          <w:rFonts w:hint="eastAsia" w:cs="Arial"/>
          <w:b/>
          <w:sz w:val="20"/>
          <w:lang w:val="en-US" w:eastAsia="zh-CN"/>
        </w:rPr>
        <w:t>r</w:t>
      </w:r>
      <w:r>
        <w:rPr>
          <w:rFonts w:cs="Arial"/>
          <w:b/>
          <w:sz w:val="20"/>
        </w:rPr>
        <w:t>ed options</w:t>
      </w:r>
      <w:r>
        <w:rPr>
          <w:rFonts w:hint="eastAsia" w:cs="Arial"/>
          <w:b/>
          <w:sz w:val="20"/>
        </w:rPr>
        <w:t xml:space="preserve"> on the specific signaling format about the target satellite information in SIB19</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Preferred Option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rPr>
          <w:rFonts w:ascii="Arial" w:hAnsi="Arial" w:cs="Arial"/>
          <w:highlight w:val="yellow"/>
          <w:lang w:val="en-US"/>
        </w:rPr>
      </w:pPr>
    </w:p>
    <w:p>
      <w:pPr>
        <w:rPr>
          <w:rFonts w:ascii="Arial" w:hAnsi="Arial" w:cs="Arial"/>
          <w:b/>
          <w:bCs/>
        </w:rPr>
      </w:pPr>
      <w:r>
        <w:rPr>
          <w:rFonts w:ascii="Arial" w:hAnsi="Arial" w:cs="Arial"/>
          <w:b/>
          <w:bCs/>
        </w:rPr>
        <w:t>Summary:</w:t>
      </w:r>
    </w:p>
    <w:p>
      <w:pPr>
        <w:rPr>
          <w:rFonts w:ascii="Arial" w:hAnsi="Arial" w:cs="Arial"/>
          <w:lang w:val="en-US" w:eastAsia="zh-CN"/>
        </w:rPr>
      </w:pPr>
    </w:p>
    <w:p>
      <w:pPr>
        <w:rPr>
          <w:rFonts w:ascii="Arial" w:hAnsi="Arial" w:cs="Arial"/>
          <w:lang w:val="en-US" w:eastAsia="zh-CN"/>
        </w:rPr>
      </w:pPr>
    </w:p>
    <w:p>
      <w:pPr>
        <w:pStyle w:val="4"/>
        <w:ind w:right="200"/>
        <w:rPr>
          <w:rFonts w:cs="Arial"/>
          <w:b/>
          <w:bCs/>
          <w:szCs w:val="28"/>
          <w:lang w:val="en-US" w:eastAsia="zh-CN"/>
        </w:rPr>
      </w:pPr>
      <w:r>
        <w:rPr>
          <w:rFonts w:cs="Arial"/>
          <w:b/>
          <w:bCs/>
          <w:szCs w:val="28"/>
          <w:lang w:val="en-US" w:eastAsia="zh-CN"/>
        </w:rPr>
        <w:t xml:space="preserve">Issue 2 </w:t>
      </w:r>
      <w:r>
        <w:rPr>
          <w:rFonts w:hint="eastAsia" w:cs="Arial"/>
          <w:b/>
          <w:bCs/>
          <w:szCs w:val="28"/>
          <w:lang w:val="en-US" w:eastAsia="zh-CN"/>
        </w:rPr>
        <w:t>Target satellite SMTC aspects</w:t>
      </w:r>
    </w:p>
    <w:p>
      <w:pPr>
        <w:rPr>
          <w:rFonts w:hint="eastAsia" w:ascii="Arial" w:hAnsi="Arial" w:cs="Arial"/>
          <w:lang w:val="en-US" w:eastAsia="zh-CN"/>
        </w:rPr>
      </w:pPr>
      <w:r>
        <w:rPr>
          <w:rFonts w:hint="eastAsia" w:ascii="Arial" w:hAnsi="Arial" w:cs="Arial"/>
          <w:lang w:val="en-US" w:eastAsia="zh-CN"/>
        </w:rPr>
        <w:t>For the additional information distributed in the system information, SMTC configuration of target satellite is needed based on some companies comments, as in the F2F offline discussion [2],  the following issues are raised and need further discussion:</w:t>
      </w:r>
    </w:p>
    <w:p>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lang w:val="en-US"/>
        </w:rPr>
        <w:t>Is the SMTC configuration of the target satellites the same or different from the source</w:t>
      </w:r>
      <w:r>
        <w:rPr>
          <w:rFonts w:hint="eastAsia" w:ascii="Arial" w:hAnsi="Arial" w:cs="Arial"/>
          <w:lang w:val="en-US" w:eastAsia="zh-CN"/>
        </w:rPr>
        <w:t xml:space="preserve">? </w:t>
      </w:r>
      <w:r>
        <w:rPr>
          <w:rFonts w:hint="eastAsia" w:ascii="Arial" w:hAnsi="Arial" w:cs="Arial"/>
          <w:i/>
          <w:iCs/>
          <w:lang w:val="en-US" w:eastAsia="zh-CN"/>
        </w:rPr>
        <w:t>Notes: the answer can be respectively provided for the hard switch and soft switch.</w:t>
      </w:r>
    </w:p>
    <w:p>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 xml:space="preserve">Is the SMTC adjustment </w:t>
      </w:r>
      <w:r>
        <w:rPr>
          <w:rFonts w:hint="eastAsia" w:ascii="Arial" w:hAnsi="Arial" w:cs="Arial"/>
          <w:lang w:val="en-US"/>
        </w:rPr>
        <w:t>h</w:t>
      </w:r>
      <w:r>
        <w:rPr>
          <w:rFonts w:ascii="Arial" w:hAnsi="Arial" w:cs="Arial"/>
          <w:lang w:val="en-US"/>
        </w:rPr>
        <w:t>andled by network or by UE?</w:t>
      </w:r>
    </w:p>
    <w:p>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How to provide the SMTC configuration of the target satellite if it’s different?</w:t>
      </w:r>
    </w:p>
    <w:p>
      <w:pPr>
        <w:pStyle w:val="5"/>
        <w:ind w:right="200"/>
        <w:rPr>
          <w:rFonts w:cs="Arial"/>
          <w:b/>
          <w:sz w:val="20"/>
        </w:rPr>
      </w:pPr>
      <w:r>
        <w:rPr>
          <w:rFonts w:cs="Arial"/>
          <w:b/>
          <w:sz w:val="20"/>
        </w:rPr>
        <w:t>Question A2</w:t>
      </w:r>
      <w:r>
        <w:rPr>
          <w:rFonts w:hint="eastAsia" w:cs="Arial"/>
          <w:b/>
          <w:sz w:val="20"/>
        </w:rPr>
        <w:t xml:space="preserve">-1 </w:t>
      </w:r>
      <w:r>
        <w:rPr>
          <w:rFonts w:cs="Arial"/>
          <w:b/>
          <w:sz w:val="20"/>
        </w:rPr>
        <w:t>: Do you think the SMTC configuration of target satellite can be different from that in source?</w:t>
      </w:r>
    </w:p>
    <w:p>
      <w:pPr>
        <w:numPr>
          <w:ilvl w:val="1"/>
          <w:numId w:val="15"/>
        </w:numPr>
        <w:overflowPunct w:val="0"/>
        <w:autoSpaceDE w:val="0"/>
        <w:autoSpaceDN w:val="0"/>
        <w:adjustRightInd w:val="0"/>
        <w:textAlignment w:val="baseline"/>
        <w:rPr>
          <w:rFonts w:ascii="Arial" w:hAnsi="Arial" w:cs="Arial"/>
          <w:i/>
          <w:iCs/>
          <w:lang w:val="en-US"/>
        </w:rPr>
      </w:pPr>
      <w:r>
        <w:rPr>
          <w:rFonts w:hint="eastAsia" w:ascii="Arial" w:hAnsi="Arial" w:cs="Arial"/>
          <w:i/>
          <w:iCs/>
          <w:lang w:val="en-US" w:eastAsia="zh-CN"/>
        </w:rPr>
        <w:t>Notes: the answer can be respectively provided for the hard switch and soft switch.</w:t>
      </w:r>
    </w:p>
    <w:p/>
    <w:tbl>
      <w:tblPr>
        <w:tblStyle w:val="44"/>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862"/>
        <w:gridCol w:w="1610"/>
        <w:gridCol w:w="4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862" w:type="dxa"/>
          </w:tcPr>
          <w:p>
            <w:pPr>
              <w:jc w:val="center"/>
              <w:rPr>
                <w:rFonts w:ascii="Arial" w:hAnsi="Arial" w:eastAsia="Helvetica" w:cs="Arial"/>
                <w:b/>
                <w:lang w:val="en-US"/>
              </w:rPr>
            </w:pPr>
            <w:r>
              <w:rPr>
                <w:rFonts w:hint="eastAsia" w:ascii="Arial" w:hAnsi="Arial" w:eastAsia="Helvetica" w:cs="Arial"/>
                <w:b/>
                <w:lang w:val="en-US" w:eastAsia="zh-CN"/>
              </w:rPr>
              <w:t>Yes/No</w:t>
            </w:r>
            <w:r>
              <w:rPr>
                <w:rFonts w:ascii="Arial" w:hAnsi="Arial" w:eastAsia="Helvetica" w:cs="Arial"/>
                <w:b/>
                <w:lang w:val="en-US"/>
              </w:rPr>
              <w:t xml:space="preserve"> </w:t>
            </w:r>
          </w:p>
          <w:p>
            <w:pPr>
              <w:jc w:val="center"/>
              <w:rPr>
                <w:rFonts w:hint="eastAsia" w:ascii="Arial" w:hAnsi="Arial" w:eastAsia="宋体" w:cs="Arial"/>
                <w:b/>
                <w:lang w:val="en-US" w:eastAsia="zh-CN"/>
              </w:rPr>
            </w:pPr>
            <w:r>
              <w:rPr>
                <w:rFonts w:hint="eastAsia" w:ascii="Arial" w:hAnsi="Arial" w:cs="Arial"/>
                <w:b/>
                <w:lang w:val="en-US" w:eastAsia="zh-CN"/>
              </w:rPr>
              <w:t>（for hard switch）</w:t>
            </w:r>
          </w:p>
        </w:tc>
        <w:tc>
          <w:tcPr>
            <w:tcW w:w="1610" w:type="dxa"/>
          </w:tcPr>
          <w:p>
            <w:pPr>
              <w:jc w:val="center"/>
              <w:rPr>
                <w:rFonts w:ascii="Arial" w:hAnsi="Arial" w:eastAsia="Helvetica" w:cs="Arial"/>
                <w:b/>
                <w:lang w:val="en-US"/>
              </w:rPr>
            </w:pPr>
            <w:r>
              <w:rPr>
                <w:rFonts w:hint="eastAsia" w:ascii="Arial" w:hAnsi="Arial" w:eastAsia="Helvetica" w:cs="Arial"/>
                <w:b/>
                <w:lang w:val="en-US" w:eastAsia="zh-CN"/>
              </w:rPr>
              <w:t>Yes/No</w:t>
            </w:r>
            <w:r>
              <w:rPr>
                <w:rFonts w:ascii="Arial" w:hAnsi="Arial" w:eastAsia="Helvetica" w:cs="Arial"/>
                <w:b/>
                <w:lang w:val="en-US"/>
              </w:rPr>
              <w:t xml:space="preserve"> </w:t>
            </w:r>
          </w:p>
          <w:p>
            <w:pPr>
              <w:jc w:val="center"/>
              <w:rPr>
                <w:rFonts w:ascii="Arial" w:hAnsi="Arial" w:eastAsia="Helvetica" w:cs="Arial"/>
                <w:b/>
                <w:lang w:val="en-US"/>
              </w:rPr>
            </w:pPr>
            <w:r>
              <w:rPr>
                <w:rFonts w:hint="eastAsia" w:ascii="Arial" w:hAnsi="Arial" w:cs="Arial"/>
                <w:b/>
                <w:lang w:val="en-US" w:eastAsia="zh-CN"/>
              </w:rPr>
              <w:t>（for soft switch）</w:t>
            </w:r>
          </w:p>
        </w:tc>
        <w:tc>
          <w:tcPr>
            <w:tcW w:w="4229"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862" w:type="dxa"/>
          </w:tcPr>
          <w:p>
            <w:pPr>
              <w:rPr>
                <w:rFonts w:ascii="Arial" w:hAnsi="Arial" w:cs="Arial" w:eastAsiaTheme="minorEastAsia"/>
                <w:lang w:val="en-US" w:eastAsia="zh-CN"/>
              </w:rPr>
            </w:pPr>
          </w:p>
        </w:tc>
        <w:tc>
          <w:tcPr>
            <w:tcW w:w="1610" w:type="dxa"/>
          </w:tcPr>
          <w:p>
            <w:pPr>
              <w:rPr>
                <w:rFonts w:ascii="Arial" w:hAnsi="Arial" w:cs="Arial" w:eastAsiaTheme="minorEastAsia"/>
                <w:lang w:val="en-US" w:eastAsia="zh-CN"/>
              </w:rPr>
            </w:pPr>
          </w:p>
        </w:tc>
        <w:tc>
          <w:tcPr>
            <w:tcW w:w="4229"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862" w:type="dxa"/>
          </w:tcPr>
          <w:p>
            <w:pPr>
              <w:rPr>
                <w:rFonts w:ascii="Arial" w:hAnsi="Arial" w:cs="Arial" w:eastAsiaTheme="minorEastAsia"/>
                <w:lang w:val="en-US" w:eastAsia="zh-CN"/>
              </w:rPr>
            </w:pPr>
          </w:p>
        </w:tc>
        <w:tc>
          <w:tcPr>
            <w:tcW w:w="1610" w:type="dxa"/>
          </w:tcPr>
          <w:p>
            <w:pPr>
              <w:rPr>
                <w:rFonts w:ascii="Arial" w:hAnsi="Arial" w:cs="Arial" w:eastAsiaTheme="minorEastAsia"/>
                <w:lang w:val="en-US" w:eastAsia="zh-CN"/>
              </w:rPr>
            </w:pPr>
          </w:p>
        </w:tc>
        <w:tc>
          <w:tcPr>
            <w:tcW w:w="4229"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862" w:type="dxa"/>
          </w:tcPr>
          <w:p>
            <w:pPr>
              <w:rPr>
                <w:rFonts w:ascii="Arial" w:hAnsi="Arial" w:cs="Arial" w:eastAsiaTheme="minorEastAsia"/>
                <w:lang w:val="en-US" w:eastAsia="zh-CN"/>
              </w:rPr>
            </w:pPr>
          </w:p>
        </w:tc>
        <w:tc>
          <w:tcPr>
            <w:tcW w:w="1610" w:type="dxa"/>
          </w:tcPr>
          <w:p>
            <w:pPr>
              <w:rPr>
                <w:rFonts w:ascii="Arial" w:hAnsi="Arial" w:eastAsia="Helvetica" w:cs="Arial"/>
                <w:lang w:val="en-US"/>
              </w:rPr>
            </w:pPr>
          </w:p>
        </w:tc>
        <w:tc>
          <w:tcPr>
            <w:tcW w:w="4229"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862" w:type="dxa"/>
          </w:tcPr>
          <w:p>
            <w:pPr>
              <w:rPr>
                <w:rFonts w:ascii="Arial" w:hAnsi="Arial" w:cs="Arial" w:eastAsiaTheme="minorEastAsia"/>
                <w:lang w:val="en-US" w:eastAsia="zh-CN"/>
              </w:rPr>
            </w:pPr>
          </w:p>
        </w:tc>
        <w:tc>
          <w:tcPr>
            <w:tcW w:w="1610" w:type="dxa"/>
          </w:tcPr>
          <w:p>
            <w:pPr>
              <w:rPr>
                <w:rFonts w:ascii="Arial" w:hAnsi="Arial" w:eastAsia="Helvetica" w:cs="Arial"/>
                <w:lang w:val="en-US"/>
              </w:rPr>
            </w:pPr>
          </w:p>
        </w:tc>
        <w:tc>
          <w:tcPr>
            <w:tcW w:w="4229" w:type="dxa"/>
          </w:tcPr>
          <w:p>
            <w:pPr>
              <w:rPr>
                <w:rFonts w:ascii="Arial" w:hAnsi="Arial" w:eastAsia="Helvetica" w:cs="Arial"/>
                <w:lang w:val="en-US"/>
              </w:rPr>
            </w:pPr>
          </w:p>
        </w:tc>
      </w:tr>
    </w:tbl>
    <w:p/>
    <w:p>
      <w:pPr>
        <w:pStyle w:val="5"/>
        <w:ind w:right="200"/>
        <w:rPr>
          <w:rFonts w:cs="Arial"/>
          <w:b/>
          <w:sz w:val="20"/>
        </w:rPr>
      </w:pPr>
      <w:r>
        <w:rPr>
          <w:rFonts w:cs="Arial"/>
          <w:b/>
          <w:sz w:val="20"/>
        </w:rPr>
        <w:t>Question A2</w:t>
      </w:r>
      <w:r>
        <w:rPr>
          <w:rFonts w:hint="eastAsia" w:cs="Arial"/>
          <w:b/>
          <w:sz w:val="20"/>
        </w:rPr>
        <w:t>-</w:t>
      </w:r>
      <w:r>
        <w:rPr>
          <w:rFonts w:cs="Arial"/>
          <w:b/>
          <w:sz w:val="20"/>
        </w:rPr>
        <w:t>2</w:t>
      </w:r>
      <w:r>
        <w:rPr>
          <w:rFonts w:hint="eastAsia" w:cs="Arial"/>
          <w:b/>
          <w:sz w:val="20"/>
        </w:rPr>
        <w:t xml:space="preserve"> </w:t>
      </w:r>
      <w:r>
        <w:rPr>
          <w:rFonts w:cs="Arial"/>
          <w:b/>
          <w:sz w:val="20"/>
        </w:rPr>
        <w:t>: Do you think the SMTC configuration adjustment should be handled by network or by UE?</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network control </w:t>
      </w:r>
    </w:p>
    <w:p>
      <w:pPr>
        <w:pStyle w:val="125"/>
        <w:ind w:left="284"/>
        <w:rPr>
          <w:rFonts w:ascii="Arial" w:hAnsi="Arial" w:cs="Arial"/>
          <w:sz w:val="20"/>
          <w:szCs w:val="20"/>
          <w:lang w:eastAsia="zh-CN"/>
        </w:rPr>
      </w:pPr>
      <w:r>
        <w:rPr>
          <w:rFonts w:ascii="Arial" w:hAnsi="Arial" w:cs="Arial"/>
          <w:sz w:val="20"/>
          <w:szCs w:val="20"/>
          <w:lang w:eastAsia="zh-CN"/>
        </w:rPr>
        <w:t xml:space="preserve">If network handles the SMTC configuration adjustment, UE </w:t>
      </w:r>
      <w:r>
        <w:rPr>
          <w:rFonts w:hint="eastAsia" w:ascii="Arial" w:hAnsi="Arial" w:cs="Arial"/>
          <w:sz w:val="20"/>
          <w:szCs w:val="20"/>
          <w:lang w:val="en-US" w:eastAsia="zh-CN"/>
        </w:rPr>
        <w:t xml:space="preserve">does not </w:t>
      </w:r>
      <w:r>
        <w:rPr>
          <w:rFonts w:ascii="Arial" w:hAnsi="Arial" w:cs="Arial"/>
          <w:sz w:val="20"/>
          <w:szCs w:val="20"/>
          <w:lang w:eastAsia="zh-CN"/>
        </w:rPr>
        <w:t xml:space="preserve">need to adjust the SMTC configuration of the target satellite based on the PDD. </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UE control </w:t>
      </w:r>
    </w:p>
    <w:p>
      <w:pPr>
        <w:pStyle w:val="125"/>
        <w:ind w:left="284"/>
        <w:rPr>
          <w:rFonts w:ascii="Arial" w:hAnsi="Arial" w:cs="Arial"/>
          <w:sz w:val="20"/>
          <w:szCs w:val="20"/>
          <w:lang w:eastAsia="zh-CN"/>
        </w:rPr>
      </w:pPr>
      <w:r>
        <w:rPr>
          <w:rFonts w:ascii="Arial" w:hAnsi="Arial" w:cs="Arial"/>
          <w:sz w:val="20"/>
          <w:szCs w:val="20"/>
          <w:lang w:eastAsia="zh-CN"/>
        </w:rPr>
        <w:t xml:space="preserve">If UE handles the SMTC configuration adjustment, UE needs to perform the adjustment based on the PDD between source SAT and target SAT, and the behavior is similar as that in IDLE/INACTIVE operation. </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3: other?  </w:t>
      </w:r>
    </w:p>
    <w:p>
      <w:pPr>
        <w:pStyle w:val="125"/>
        <w:ind w:left="284"/>
        <w:rPr>
          <w:rFonts w:hint="eastAsia" w:ascii="Arial" w:hAnsi="Arial" w:cs="Arial"/>
          <w:lang w:eastAsia="zh-CN"/>
        </w:rPr>
      </w:pP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eastAsia="zh-CN"/>
              </w:rPr>
              <w:t>Option</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bl>
    <w:p/>
    <w:p>
      <w:pPr>
        <w:pStyle w:val="5"/>
        <w:ind w:right="200"/>
        <w:rPr>
          <w:rFonts w:cs="Arial"/>
          <w:b/>
          <w:sz w:val="20"/>
        </w:rPr>
      </w:pPr>
      <w:r>
        <w:rPr>
          <w:rFonts w:cs="Arial"/>
          <w:b/>
          <w:sz w:val="20"/>
        </w:rPr>
        <w:t>Question A2</w:t>
      </w:r>
      <w:r>
        <w:rPr>
          <w:rFonts w:hint="eastAsia" w:cs="Arial"/>
          <w:b/>
          <w:sz w:val="20"/>
        </w:rPr>
        <w:t>-</w:t>
      </w:r>
      <w:r>
        <w:rPr>
          <w:rFonts w:cs="Arial"/>
          <w:b/>
          <w:sz w:val="20"/>
        </w:rPr>
        <w:t>3</w:t>
      </w:r>
      <w:r>
        <w:rPr>
          <w:rFonts w:hint="eastAsia" w:cs="Arial"/>
          <w:b/>
          <w:sz w:val="20"/>
        </w:rPr>
        <w:t xml:space="preserve"> </w:t>
      </w:r>
      <w:r>
        <w:rPr>
          <w:rFonts w:cs="Arial"/>
          <w:b/>
          <w:sz w:val="20"/>
        </w:rPr>
        <w:t xml:space="preserve">: If SMTC configuration is different </w:t>
      </w:r>
      <w:r>
        <w:rPr>
          <w:rFonts w:hint="eastAsia" w:cs="Arial"/>
          <w:b/>
          <w:sz w:val="20"/>
          <w:lang w:val="en-US" w:eastAsia="zh-CN"/>
        </w:rPr>
        <w:t>from</w:t>
      </w:r>
      <w:r>
        <w:rPr>
          <w:rFonts w:cs="Arial"/>
          <w:b/>
          <w:sz w:val="20"/>
        </w:rPr>
        <w:t xml:space="preserve"> source and target satellite, do you think the SMTC configuration of target satellite should be provided in SIB19 or in RRC dedicated signaling in advance?</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Option 1: provided in SIB19</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provided in RRCReconfiguration before SAT switching </w:t>
      </w:r>
    </w:p>
    <w:p>
      <w:pPr>
        <w:pStyle w:val="125"/>
        <w:numPr>
          <w:ilvl w:val="0"/>
          <w:numId w:val="14"/>
        </w:numPr>
        <w:ind w:left="284" w:hanging="284"/>
        <w:rPr>
          <w:rFonts w:hint="eastAsia" w:ascii="Arial" w:hAnsi="Arial" w:cs="Arial"/>
          <w:sz w:val="20"/>
          <w:szCs w:val="20"/>
          <w:lang w:eastAsia="zh-CN"/>
        </w:rPr>
      </w:pPr>
      <w:r>
        <w:rPr>
          <w:rFonts w:ascii="Arial" w:hAnsi="Arial" w:cs="Arial"/>
          <w:sz w:val="20"/>
          <w:szCs w:val="20"/>
          <w:lang w:eastAsia="zh-CN"/>
        </w:rPr>
        <w:t>Option 3: others?</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eastAsia="zh-CN"/>
              </w:rPr>
              <w:t>Option</w:t>
            </w:r>
            <w:r>
              <w:rPr>
                <w:rFonts w:ascii="Arial" w:hAnsi="Arial" w:eastAsia="Helvetica" w:cs="Arial"/>
                <w:b/>
                <w:lang w:val="en-US"/>
              </w:rPr>
              <w:t xml:space="preserve"> </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bl>
    <w:p>
      <w:pPr>
        <w:rPr>
          <w:rFonts w:ascii="Arial" w:hAnsi="Arial" w:cs="Arial"/>
          <w:b/>
          <w:lang w:val="en-US" w:eastAsia="zh-CN"/>
        </w:rPr>
      </w:pPr>
    </w:p>
    <w:p>
      <w:pPr>
        <w:rPr>
          <w:rFonts w:ascii="Arial" w:hAnsi="Arial" w:cs="Arial"/>
          <w:b/>
          <w:lang w:val="en-US" w:eastAsia="zh-CN"/>
        </w:rPr>
      </w:pPr>
      <w:bookmarkStart w:id="2" w:name="_GoBack"/>
      <w:bookmarkEnd w:id="2"/>
    </w:p>
    <w:p>
      <w:pPr>
        <w:pStyle w:val="4"/>
        <w:ind w:right="200"/>
        <w:rPr>
          <w:rFonts w:cs="Arial"/>
          <w:b/>
          <w:bCs/>
          <w:szCs w:val="28"/>
          <w:lang w:val="en-US" w:eastAsia="zh-CN"/>
        </w:rPr>
      </w:pPr>
      <w:r>
        <w:rPr>
          <w:rFonts w:cs="Arial"/>
          <w:b/>
          <w:bCs/>
          <w:szCs w:val="28"/>
          <w:lang w:val="en-US" w:eastAsia="zh-CN"/>
        </w:rPr>
        <w:t xml:space="preserve">Issue 3: </w:t>
      </w:r>
      <w:r>
        <w:rPr>
          <w:rFonts w:hint="eastAsia" w:cs="Arial"/>
          <w:b/>
          <w:bCs/>
          <w:szCs w:val="28"/>
          <w:lang w:val="en-US" w:eastAsia="zh-CN"/>
        </w:rPr>
        <w:t>Hard or soft switch indication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Arial" w:hAnsi="Arial" w:eastAsia="Helvetica" w:cs="Arial"/>
                <w:lang w:val="en-US" w:eastAsia="zh-CN"/>
              </w:rPr>
            </w:pPr>
            <w:r>
              <w:rPr>
                <w:rFonts w:ascii="Arial" w:hAnsi="Arial" w:eastAsia="Helvetica" w:cs="Arial"/>
                <w:lang w:val="en-US" w:eastAsia="zh-CN"/>
              </w:rPr>
              <w:t>RAN2#123bis agreement:</w:t>
            </w:r>
          </w:p>
          <w:p>
            <w:pPr>
              <w:pStyle w:val="127"/>
              <w:numPr>
                <w:ilvl w:val="0"/>
                <w:numId w:val="13"/>
              </w:numPr>
              <w:spacing w:line="240" w:lineRule="auto"/>
              <w:rPr>
                <w:rFonts w:eastAsia="Helvetica"/>
                <w:i/>
                <w:iCs/>
                <w:highlight w:val="yellow"/>
              </w:rPr>
            </w:pPr>
            <w:r>
              <w:rPr>
                <w:rFonts w:eastAsia="Helvetica"/>
                <w:i/>
                <w:iCs/>
              </w:rPr>
              <w:t xml:space="preserve">Only 1 target satellite information (i.e. NTN-config) of serving cell is provided in SIB19. </w:t>
            </w:r>
            <w:r>
              <w:rPr>
                <w:rFonts w:eastAsia="Helvetica"/>
                <w:i/>
                <w:iCs/>
                <w:highlight w:val="yellow"/>
              </w:rPr>
              <w:t>FFS on exact signalling</w:t>
            </w:r>
          </w:p>
        </w:tc>
      </w:tr>
    </w:tbl>
    <w:p>
      <w:pPr>
        <w:rPr>
          <w:rFonts w:ascii="Arial" w:hAnsi="Arial" w:cs="Arial"/>
          <w:lang w:val="en-US" w:eastAsia="zh-CN"/>
        </w:rPr>
      </w:pPr>
    </w:p>
    <w:p>
      <w:pPr>
        <w:pStyle w:val="5"/>
        <w:ind w:right="200"/>
        <w:rPr>
          <w:rFonts w:cs="Arial"/>
          <w:b/>
          <w:sz w:val="20"/>
        </w:rPr>
      </w:pPr>
      <w:r>
        <w:rPr>
          <w:rFonts w:hint="eastAsia" w:ascii="Arial" w:hAnsi="Arial" w:cs="Arial"/>
          <w:bCs/>
          <w:lang w:val="en-US" w:eastAsia="zh-CN"/>
        </w:rPr>
        <w:t>We agreed to introduce an indication to inform UE it is hard switch or soft switch case, with FFS if explicit or implicit.</w:t>
      </w:r>
      <w:r>
        <w:rPr>
          <w:rFonts w:cs="Arial"/>
          <w:b/>
          <w:sz w:val="20"/>
        </w:rPr>
        <w:t xml:space="preserve">Question A3: Please provide your preferred </w:t>
      </w:r>
      <w:r>
        <w:rPr>
          <w:rFonts w:hint="eastAsia" w:cs="Arial"/>
          <w:b/>
          <w:sz w:val="20"/>
        </w:rPr>
        <w:t>indication manner, explicit or implicit</w:t>
      </w:r>
      <w:r>
        <w:rPr>
          <w:rFonts w:cs="Arial"/>
          <w:b/>
          <w:sz w:val="20"/>
        </w:rPr>
        <w:t>?</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Option 1: explicit indication, i.e. 1 bit indication whether it’s the soft switching or hard switching</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implicit indication via the presence of T-start related configuration, e.g. soft switching if T-start is configured. </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rPr>
              <w:t xml:space="preserve">Option </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val="en-US" w:eastAsia="zh-CN"/>
              </w:rPr>
            </w:pPr>
          </w:p>
        </w:tc>
        <w:tc>
          <w:tcPr>
            <w:tcW w:w="2126" w:type="dxa"/>
            <w:shd w:val="clear" w:color="auto" w:fill="auto"/>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bl>
    <w:p>
      <w:pPr>
        <w:rPr>
          <w:rFonts w:ascii="Arial" w:hAnsi="Arial" w:cs="Arial"/>
          <w:b/>
          <w:lang w:eastAsia="zh-CN"/>
        </w:rPr>
      </w:pPr>
    </w:p>
    <w:p>
      <w:pPr>
        <w:rPr>
          <w:rFonts w:ascii="Arial" w:hAnsi="Arial" w:cs="Arial"/>
          <w:b/>
          <w:bCs/>
        </w:rPr>
      </w:pPr>
      <w:r>
        <w:rPr>
          <w:rFonts w:ascii="Arial" w:hAnsi="Arial" w:cs="Arial"/>
          <w:b/>
          <w:bCs/>
        </w:rPr>
        <w:t>Summary:</w:t>
      </w: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pStyle w:val="4"/>
        <w:ind w:right="200"/>
        <w:rPr>
          <w:rFonts w:cs="Arial"/>
          <w:b/>
          <w:bCs/>
          <w:szCs w:val="28"/>
          <w:lang w:val="en-US" w:eastAsia="zh-CN"/>
        </w:rPr>
      </w:pPr>
      <w:r>
        <w:rPr>
          <w:rFonts w:cs="Arial"/>
          <w:b/>
          <w:bCs/>
          <w:szCs w:val="28"/>
          <w:lang w:val="en-US" w:eastAsia="zh-CN"/>
        </w:rPr>
        <w:t xml:space="preserve">Issue 4: </w:t>
      </w:r>
      <w:r>
        <w:rPr>
          <w:rFonts w:hint="eastAsia" w:cs="Arial"/>
          <w:b/>
          <w:bCs/>
          <w:szCs w:val="28"/>
          <w:lang w:val="en-US" w:eastAsia="zh-CN"/>
        </w:rPr>
        <w:t>Target satellite SSB aspects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Arial" w:hAnsi="Arial" w:eastAsia="Helvetica" w:cs="Arial"/>
                <w:lang w:val="en-US" w:eastAsia="zh-CN"/>
              </w:rPr>
            </w:pPr>
            <w:r>
              <w:rPr>
                <w:rFonts w:ascii="Arial" w:hAnsi="Arial" w:eastAsia="Helvetica" w:cs="Arial"/>
                <w:lang w:val="en-US" w:eastAsia="zh-CN"/>
              </w:rPr>
              <w:t>RAN2#123bis agreement:</w:t>
            </w:r>
          </w:p>
          <w:p>
            <w:pPr>
              <w:pStyle w:val="127"/>
              <w:numPr>
                <w:ilvl w:val="0"/>
                <w:numId w:val="13"/>
              </w:numPr>
              <w:spacing w:line="240" w:lineRule="auto"/>
              <w:rPr>
                <w:rFonts w:eastAsia="Helvetica"/>
              </w:rPr>
            </w:pPr>
            <w:r>
              <w:rPr>
                <w:rFonts w:eastAsia="Helvetica"/>
              </w:rPr>
              <w:t xml:space="preserve">At least soft satellite switching, network provides SSB information of target satellite to UE. </w:t>
            </w:r>
            <w:r>
              <w:rPr>
                <w:rFonts w:eastAsia="Helvetica"/>
                <w:highlight w:val="yellow"/>
              </w:rPr>
              <w:t>FFS on the details: options include e.g. indicating a time offset/information or indicating a different SSB index for the target satellite (FFS for Hard satellite switch</w:t>
            </w:r>
            <w:r>
              <w:rPr>
                <w:rFonts w:eastAsia="Helvetica"/>
              </w:rPr>
              <w:t>)</w:t>
            </w:r>
          </w:p>
        </w:tc>
      </w:tr>
    </w:tbl>
    <w:p>
      <w:pPr>
        <w:rPr>
          <w:rFonts w:ascii="Arial" w:hAnsi="Arial" w:cs="Arial"/>
          <w:lang w:val="en-US" w:eastAsia="zh-CN"/>
        </w:rPr>
      </w:pPr>
    </w:p>
    <w:p>
      <w:pPr>
        <w:rPr>
          <w:rFonts w:ascii="Arial" w:hAnsi="Arial" w:cs="Arial"/>
          <w:bCs/>
          <w:lang w:val="en-US" w:eastAsia="zh-CN"/>
        </w:rPr>
      </w:pPr>
      <w:r>
        <w:rPr>
          <w:rFonts w:hint="eastAsia" w:ascii="Arial" w:hAnsi="Arial" w:cs="Arial"/>
          <w:bCs/>
          <w:lang w:val="en-US" w:eastAsia="zh-CN"/>
        </w:rPr>
        <w:t>At least soft satellite switching, network provides SSB information of target satellite to UE is agreed.  And the detail target SSB information is FFS, and the following options could be the discussion baseline based on our discussion in RAN2 #123bis meeting:</w:t>
      </w:r>
    </w:p>
    <w:p>
      <w:pPr>
        <w:ind w:firstLine="284"/>
        <w:rPr>
          <w:rFonts w:ascii="Arial" w:hAnsi="Arial" w:cs="Arial"/>
        </w:rPr>
      </w:pPr>
      <w:r>
        <w:rPr>
          <w:rFonts w:hint="eastAsia" w:ascii="Arial" w:hAnsi="Arial" w:cs="Arial"/>
          <w:b/>
          <w:bCs/>
          <w:lang w:val="en-US" w:eastAsia="zh-CN"/>
        </w:rPr>
        <w:t xml:space="preserve">Option 1: </w:t>
      </w:r>
      <w:r>
        <w:rPr>
          <w:rFonts w:hint="eastAsia" w:ascii="Arial" w:hAnsi="Arial" w:cs="Arial"/>
          <w:lang w:val="en-US" w:eastAsia="zh-CN"/>
        </w:rPr>
        <w:t>I</w:t>
      </w:r>
      <w:r>
        <w:rPr>
          <w:rFonts w:ascii="Arial" w:hAnsi="Arial" w:cs="Arial"/>
        </w:rPr>
        <w:t>ndicating a time offset/information  for the target satellite</w:t>
      </w:r>
    </w:p>
    <w:p>
      <w:pPr>
        <w:ind w:firstLine="284"/>
        <w:rPr>
          <w:rFonts w:ascii="Arial" w:hAnsi="Arial" w:cs="Arial"/>
        </w:rPr>
      </w:pPr>
      <w:r>
        <w:rPr>
          <w:rFonts w:hint="eastAsia" w:ascii="Arial" w:hAnsi="Arial" w:cs="Arial"/>
          <w:b/>
          <w:bCs/>
          <w:lang w:val="en-US" w:eastAsia="zh-CN"/>
        </w:rPr>
        <w:t>Option 2:</w:t>
      </w:r>
      <w:r>
        <w:rPr>
          <w:rFonts w:hint="eastAsia" w:ascii="Arial" w:hAnsi="Arial" w:cs="Arial"/>
          <w:lang w:val="en-US" w:eastAsia="zh-CN"/>
        </w:rPr>
        <w:t xml:space="preserve"> I</w:t>
      </w:r>
      <w:r>
        <w:rPr>
          <w:rFonts w:ascii="Arial" w:hAnsi="Arial" w:cs="Arial"/>
        </w:rPr>
        <w:t>ndicating a different SSB index for the target satellite</w:t>
      </w:r>
    </w:p>
    <w:p>
      <w:pPr>
        <w:pStyle w:val="5"/>
        <w:ind w:right="200"/>
        <w:rPr>
          <w:rFonts w:cs="Arial"/>
          <w:b/>
          <w:sz w:val="20"/>
        </w:rPr>
      </w:pPr>
      <w:r>
        <w:rPr>
          <w:rFonts w:cs="Arial"/>
          <w:b/>
          <w:sz w:val="20"/>
        </w:rPr>
        <w:t>Question A</w:t>
      </w:r>
      <w:r>
        <w:rPr>
          <w:rFonts w:hint="eastAsia" w:cs="Arial"/>
          <w:b/>
          <w:sz w:val="20"/>
        </w:rPr>
        <w:t>4-1</w:t>
      </w:r>
      <w:r>
        <w:rPr>
          <w:rFonts w:cs="Arial"/>
          <w:b/>
          <w:sz w:val="20"/>
        </w:rPr>
        <w:t>: Please provide your preferred option</w:t>
      </w:r>
      <w:r>
        <w:rPr>
          <w:rFonts w:hint="eastAsia" w:cs="Arial"/>
          <w:b/>
          <w:sz w:val="20"/>
        </w:rPr>
        <w:t xml:space="preserve"> about target satellite SSB information in soft switch.</w:t>
      </w:r>
    </w:p>
    <w:p>
      <w:pPr>
        <w:ind w:firstLine="284"/>
        <w:rPr>
          <w:rFonts w:ascii="Arial" w:hAnsi="Arial" w:cs="Arial"/>
        </w:rPr>
      </w:pPr>
      <w:r>
        <w:rPr>
          <w:rFonts w:hint="eastAsia" w:ascii="Arial" w:hAnsi="Arial" w:cs="Arial"/>
          <w:b/>
          <w:bCs/>
          <w:lang w:val="en-US" w:eastAsia="zh-CN"/>
        </w:rPr>
        <w:t xml:space="preserve">Option 1: </w:t>
      </w:r>
      <w:r>
        <w:rPr>
          <w:rFonts w:hint="eastAsia" w:ascii="Arial" w:hAnsi="Arial" w:cs="Arial"/>
          <w:lang w:val="en-US" w:eastAsia="zh-CN"/>
        </w:rPr>
        <w:t>I</w:t>
      </w:r>
      <w:r>
        <w:rPr>
          <w:rFonts w:ascii="Arial" w:hAnsi="Arial" w:cs="Arial"/>
        </w:rPr>
        <w:t>ndicating a time offset/information  for the target satellite</w:t>
      </w:r>
    </w:p>
    <w:p>
      <w:pPr>
        <w:ind w:firstLine="284"/>
        <w:rPr>
          <w:rFonts w:ascii="Arial" w:hAnsi="Arial" w:cs="Arial"/>
        </w:rPr>
      </w:pPr>
      <w:r>
        <w:rPr>
          <w:rFonts w:hint="eastAsia" w:ascii="Arial" w:hAnsi="Arial" w:cs="Arial"/>
          <w:b/>
          <w:bCs/>
          <w:lang w:val="en-US" w:eastAsia="zh-CN"/>
        </w:rPr>
        <w:t>Option 2:</w:t>
      </w:r>
      <w:r>
        <w:rPr>
          <w:rFonts w:hint="eastAsia" w:ascii="Arial" w:hAnsi="Arial" w:cs="Arial"/>
          <w:lang w:val="en-US" w:eastAsia="zh-CN"/>
        </w:rPr>
        <w:t xml:space="preserve"> I</w:t>
      </w:r>
      <w:r>
        <w:rPr>
          <w:rFonts w:ascii="Arial" w:hAnsi="Arial" w:cs="Arial"/>
        </w:rPr>
        <w:t>ndicating a different SSB index for the target satellite</w:t>
      </w:r>
    </w:p>
    <w:p>
      <w:pPr>
        <w:ind w:firstLine="284"/>
        <w:rPr>
          <w:rFonts w:ascii="Arial" w:hAnsi="Arial" w:cs="Arial"/>
          <w:bCs/>
          <w:lang w:val="en-US" w:eastAsia="zh-CN"/>
        </w:rPr>
      </w:pPr>
      <w:r>
        <w:rPr>
          <w:rFonts w:ascii="Arial" w:hAnsi="Arial" w:cs="Arial"/>
          <w:b/>
          <w:bCs/>
        </w:rPr>
        <w:t>Option 3:</w:t>
      </w:r>
      <w:r>
        <w:rPr>
          <w:rFonts w:ascii="Arial" w:hAnsi="Arial" w:cs="Arial"/>
        </w:rPr>
        <w:t xml:space="preserve"> Other?</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eastAsia="zh-CN"/>
              </w:rPr>
            </w:pPr>
            <w:r>
              <w:rPr>
                <w:rFonts w:hint="eastAsia" w:ascii="Arial" w:hAnsi="Arial" w:eastAsia="Helvetica" w:cs="Arial"/>
                <w:b/>
                <w:lang w:val="en-US" w:eastAsia="zh-CN"/>
              </w:rPr>
              <w:t>Preferred option</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val="en-US" w:eastAsia="zh-CN"/>
              </w:rPr>
            </w:pPr>
          </w:p>
        </w:tc>
        <w:tc>
          <w:tcPr>
            <w:tcW w:w="2126" w:type="dxa"/>
            <w:shd w:val="clear" w:color="auto" w:fill="auto"/>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bl>
    <w:p>
      <w:pPr>
        <w:rPr>
          <w:rFonts w:ascii="Arial" w:hAnsi="Arial" w:cs="Arial"/>
          <w:b/>
          <w:lang w:eastAsia="zh-CN"/>
        </w:rPr>
      </w:pPr>
    </w:p>
    <w:p>
      <w:pPr>
        <w:rPr>
          <w:rFonts w:ascii="Arial" w:hAnsi="Arial" w:cs="Arial"/>
          <w:b/>
          <w:bCs/>
        </w:rPr>
      </w:pPr>
      <w:r>
        <w:rPr>
          <w:rFonts w:ascii="Arial" w:hAnsi="Arial" w:cs="Arial"/>
          <w:b/>
          <w:bCs/>
        </w:rPr>
        <w:t>Summary:</w:t>
      </w:r>
    </w:p>
    <w:p>
      <w:pPr>
        <w:rPr>
          <w:rFonts w:ascii="Arial" w:hAnsi="Arial" w:cs="Arial"/>
          <w:b/>
          <w:lang w:eastAsia="zh-CN"/>
        </w:rPr>
      </w:pPr>
    </w:p>
    <w:p>
      <w:pPr>
        <w:rPr>
          <w:rFonts w:ascii="Arial" w:hAnsi="Arial" w:cs="Arial"/>
          <w:bCs/>
          <w:lang w:val="en-US" w:eastAsia="zh-CN"/>
        </w:rPr>
      </w:pPr>
    </w:p>
    <w:p>
      <w:pPr>
        <w:rPr>
          <w:rFonts w:ascii="Arial" w:hAnsi="Arial" w:cs="Arial"/>
          <w:bCs/>
          <w:lang w:val="en-US" w:eastAsia="zh-CN"/>
        </w:rPr>
      </w:pPr>
      <w:r>
        <w:rPr>
          <w:rFonts w:hint="eastAsia" w:ascii="Arial" w:hAnsi="Arial" w:cs="Arial"/>
          <w:bCs/>
          <w:lang w:val="en-US" w:eastAsia="zh-CN"/>
        </w:rPr>
        <w:t>Then for hard satellite switch, there is no interference issue between source and target satellite, maybe we could consider to keep flexibility and whether provide target SSB information is up to NW implementation. If NW provide target SSB information, the same mechanism as in soft satellite switch is adopted.</w:t>
      </w:r>
    </w:p>
    <w:p>
      <w:pPr>
        <w:pStyle w:val="5"/>
        <w:ind w:right="200"/>
        <w:rPr>
          <w:rFonts w:cs="Arial"/>
          <w:b/>
          <w:sz w:val="20"/>
        </w:rPr>
      </w:pPr>
      <w:r>
        <w:rPr>
          <w:rFonts w:cs="Arial"/>
          <w:b/>
          <w:sz w:val="20"/>
        </w:rPr>
        <w:t>Question A</w:t>
      </w:r>
      <w:r>
        <w:rPr>
          <w:rFonts w:hint="eastAsia" w:cs="Arial"/>
          <w:b/>
          <w:sz w:val="20"/>
        </w:rPr>
        <w:t>4-2</w:t>
      </w:r>
      <w:r>
        <w:rPr>
          <w:rFonts w:cs="Arial"/>
          <w:b/>
          <w:sz w:val="20"/>
        </w:rPr>
        <w:t xml:space="preserve">: </w:t>
      </w:r>
      <w:r>
        <w:rPr>
          <w:rFonts w:hint="eastAsia" w:cs="Arial"/>
          <w:b/>
          <w:sz w:val="20"/>
        </w:rPr>
        <w:t>For hard satellite switch, d</w:t>
      </w:r>
      <w:r>
        <w:rPr>
          <w:rFonts w:cs="Arial"/>
          <w:b/>
          <w:sz w:val="20"/>
        </w:rPr>
        <w:t>o companies agree the same SSB information of the  target satellite should be provided?</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eastAsia="zh-CN"/>
              </w:rPr>
            </w:pPr>
            <w:r>
              <w:rPr>
                <w:rFonts w:hint="eastAsia" w:ascii="Arial" w:hAnsi="Arial" w:eastAsia="Helvetica" w:cs="Arial"/>
                <w:b/>
                <w:lang w:val="en-US" w:eastAsia="zh-CN"/>
              </w:rPr>
              <w:t>Yes/No</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val="en-US" w:eastAsia="zh-CN"/>
              </w:rPr>
            </w:pPr>
          </w:p>
        </w:tc>
        <w:tc>
          <w:tcPr>
            <w:tcW w:w="2126" w:type="dxa"/>
            <w:shd w:val="clear" w:color="auto" w:fill="auto"/>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bl>
    <w:p>
      <w:pPr>
        <w:rPr>
          <w:rFonts w:ascii="Arial" w:hAnsi="Arial" w:cs="Arial"/>
          <w:b/>
          <w:lang w:eastAsia="zh-CN"/>
        </w:rPr>
      </w:pPr>
    </w:p>
    <w:p>
      <w:pPr>
        <w:rPr>
          <w:rFonts w:ascii="Arial" w:hAnsi="Arial" w:cs="Arial"/>
          <w:b/>
          <w:bCs/>
        </w:rPr>
      </w:pPr>
      <w:r>
        <w:rPr>
          <w:rFonts w:ascii="Arial" w:hAnsi="Arial" w:cs="Arial"/>
          <w:b/>
          <w:bCs/>
        </w:rPr>
        <w:t>Summary:</w:t>
      </w:r>
    </w:p>
    <w:p>
      <w:pPr>
        <w:rPr>
          <w:rFonts w:ascii="Arial" w:hAnsi="Arial" w:cs="Arial"/>
          <w:b/>
          <w:lang w:eastAsia="zh-CN"/>
        </w:rPr>
      </w:pPr>
    </w:p>
    <w:p>
      <w:pPr>
        <w:rPr>
          <w:rFonts w:ascii="Arial" w:hAnsi="Arial" w:cs="Arial"/>
          <w:b/>
          <w:lang w:eastAsia="zh-CN"/>
        </w:rPr>
      </w:pPr>
    </w:p>
    <w:p>
      <w:pPr>
        <w:pStyle w:val="4"/>
        <w:ind w:right="200"/>
        <w:rPr>
          <w:rFonts w:cs="Arial"/>
          <w:b/>
          <w:bCs/>
          <w:szCs w:val="28"/>
          <w:lang w:val="en-US" w:eastAsia="zh-CN"/>
        </w:rPr>
      </w:pPr>
      <w:r>
        <w:rPr>
          <w:rFonts w:cs="Arial"/>
          <w:b/>
          <w:bCs/>
          <w:szCs w:val="28"/>
          <w:lang w:val="en-US" w:eastAsia="zh-CN"/>
        </w:rPr>
        <w:t xml:space="preserve">Issue 5: </w:t>
      </w:r>
      <w:r>
        <w:rPr>
          <w:rFonts w:hint="eastAsia" w:cs="Arial"/>
          <w:b/>
          <w:bCs/>
          <w:szCs w:val="28"/>
          <w:lang w:val="en-US" w:eastAsia="zh-CN"/>
        </w:rPr>
        <w:t>T-start aspects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Arial" w:hAnsi="Arial" w:eastAsia="Helvetica" w:cs="Arial"/>
                <w:lang w:val="en-US" w:eastAsia="zh-CN"/>
              </w:rPr>
            </w:pPr>
            <w:r>
              <w:rPr>
                <w:rFonts w:ascii="Arial" w:hAnsi="Arial" w:eastAsia="Helvetica" w:cs="Arial"/>
                <w:lang w:val="en-US" w:eastAsia="zh-CN"/>
              </w:rPr>
              <w:t>RAN2#123bis agreement:</w:t>
            </w:r>
          </w:p>
          <w:p>
            <w:pPr>
              <w:pStyle w:val="127"/>
              <w:numPr>
                <w:ilvl w:val="0"/>
                <w:numId w:val="13"/>
              </w:numPr>
              <w:spacing w:line="240" w:lineRule="auto"/>
              <w:rPr>
                <w:rFonts w:eastAsia="Helvetica"/>
              </w:rPr>
            </w:pPr>
            <w:r>
              <w:rPr>
                <w:rFonts w:eastAsia="Helvetica"/>
              </w:rPr>
              <w:t>We introduce a T-start which indicates the earliest occasion when the UE can start synchronizing with target satellite (</w:t>
            </w:r>
            <w:r>
              <w:rPr>
                <w:rFonts w:eastAsia="Helvetica"/>
                <w:highlight w:val="yellow"/>
              </w:rPr>
              <w:t>actual signalling is FFS</w:t>
            </w:r>
            <w:r>
              <w:rPr>
                <w:rFonts w:eastAsia="Helvetica"/>
              </w:rPr>
              <w:t>). In soft switch scenario, T-start of target satellite is earlier than T-service of source satellite (FFS if T-start is also used for hard satellite switch)</w:t>
            </w:r>
          </w:p>
          <w:p>
            <w:pPr>
              <w:pStyle w:val="127"/>
              <w:spacing w:line="240" w:lineRule="auto"/>
              <w:ind w:left="0" w:firstLine="0"/>
              <w:rPr>
                <w:rFonts w:eastAsia="Helvetica"/>
              </w:rPr>
            </w:pPr>
          </w:p>
        </w:tc>
      </w:tr>
    </w:tbl>
    <w:p>
      <w:pPr>
        <w:rPr>
          <w:rFonts w:ascii="Arial" w:hAnsi="Arial" w:cs="Arial"/>
          <w:bCs/>
          <w:lang w:val="en-US" w:eastAsia="zh-CN"/>
        </w:rPr>
      </w:pPr>
    </w:p>
    <w:p>
      <w:pPr>
        <w:rPr>
          <w:rFonts w:ascii="Arial" w:hAnsi="Arial" w:cs="Arial"/>
          <w:b/>
          <w:lang w:val="en-US" w:eastAsia="zh-CN"/>
        </w:rPr>
      </w:pPr>
      <w:r>
        <w:rPr>
          <w:rFonts w:hint="eastAsia" w:ascii="Arial" w:hAnsi="Arial" w:cs="Arial"/>
          <w:bCs/>
          <w:lang w:val="en-US" w:eastAsia="zh-CN"/>
        </w:rPr>
        <w:t xml:space="preserve">We agreed to introduce a T-start which indicates the earliest occasion when the UE can start synchronizing with target satellite for soft satellite switch case with FFS actual signaling, and T-start of target satellite is earlier than T-service of source satellite.  </w:t>
      </w:r>
    </w:p>
    <w:p>
      <w:pPr>
        <w:pStyle w:val="5"/>
        <w:ind w:right="200"/>
        <w:rPr>
          <w:rFonts w:cs="Arial"/>
          <w:b/>
          <w:sz w:val="20"/>
        </w:rPr>
      </w:pPr>
      <w:r>
        <w:rPr>
          <w:rFonts w:cs="Arial"/>
          <w:b/>
          <w:sz w:val="20"/>
        </w:rPr>
        <w:t>Question A</w:t>
      </w:r>
      <w:r>
        <w:rPr>
          <w:rFonts w:hint="eastAsia" w:cs="Arial"/>
          <w:b/>
          <w:sz w:val="20"/>
        </w:rPr>
        <w:t>5-1</w:t>
      </w:r>
      <w:r>
        <w:rPr>
          <w:rFonts w:cs="Arial"/>
          <w:b/>
          <w:sz w:val="20"/>
        </w:rPr>
        <w:t>: Please provide your</w:t>
      </w:r>
      <w:r>
        <w:rPr>
          <w:rFonts w:hint="eastAsia" w:cs="Arial"/>
          <w:b/>
          <w:sz w:val="20"/>
        </w:rPr>
        <w:t xml:space="preserve"> comments on FFS actual signaling about T-start for soft satellite switch.</w:t>
      </w:r>
    </w:p>
    <w:p>
      <w:pPr>
        <w:ind w:firstLine="284"/>
        <w:rPr>
          <w:rFonts w:ascii="Arial" w:hAnsi="Arial" w:cs="Arial"/>
          <w:lang w:val="en-US" w:eastAsia="zh-CN"/>
        </w:rPr>
      </w:pPr>
      <w:r>
        <w:rPr>
          <w:rFonts w:hint="eastAsia" w:ascii="Arial" w:hAnsi="Arial" w:cs="Arial"/>
          <w:b/>
          <w:bCs/>
          <w:lang w:val="en-US" w:eastAsia="zh-CN"/>
        </w:rPr>
        <w:t xml:space="preserve">Option 1: </w:t>
      </w:r>
      <w:r>
        <w:rPr>
          <w:rFonts w:ascii="Arial" w:hAnsi="Arial" w:cs="Arial"/>
          <w:b/>
          <w:bCs/>
          <w:lang w:val="en-US" w:eastAsia="zh-CN"/>
        </w:rPr>
        <w:t xml:space="preserve"> </w:t>
      </w:r>
      <w:r>
        <w:rPr>
          <w:rFonts w:ascii="Arial" w:hAnsi="Arial" w:cs="Arial"/>
          <w:bCs/>
          <w:lang w:val="en-US" w:eastAsia="zh-CN"/>
        </w:rPr>
        <w:t xml:space="preserve">Introduce the new configuraiton of </w:t>
      </w:r>
      <w:r>
        <w:rPr>
          <w:rFonts w:ascii="Arial" w:hAnsi="Arial" w:cs="Arial"/>
          <w:lang w:val="en-US" w:eastAsia="zh-CN"/>
        </w:rPr>
        <w:t>T-start</w:t>
      </w:r>
    </w:p>
    <w:p>
      <w:pPr>
        <w:ind w:firstLine="284"/>
        <w:rPr>
          <w:rFonts w:ascii="Arial" w:hAnsi="Arial" w:cs="Arial"/>
          <w:lang w:val="en-US" w:eastAsia="zh-CN"/>
        </w:rPr>
      </w:pPr>
      <w:r>
        <w:rPr>
          <w:rFonts w:ascii="Arial" w:hAnsi="Arial" w:cs="Arial"/>
          <w:b/>
          <w:bCs/>
          <w:lang w:val="en-US" w:eastAsia="zh-CN"/>
        </w:rPr>
        <w:t>Option 2</w:t>
      </w:r>
      <w:r>
        <w:rPr>
          <w:rFonts w:hint="eastAsia" w:ascii="Arial" w:hAnsi="Arial" w:cs="Arial"/>
          <w:b/>
          <w:bCs/>
          <w:lang w:val="en-US" w:eastAsia="zh-CN"/>
        </w:rPr>
        <w:t xml:space="preserve">: </w:t>
      </w:r>
      <w:r>
        <w:rPr>
          <w:rFonts w:ascii="Arial" w:hAnsi="Arial" w:cs="Arial"/>
          <w:b/>
          <w:bCs/>
          <w:lang w:val="en-US" w:eastAsia="zh-CN"/>
        </w:rPr>
        <w:t xml:space="preserve"> </w:t>
      </w:r>
      <w:r>
        <w:rPr>
          <w:rFonts w:ascii="Arial" w:hAnsi="Arial" w:cs="Arial"/>
          <w:bCs/>
          <w:lang w:val="en-US" w:eastAsia="zh-CN"/>
        </w:rPr>
        <w:t xml:space="preserve">Introduce the new configuraiton of </w:t>
      </w:r>
      <w:r>
        <w:rPr>
          <w:rFonts w:ascii="Arial" w:hAnsi="Arial" w:cs="Arial"/>
          <w:lang w:val="en-US" w:eastAsia="zh-CN"/>
        </w:rPr>
        <w:t>T-gap, UE can aquire the T-start of target satellite based on T-gap and T-service of source satellite. (T-start = T-service – T-gap).</w:t>
      </w:r>
    </w:p>
    <w:p>
      <w:pPr>
        <w:ind w:firstLine="284"/>
        <w:rPr>
          <w:rFonts w:ascii="Arial" w:hAnsi="Arial" w:cs="Arial"/>
          <w:b/>
          <w:bCs/>
          <w:lang w:val="en-US" w:eastAsia="zh-CN"/>
        </w:rPr>
      </w:pPr>
      <w:r>
        <w:rPr>
          <w:rFonts w:ascii="Arial" w:hAnsi="Arial" w:cs="Arial"/>
          <w:b/>
          <w:bCs/>
          <w:lang w:val="en-US" w:eastAsia="zh-CN"/>
        </w:rPr>
        <w:t>Option 3:</w:t>
      </w:r>
      <w:r>
        <w:rPr>
          <w:rFonts w:ascii="Arial" w:hAnsi="Arial" w:cs="Arial"/>
          <w:lang w:val="en-US" w:eastAsia="zh-CN"/>
        </w:rPr>
        <w:t xml:space="preserve"> other?</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rPr>
              <w:t xml:space="preserve">Option </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bl>
    <w:p>
      <w:pPr>
        <w:rPr>
          <w:rFonts w:ascii="Arial" w:hAnsi="Arial" w:cs="Arial"/>
          <w:lang w:val="en-US"/>
        </w:rPr>
      </w:pPr>
    </w:p>
    <w:p>
      <w:pPr>
        <w:rPr>
          <w:rFonts w:ascii="Arial" w:hAnsi="Arial" w:cs="Arial"/>
          <w:b/>
          <w:bCs/>
        </w:rPr>
      </w:pPr>
      <w:r>
        <w:rPr>
          <w:rFonts w:ascii="Arial" w:hAnsi="Arial" w:cs="Arial"/>
          <w:b/>
          <w:bCs/>
        </w:rPr>
        <w:t>Summary:</w:t>
      </w:r>
    </w:p>
    <w:p>
      <w:pPr>
        <w:rPr>
          <w:rFonts w:ascii="Arial" w:hAnsi="Arial" w:cs="Arial"/>
          <w:bCs/>
          <w:lang w:val="en-US" w:eastAsia="zh-CN"/>
        </w:rPr>
      </w:pPr>
    </w:p>
    <w:p>
      <w:pPr>
        <w:rPr>
          <w:rFonts w:ascii="Arial" w:hAnsi="Arial" w:cs="Arial"/>
          <w:b/>
          <w:bCs/>
          <w:lang w:val="en-US" w:eastAsia="zh-CN"/>
        </w:rPr>
      </w:pPr>
    </w:p>
    <w:p>
      <w:pPr>
        <w:pStyle w:val="5"/>
        <w:ind w:right="200"/>
        <w:rPr>
          <w:rFonts w:cs="Arial"/>
          <w:b/>
          <w:sz w:val="20"/>
        </w:rPr>
      </w:pPr>
      <w:r>
        <w:rPr>
          <w:rFonts w:cs="Arial"/>
          <w:b/>
          <w:sz w:val="20"/>
        </w:rPr>
        <w:t>Question A</w:t>
      </w:r>
      <w:r>
        <w:rPr>
          <w:rFonts w:hint="eastAsia" w:cs="Arial"/>
          <w:b/>
          <w:sz w:val="20"/>
        </w:rPr>
        <w:t>5-2</w:t>
      </w:r>
      <w:r>
        <w:rPr>
          <w:rFonts w:cs="Arial"/>
          <w:b/>
          <w:sz w:val="20"/>
        </w:rPr>
        <w:t>: Do you think T-start should be also provided for hard satellite switch?</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rPr>
              <w:t xml:space="preserve">Yes/No </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bl>
    <w:p>
      <w:pPr>
        <w:rPr>
          <w:rFonts w:ascii="Arial" w:hAnsi="Arial" w:cs="Arial"/>
          <w:lang w:val="en-US"/>
        </w:rPr>
      </w:pPr>
    </w:p>
    <w:p>
      <w:pPr>
        <w:rPr>
          <w:rFonts w:ascii="Arial" w:hAnsi="Arial" w:cs="Arial"/>
          <w:b/>
          <w:bCs/>
        </w:rPr>
      </w:pPr>
      <w:r>
        <w:rPr>
          <w:rFonts w:ascii="Arial" w:hAnsi="Arial" w:cs="Arial"/>
          <w:b/>
          <w:bCs/>
        </w:rPr>
        <w:t>Summary:</w:t>
      </w:r>
    </w:p>
    <w:p>
      <w:pPr>
        <w:rPr>
          <w:rFonts w:ascii="Arial" w:hAnsi="Arial" w:cs="Arial" w:eastAsiaTheme="minorEastAsia"/>
          <w:b/>
          <w:bCs/>
          <w:lang w:val="en-US" w:eastAsia="zh-CN"/>
        </w:rPr>
      </w:pPr>
    </w:p>
    <w:p>
      <w:pPr>
        <w:pStyle w:val="3"/>
        <w:ind w:right="200"/>
        <w:rPr>
          <w:lang w:val="en-US" w:eastAsia="zh-CN"/>
        </w:rPr>
      </w:pPr>
      <w:r>
        <w:rPr>
          <w:rFonts w:cs="Arial"/>
          <w:b/>
          <w:bCs/>
          <w:szCs w:val="28"/>
          <w:lang w:val="en-US" w:eastAsia="zh-CN"/>
        </w:rPr>
        <w:t xml:space="preserve"> </w:t>
      </w:r>
      <w:r>
        <w:rPr>
          <w:lang w:eastAsia="zh-CN"/>
        </w:rPr>
        <w:t xml:space="preserve">2.1 </w:t>
      </w:r>
      <w:r>
        <w:rPr>
          <w:lang w:val="en-US" w:eastAsia="zh-CN"/>
        </w:rPr>
        <w:t>UE operation (Part B)</w:t>
      </w:r>
    </w:p>
    <w:p>
      <w:pPr>
        <w:pStyle w:val="4"/>
        <w:ind w:right="200"/>
        <w:rPr>
          <w:rFonts w:cs="Arial"/>
          <w:szCs w:val="28"/>
          <w:lang w:val="en-US" w:eastAsia="zh-CN"/>
        </w:rPr>
      </w:pPr>
      <w:r>
        <w:rPr>
          <w:rFonts w:cs="Arial"/>
          <w:szCs w:val="28"/>
          <w:lang w:val="en-US" w:eastAsia="zh-CN"/>
        </w:rPr>
        <w:t>2.2.1. UE operation during the satellite switching procedure</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For both RACH-based and RACH-less satellite switching procedure, the change of serving satellite will lead to changes in the propagation delay and the channel condition of the serving cell from UE perspective. Therefore, it will introduce some impact on MAC operation and RRM measurement operation. </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MAC operation, due to the propagation delay change, UE may need to report the PHR based on new pathloss after satellite switching. </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 During satellite switching procedure, UE initiates PHR reporting after satellite switching.</w:t>
      </w:r>
    </w:p>
    <w:p>
      <w:pPr>
        <w:pStyle w:val="5"/>
        <w:ind w:right="200"/>
        <w:rPr>
          <w:rFonts w:cs="Arial"/>
          <w:b/>
          <w:sz w:val="20"/>
        </w:rPr>
      </w:pPr>
      <w:r>
        <w:rPr>
          <w:rFonts w:cs="Arial"/>
          <w:b/>
          <w:sz w:val="20"/>
        </w:rPr>
        <w:t>Question B-1: Do you agree with the proposal 1?</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RRM measurement, due to the change of radio condition of the serving cell, UE may need to reset all the serving cell related measurement , i.e. reset L3 filter for the serving cell’s RRM measurement and reset RLM, but there will be no impact on neighbor cell’s measurement. </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2: During satellite switching procedure, UE re</w:t>
      </w:r>
      <w:r>
        <w:rPr>
          <w:rFonts w:hint="eastAsia" w:ascii="Arial" w:hAnsi="Arial" w:cs="Arial"/>
          <w:b/>
          <w:bCs/>
          <w:lang w:val="en-US" w:eastAsia="zh-CN"/>
        </w:rPr>
        <w:t>-</w:t>
      </w:r>
      <w:r>
        <w:rPr>
          <w:rFonts w:ascii="Arial" w:hAnsi="Arial" w:cs="Arial"/>
          <w:b/>
          <w:bCs/>
          <w:lang w:val="en-US"/>
        </w:rPr>
        <w:t xml:space="preserve">initiates all the serving cell related measurement, e.g. reset L3 filter for serving cell RRM measurement and reset the RLM. </w:t>
      </w:r>
    </w:p>
    <w:p>
      <w:pPr>
        <w:pStyle w:val="5"/>
        <w:ind w:right="200"/>
        <w:rPr>
          <w:rFonts w:cs="Arial"/>
          <w:b/>
          <w:sz w:val="20"/>
        </w:rPr>
      </w:pPr>
      <w:r>
        <w:rPr>
          <w:rFonts w:cs="Arial"/>
          <w:b/>
          <w:sz w:val="20"/>
        </w:rPr>
        <w:t>Question B-2: Do you agree with the proposal 2?</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A failure detection timer should be introduced to protect the failure case, which is similar as HOF timer (T304). The timer is started when UE starting the satellite switching and stopped when the sync procedure successful to the target satellite is successfully completed. When the failure timer expires, UE will initiate the UE connection reestablishment procedure. </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3: Introduced timer based failure detection mechanism for satellite switching procedure. </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4: When the satellite switching failure is detected, UE initiates the UE connection reestablishment procedure. </w:t>
      </w:r>
    </w:p>
    <w:p>
      <w:pPr>
        <w:pStyle w:val="5"/>
        <w:ind w:right="200"/>
        <w:rPr>
          <w:rFonts w:cs="Arial"/>
          <w:b/>
          <w:sz w:val="20"/>
        </w:rPr>
      </w:pPr>
      <w:r>
        <w:rPr>
          <w:rFonts w:cs="Arial"/>
          <w:b/>
          <w:sz w:val="20"/>
        </w:rPr>
        <w:t>Question B-3: Do you agree with the proposal 3?</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pStyle w:val="5"/>
        <w:ind w:right="200"/>
        <w:rPr>
          <w:rFonts w:cs="Arial"/>
          <w:b/>
          <w:sz w:val="20"/>
        </w:rPr>
      </w:pPr>
      <w:r>
        <w:rPr>
          <w:rFonts w:cs="Arial"/>
          <w:b/>
          <w:sz w:val="20"/>
        </w:rPr>
        <w:t>Question B-4: Do you agree with the proposal 4?</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pStyle w:val="4"/>
        <w:ind w:right="200"/>
        <w:rPr>
          <w:rFonts w:cs="Arial"/>
          <w:szCs w:val="28"/>
          <w:lang w:val="en-US" w:eastAsia="zh-CN"/>
        </w:rPr>
      </w:pPr>
      <w:r>
        <w:rPr>
          <w:rFonts w:cs="Arial"/>
          <w:szCs w:val="28"/>
          <w:lang w:val="en-US" w:eastAsia="zh-CN"/>
        </w:rPr>
        <w:t>2.2.2.RACH-less satellite switching</w:t>
      </w:r>
    </w:p>
    <w:p>
      <w:pPr>
        <w:overflowPunct w:val="0"/>
        <w:autoSpaceDE w:val="0"/>
        <w:autoSpaceDN w:val="0"/>
        <w:adjustRightInd w:val="0"/>
        <w:textAlignment w:val="baseline"/>
        <w:rPr>
          <w:rFonts w:ascii="Arial" w:hAnsi="Arial" w:cs="Arial"/>
          <w:lang w:val="en-US"/>
        </w:rPr>
      </w:pPr>
      <w:r>
        <w:rPr>
          <w:rFonts w:ascii="Arial" w:hAnsi="Arial" w:cs="Arial"/>
          <w:lang w:val="en-US"/>
        </w:rPr>
        <w:t>RAN2 agreed to support satellite switching without RACH procedure. To support this RACH-less satellite switching procedure, some open issues need to be addressed.</w:t>
      </w:r>
    </w:p>
    <w:p>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UE capability</w:t>
      </w:r>
    </w:p>
    <w:p>
      <w:pPr>
        <w:overflowPunct w:val="0"/>
        <w:autoSpaceDE w:val="0"/>
        <w:autoSpaceDN w:val="0"/>
        <w:adjustRightInd w:val="0"/>
        <w:textAlignment w:val="baseline"/>
        <w:rPr>
          <w:rFonts w:ascii="Arial" w:hAnsi="Arial" w:cs="Arial"/>
          <w:lang w:val="en-US"/>
        </w:rPr>
      </w:pPr>
      <w:bookmarkStart w:id="1" w:name="OLE_LINK1"/>
      <w:r>
        <w:rPr>
          <w:rFonts w:ascii="Arial" w:hAnsi="Arial" w:cs="Arial"/>
          <w:lang w:val="en-US"/>
        </w:rPr>
        <w:t>From UE capability perspective,  the support of NR RACH-less HO is optional</w:t>
      </w:r>
      <w:r>
        <w:rPr>
          <w:rFonts w:hint="eastAsia" w:ascii="Arial" w:hAnsi="Arial" w:cs="Arial"/>
          <w:lang w:val="en-US" w:eastAsia="zh-CN"/>
        </w:rPr>
        <w:t>.</w:t>
      </w:r>
      <w:r>
        <w:rPr>
          <w:rFonts w:ascii="Arial" w:hAnsi="Arial" w:cs="Arial"/>
          <w:lang w:val="en-US"/>
        </w:rPr>
        <w:t xml:space="preserve"> . Similarly, the support of RACH-less SAT switching should be also </w:t>
      </w:r>
      <w:r>
        <w:rPr>
          <w:rFonts w:hint="eastAsia" w:ascii="Arial" w:hAnsi="Arial" w:cs="Arial"/>
          <w:lang w:val="en-US" w:eastAsia="zh-CN"/>
        </w:rPr>
        <w:t>defined</w:t>
      </w:r>
      <w:r>
        <w:rPr>
          <w:rFonts w:ascii="Arial" w:hAnsi="Arial" w:cs="Arial"/>
          <w:lang w:val="en-US"/>
        </w:rPr>
        <w:t xml:space="preserve"> as optional UE capability. </w:t>
      </w:r>
    </w:p>
    <w:bookmarkEnd w:id="1"/>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5: It’s the optional UE capability to support the RACH-less satellite switching procedure. </w:t>
      </w:r>
    </w:p>
    <w:p>
      <w:pPr>
        <w:pStyle w:val="5"/>
        <w:ind w:right="200"/>
        <w:rPr>
          <w:rFonts w:cs="Arial"/>
          <w:b/>
          <w:sz w:val="20"/>
        </w:rPr>
      </w:pPr>
      <w:r>
        <w:rPr>
          <w:rFonts w:cs="Arial"/>
          <w:b/>
          <w:sz w:val="20"/>
        </w:rPr>
        <w:t>Question B-5: Do you agree with the proposal 5?</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Network configuration</w:t>
      </w:r>
    </w:p>
    <w:p>
      <w:pPr>
        <w:overflowPunct w:val="0"/>
        <w:autoSpaceDE w:val="0"/>
        <w:autoSpaceDN w:val="0"/>
        <w:adjustRightInd w:val="0"/>
        <w:textAlignment w:val="baseline"/>
        <w:rPr>
          <w:rFonts w:ascii="Arial" w:hAnsi="Arial" w:cs="Arial"/>
          <w:lang w:val="en-US"/>
        </w:rPr>
      </w:pPr>
      <w:r>
        <w:rPr>
          <w:rFonts w:ascii="Arial" w:hAnsi="Arial" w:cs="Arial"/>
          <w:lang w:val="en-US"/>
        </w:rPr>
        <w:t>From network side, whether to enable the RACH-less satellite switching should be based on network configuration. Since the satellite switching is not L3 based mobility, using RRC dedicated signaling for such configuration should be avoided as much as possible, and we can only rely on SIB19 to provide such configuration.</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6: RACH-less satellite switching procedure is configured in SIB19. </w:t>
      </w:r>
    </w:p>
    <w:p>
      <w:pPr>
        <w:pStyle w:val="5"/>
        <w:ind w:right="200"/>
        <w:rPr>
          <w:rFonts w:cs="Arial"/>
          <w:b/>
          <w:sz w:val="20"/>
        </w:rPr>
      </w:pPr>
      <w:r>
        <w:rPr>
          <w:rFonts w:cs="Arial"/>
          <w:b/>
          <w:sz w:val="20"/>
        </w:rPr>
        <w:t>Question B-6: Do you agree with the proposal 6?</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When UE receives the SIB19 with RACH-less satellite switching configuration, if UE doesnot support RACH-less procedure, UE will still perform RACH-based satellite switching procedure.  </w:t>
      </w:r>
    </w:p>
    <w:p>
      <w:pPr>
        <w:overflowPunct w:val="0"/>
        <w:autoSpaceDE w:val="0"/>
        <w:autoSpaceDN w:val="0"/>
        <w:adjustRightInd w:val="0"/>
        <w:textAlignment w:val="baseline"/>
        <w:rPr>
          <w:rFonts w:ascii="Arial" w:hAnsi="Arial" w:cs="Arial"/>
          <w:b/>
          <w:bCs/>
          <w:lang w:val="en-US" w:eastAsia="zh-CN"/>
        </w:rPr>
      </w:pPr>
      <w:r>
        <w:rPr>
          <w:rFonts w:ascii="Arial" w:hAnsi="Arial" w:cs="Arial"/>
          <w:b/>
          <w:bCs/>
          <w:lang w:val="en-US"/>
        </w:rPr>
        <w:t xml:space="preserve">Proposal 7:  If UE does not support RACH-less satellite switching, UE will only perform RACH-based procedure regardless of whether the network configured RACH-less or RACH-based satellite switching procedure. </w:t>
      </w:r>
    </w:p>
    <w:p>
      <w:pPr>
        <w:pStyle w:val="5"/>
        <w:ind w:right="200"/>
        <w:rPr>
          <w:rFonts w:cs="Arial"/>
          <w:b/>
          <w:sz w:val="20"/>
        </w:rPr>
      </w:pPr>
      <w:r>
        <w:rPr>
          <w:rFonts w:cs="Arial"/>
          <w:b/>
          <w:sz w:val="20"/>
        </w:rPr>
        <w:t>Question B-7: Do you agree with the proposal 7?</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lang w:val="en-US"/>
        </w:rPr>
      </w:pPr>
    </w:p>
    <w:p>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UE operation during RACH-less satellite switching </w:t>
      </w:r>
    </w:p>
    <w:p>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UL grant for the 1</w:t>
      </w:r>
      <w:r>
        <w:rPr>
          <w:rFonts w:ascii="Arial" w:hAnsi="Arial" w:cs="Arial"/>
          <w:vertAlign w:val="superscript"/>
          <w:lang w:val="en-US"/>
        </w:rPr>
        <w:t>st</w:t>
      </w:r>
      <w:r>
        <w:rPr>
          <w:rFonts w:ascii="Arial" w:hAnsi="Arial" w:cs="Arial"/>
          <w:lang w:val="en-US"/>
        </w:rPr>
        <w:t xml:space="preserve"> UL transmission towards target satellite</w:t>
      </w:r>
    </w:p>
    <w:p>
      <w:pPr>
        <w:overflowPunct w:val="0"/>
        <w:autoSpaceDE w:val="0"/>
        <w:autoSpaceDN w:val="0"/>
        <w:adjustRightInd w:val="0"/>
        <w:textAlignment w:val="baseline"/>
        <w:rPr>
          <w:rFonts w:hint="eastAsia" w:ascii="Arial" w:hAnsi="Arial" w:cs="Arial"/>
          <w:lang w:val="en-US"/>
        </w:rPr>
      </w:pPr>
      <w:r>
        <w:rPr>
          <w:rFonts w:ascii="Arial" w:hAnsi="Arial" w:cs="Arial"/>
          <w:lang w:val="en-US"/>
        </w:rPr>
        <w:t>During RACH-less satellite switching, in order to provide the UL grant for the 1</w:t>
      </w:r>
      <w:r>
        <w:rPr>
          <w:rFonts w:ascii="Arial" w:hAnsi="Arial" w:cs="Arial"/>
          <w:vertAlign w:val="superscript"/>
          <w:lang w:val="en-US"/>
        </w:rPr>
        <w:t>st</w:t>
      </w:r>
      <w:r>
        <w:rPr>
          <w:rFonts w:ascii="Arial" w:hAnsi="Arial" w:cs="Arial"/>
          <w:lang w:val="en-US"/>
        </w:rPr>
        <w:t xml:space="preserve"> UL transmission towards target satellite, we can follow the same design as RACH-less HO and rely on dynamic grant or pre-configured grant. </w:t>
      </w:r>
    </w:p>
    <w:p>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1: dynamic grant</w:t>
      </w:r>
    </w:p>
    <w:p>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can provide UE the beam for the dynamic grant reception from the target cell in RACH-less HO command. </w:t>
      </w:r>
    </w:p>
    <w:p>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For satellite switching scenario, since the serving satellite changes, the beam situation providing coverage has also changed. In this procedure, the beam information should be cell specific or satellite specific, so network can provide the beam information for the dynamic grant reception in target satellite in SIB19. </w:t>
      </w:r>
    </w:p>
    <w:p>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2: preconfigured grant</w:t>
      </w:r>
    </w:p>
    <w:p>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provides the beam and the associated preconfigured grant of target cell in UE dedicated RRC signaling. </w:t>
      </w:r>
    </w:p>
    <w:p>
      <w:pPr>
        <w:overflowPunct w:val="0"/>
        <w:autoSpaceDE w:val="0"/>
        <w:autoSpaceDN w:val="0"/>
        <w:adjustRightInd w:val="0"/>
        <w:ind w:left="720"/>
        <w:textAlignment w:val="baseline"/>
        <w:rPr>
          <w:rFonts w:ascii="Arial" w:hAnsi="Arial" w:cs="Arial"/>
          <w:lang w:val="en-US"/>
        </w:rPr>
      </w:pPr>
      <w:r>
        <w:rPr>
          <w:rFonts w:ascii="Arial" w:hAnsi="Arial" w:cs="Arial"/>
          <w:lang w:val="en-US"/>
        </w:rPr>
        <w:t>For satellite switching procedure, since the serving cell does not change, we can consider using the legacy configured grant for this purpose, and UE doesnot need to release it after satellite switching. For example, network may provide two configured grant configurations associated to the different SSBs. When UE switches to the target satellite, and UE detect a good SSB#1 from the target satellite, UE can select the configured grant associated with SSB#1 for 1</w:t>
      </w:r>
      <w:r>
        <w:rPr>
          <w:rFonts w:ascii="Arial" w:hAnsi="Arial" w:cs="Arial"/>
          <w:vertAlign w:val="superscript"/>
          <w:lang w:val="en-US"/>
        </w:rPr>
        <w:t>st</w:t>
      </w:r>
      <w:r>
        <w:rPr>
          <w:rFonts w:ascii="Arial" w:hAnsi="Arial" w:cs="Arial"/>
          <w:lang w:val="en-US"/>
        </w:rPr>
        <w:t xml:space="preserve"> UL transmission. </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8: For RACH-less satellite switching, network may indicate the beam info for the dynamic grant reception in target satellite in SIB19, and UE starts monitoring the dynamic UL grant via the indicated beam after performing DL sync in the target satellite. </w:t>
      </w:r>
    </w:p>
    <w:p>
      <w:pPr>
        <w:pStyle w:val="5"/>
        <w:ind w:right="200"/>
        <w:rPr>
          <w:rFonts w:cs="Arial"/>
          <w:b/>
          <w:sz w:val="20"/>
        </w:rPr>
      </w:pPr>
      <w:r>
        <w:rPr>
          <w:rFonts w:cs="Arial"/>
          <w:b/>
          <w:sz w:val="20"/>
        </w:rPr>
        <w:t>Question B-8: Do you agree with the proposal 8?</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9: For RACH-less satellite switching procedure, network may provide the configured grant and associated to beam info via RRC dedicated signaling, and UE selects the configured grant based on the detected SSB from the target satellite. </w:t>
      </w:r>
    </w:p>
    <w:p>
      <w:pPr>
        <w:pStyle w:val="5"/>
        <w:ind w:right="200"/>
        <w:rPr>
          <w:rFonts w:cs="Arial"/>
          <w:b/>
          <w:sz w:val="20"/>
        </w:rPr>
      </w:pPr>
      <w:r>
        <w:rPr>
          <w:rFonts w:cs="Arial"/>
          <w:b/>
          <w:sz w:val="20"/>
        </w:rPr>
        <w:t>Question B-9: Do you agree with the proposal 9?</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overflowPunct w:val="0"/>
        <w:autoSpaceDE w:val="0"/>
        <w:autoSpaceDN w:val="0"/>
        <w:adjustRightInd w:val="0"/>
        <w:textAlignment w:val="baseline"/>
        <w:rPr>
          <w:rFonts w:ascii="Arial" w:hAnsi="Arial" w:cs="Arial"/>
          <w:b/>
          <w:bCs/>
          <w:lang w:val="en-US"/>
        </w:rPr>
      </w:pPr>
    </w:p>
    <w:p>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Fallback to RACH-based satellite switching</w:t>
      </w:r>
    </w:p>
    <w:p>
      <w:pPr>
        <w:overflowPunct w:val="0"/>
        <w:autoSpaceDE w:val="0"/>
        <w:autoSpaceDN w:val="0"/>
        <w:adjustRightInd w:val="0"/>
        <w:textAlignment w:val="baseline"/>
        <w:rPr>
          <w:rFonts w:ascii="Arial" w:hAnsi="Arial" w:cs="Arial"/>
          <w:lang w:val="en-US"/>
        </w:rPr>
      </w:pPr>
      <w:r>
        <w:rPr>
          <w:rFonts w:ascii="Arial" w:hAnsi="Arial" w:cs="Arial"/>
          <w:lang w:val="en-US"/>
        </w:rPr>
        <w:t>In NTN RACH-less HO, if the RSRP value of the beam associated for the 1</w:t>
      </w:r>
      <w:r>
        <w:rPr>
          <w:rFonts w:ascii="Arial" w:hAnsi="Arial" w:cs="Arial"/>
          <w:vertAlign w:val="superscript"/>
          <w:lang w:val="en-US"/>
        </w:rPr>
        <w:t>st</w:t>
      </w:r>
      <w:r>
        <w:rPr>
          <w:rFonts w:ascii="Arial" w:hAnsi="Arial" w:cs="Arial"/>
          <w:lang w:val="en-US"/>
        </w:rPr>
        <w:t xml:space="preserve"> UL grant is lower than a threshold, UE will fall back to RACH-based HO. </w:t>
      </w:r>
    </w:p>
    <w:p>
      <w:pPr>
        <w:overflowPunct w:val="0"/>
        <w:autoSpaceDE w:val="0"/>
        <w:autoSpaceDN w:val="0"/>
        <w:adjustRightInd w:val="0"/>
        <w:textAlignment w:val="baseline"/>
        <w:rPr>
          <w:rFonts w:ascii="Arial" w:hAnsi="Arial" w:cs="Arial"/>
          <w:lang w:val="en-US"/>
        </w:rPr>
      </w:pPr>
      <w:r>
        <w:rPr>
          <w:rFonts w:ascii="Arial" w:hAnsi="Arial" w:cs="Arial"/>
          <w:lang w:val="en-US"/>
        </w:rPr>
        <w:t>The fallback design is also applicable for the RACH-less satellite switching. If no beam associated to the UL grant in target satellite has good quality, UE cannot acquire the valid UL grant for the 1</w:t>
      </w:r>
      <w:r>
        <w:rPr>
          <w:rFonts w:ascii="Arial" w:hAnsi="Arial" w:cs="Arial"/>
          <w:vertAlign w:val="superscript"/>
          <w:lang w:val="en-US"/>
        </w:rPr>
        <w:t>st</w:t>
      </w:r>
      <w:r>
        <w:rPr>
          <w:rFonts w:ascii="Arial" w:hAnsi="Arial" w:cs="Arial"/>
          <w:lang w:val="en-US"/>
        </w:rPr>
        <w:t xml:space="preserve"> UL transmission, and UE has to fallback to RACH in order to complete the satellite switching procedure.</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10: For RACH-less satellite switching procedure, UE fallbacks to RACH-based satellite switching procedure if the beam associated to the UL grant in target satellite has RSRP value lower than a threshold.  </w:t>
      </w:r>
    </w:p>
    <w:p>
      <w:pPr>
        <w:pStyle w:val="5"/>
        <w:ind w:right="200"/>
        <w:rPr>
          <w:rFonts w:cs="Arial"/>
          <w:b/>
          <w:sz w:val="20"/>
        </w:rPr>
      </w:pPr>
      <w:r>
        <w:rPr>
          <w:rFonts w:cs="Arial"/>
          <w:b/>
          <w:sz w:val="20"/>
        </w:rPr>
        <w:t>Question B-10: Do you agree with the proposal 10?</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overflowPunct w:val="0"/>
        <w:autoSpaceDE w:val="0"/>
        <w:autoSpaceDN w:val="0"/>
        <w:adjustRightInd w:val="0"/>
        <w:textAlignment w:val="baseline"/>
        <w:rPr>
          <w:rFonts w:ascii="Arial" w:hAnsi="Arial" w:cs="Arial"/>
          <w:b/>
          <w:bCs/>
          <w:lang w:val="en-US"/>
        </w:rPr>
      </w:pPr>
    </w:p>
    <w:p>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TA value for the 1</w:t>
      </w:r>
      <w:r>
        <w:rPr>
          <w:rFonts w:ascii="Arial" w:hAnsi="Arial" w:cs="Arial"/>
          <w:vertAlign w:val="superscript"/>
          <w:lang w:val="en-US"/>
        </w:rPr>
        <w:t>st</w:t>
      </w:r>
      <w:r>
        <w:rPr>
          <w:rFonts w:ascii="Arial" w:hAnsi="Arial" w:cs="Arial"/>
          <w:lang w:val="en-US"/>
        </w:rPr>
        <w:t xml:space="preserve"> UL transmission</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In NTN RACH-less HO, network can set the Nta value to 0 or same as source satellite in the RACH-less HO command to UE. </w:t>
      </w:r>
    </w:p>
    <w:p>
      <w:pPr>
        <w:overflowPunct w:val="0"/>
        <w:autoSpaceDE w:val="0"/>
        <w:autoSpaceDN w:val="0"/>
        <w:adjustRightInd w:val="0"/>
        <w:textAlignment w:val="baseline"/>
        <w:rPr>
          <w:rFonts w:ascii="Arial" w:hAnsi="Arial" w:cs="Arial"/>
          <w:lang w:val="en-US"/>
        </w:rPr>
      </w:pPr>
      <w:r>
        <w:rPr>
          <w:rFonts w:ascii="Arial" w:hAnsi="Arial" w:cs="Arial"/>
          <w:lang w:val="en-US"/>
        </w:rPr>
        <w:t>For RACH-less satellite switching, network can also provide the same information based on the deployment (e.g. set Nta as 0 if source and target satellite are not collocated together). Since it’s based on the deployment, it can be regarded as cell specific info and provided in SIB19.</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11: For RACH-less satellite switching procedure, network can set Nta value to 0 or same as source in SIB19. </w:t>
      </w:r>
    </w:p>
    <w:p>
      <w:pPr>
        <w:pStyle w:val="5"/>
        <w:ind w:right="200"/>
        <w:rPr>
          <w:rFonts w:cs="Arial"/>
          <w:b/>
          <w:sz w:val="20"/>
        </w:rPr>
      </w:pPr>
      <w:r>
        <w:rPr>
          <w:rFonts w:cs="Arial"/>
          <w:b/>
          <w:sz w:val="20"/>
        </w:rPr>
        <w:t>Question B-11: Do you agree with the proposal 11?</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overflowPunct w:val="0"/>
        <w:autoSpaceDE w:val="0"/>
        <w:autoSpaceDN w:val="0"/>
        <w:adjustRightInd w:val="0"/>
        <w:textAlignment w:val="baseline"/>
        <w:rPr>
          <w:rFonts w:hint="eastAsia" w:ascii="Arial" w:hAnsi="Arial" w:cs="Arial"/>
          <w:b/>
          <w:bCs/>
          <w:lang w:val="en-US"/>
        </w:rPr>
      </w:pPr>
    </w:p>
    <w:p>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message in the 1</w:t>
      </w:r>
      <w:r>
        <w:rPr>
          <w:rFonts w:ascii="Arial" w:hAnsi="Arial" w:cs="Arial"/>
          <w:vertAlign w:val="superscript"/>
          <w:lang w:val="en-US"/>
        </w:rPr>
        <w:t>st</w:t>
      </w:r>
      <w:r>
        <w:rPr>
          <w:rFonts w:ascii="Arial" w:hAnsi="Arial" w:cs="Arial"/>
          <w:lang w:val="en-US"/>
        </w:rPr>
        <w:t xml:space="preserve"> UL transmission towards target satellite</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In NR RACH-less HO and LTE RACH-less mobility, after UE switches to the target cell, UE will transmit the RRCReconfigurationComplete message to network. </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For satellite switching procedure, it’s not L3 involved mobility, and the serving cell configuration doesnot changes. Therefore, it’s no need to transmit RRCReconfigurationComplete message, and UE can directly perform the data transmission/reception in target satellite.  </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12: For RACH-less satellite switching procedure, UE resumes the UE dedicated transmission/reception via the 1</w:t>
      </w:r>
      <w:r>
        <w:rPr>
          <w:rFonts w:ascii="Arial" w:hAnsi="Arial" w:cs="Arial"/>
          <w:b/>
          <w:bCs/>
          <w:vertAlign w:val="superscript"/>
          <w:lang w:val="en-US"/>
        </w:rPr>
        <w:t>st</w:t>
      </w:r>
      <w:r>
        <w:rPr>
          <w:rFonts w:ascii="Arial" w:hAnsi="Arial" w:cs="Arial"/>
          <w:b/>
          <w:bCs/>
          <w:lang w:val="en-US"/>
        </w:rPr>
        <w:t xml:space="preserve"> UL grant towards to target satellite.  </w:t>
      </w:r>
    </w:p>
    <w:p>
      <w:pPr>
        <w:pStyle w:val="5"/>
        <w:ind w:right="200"/>
        <w:rPr>
          <w:rFonts w:cs="Arial"/>
          <w:b/>
          <w:sz w:val="20"/>
        </w:rPr>
      </w:pPr>
      <w:r>
        <w:rPr>
          <w:rFonts w:cs="Arial"/>
          <w:b/>
          <w:sz w:val="20"/>
        </w:rPr>
        <w:t>Question B-12: Do you agree with the proposal 12?</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
      <w:pPr>
        <w:pStyle w:val="4"/>
        <w:ind w:right="200"/>
        <w:rPr>
          <w:rFonts w:cs="Arial"/>
          <w:szCs w:val="28"/>
          <w:lang w:val="en-US" w:eastAsia="zh-CN"/>
        </w:rPr>
      </w:pPr>
      <w:r>
        <w:rPr>
          <w:rFonts w:cs="Arial"/>
          <w:szCs w:val="28"/>
          <w:lang w:val="en-US" w:eastAsia="zh-CN"/>
        </w:rPr>
        <w:t>2.2.3. Coexistence with L3 mobility scheme</w:t>
      </w:r>
    </w:p>
    <w:p>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After network enables the satellite switching procedure, network can also decide trigger UE perform HO to other cell. And UE should follow the HO command and initiate HO procedure immediately. </w:t>
      </w:r>
    </w:p>
    <w:p>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Proposal 13: After satellite switching scheme is enabled, if UE receives the HO command before the switching period or switching point, UE will initiate the HO procedure immediately.</w:t>
      </w:r>
    </w:p>
    <w:p>
      <w:pPr>
        <w:pStyle w:val="5"/>
        <w:ind w:right="200"/>
        <w:rPr>
          <w:rFonts w:cs="Arial"/>
          <w:b/>
          <w:sz w:val="20"/>
        </w:rPr>
      </w:pPr>
      <w:r>
        <w:rPr>
          <w:rFonts w:cs="Arial"/>
          <w:b/>
          <w:sz w:val="20"/>
        </w:rPr>
        <w:t>Question B-13: Do you agree with the proposal 13?</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tabs>
          <w:tab w:val="left" w:pos="709"/>
        </w:tabs>
        <w:overflowPunct w:val="0"/>
        <w:autoSpaceDE w:val="0"/>
        <w:autoSpaceDN w:val="0"/>
        <w:adjustRightInd w:val="0"/>
        <w:textAlignment w:val="baseline"/>
        <w:rPr>
          <w:rFonts w:ascii="Arial" w:hAnsi="Arial" w:cs="Arial"/>
          <w:lang w:val="en-US"/>
        </w:rPr>
      </w:pPr>
    </w:p>
    <w:p>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For CHO scheme, since it is enabled in advanced, network may also possibly enable both CHO and satellite switching procedure at the same time. And in UE side, UE can just follow the condition evaluation to initiate the corresponding scheme, e.g. UE can initiate CHO when CHO condition is met, and initiate satellite switching when the satellite switching time is arrived. When both conditions are met, it could up to UE implementation to choose either one. </w:t>
      </w:r>
    </w:p>
    <w:p>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14: Both CHO and satellite switching procedure can be configured simultaneously. </w:t>
      </w:r>
    </w:p>
    <w:p>
      <w:pPr>
        <w:pStyle w:val="5"/>
        <w:ind w:right="200"/>
        <w:rPr>
          <w:rFonts w:cs="Arial"/>
          <w:b/>
          <w:sz w:val="20"/>
        </w:rPr>
      </w:pPr>
      <w:r>
        <w:rPr>
          <w:rFonts w:cs="Arial"/>
          <w:b/>
          <w:sz w:val="20"/>
        </w:rPr>
        <w:t>Question B-14: Do you agree with the proposal 14?</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tabs>
          <w:tab w:val="left" w:pos="709"/>
        </w:tabs>
        <w:overflowPunct w:val="0"/>
        <w:autoSpaceDE w:val="0"/>
        <w:autoSpaceDN w:val="0"/>
        <w:adjustRightInd w:val="0"/>
        <w:textAlignment w:val="baseline"/>
        <w:rPr>
          <w:rFonts w:ascii="Arial" w:hAnsi="Arial" w:cs="Arial"/>
          <w:lang w:val="en-US"/>
        </w:rPr>
      </w:pPr>
    </w:p>
    <w:p>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15: When both CHO and satellite switching conditions are met, it's up to UE implementation to choose either one.     </w:t>
      </w:r>
    </w:p>
    <w:p>
      <w:pPr>
        <w:pStyle w:val="5"/>
        <w:ind w:right="200"/>
        <w:rPr>
          <w:rFonts w:cs="Arial"/>
          <w:b/>
          <w:sz w:val="20"/>
        </w:rPr>
      </w:pPr>
      <w:r>
        <w:rPr>
          <w:rFonts w:cs="Arial"/>
          <w:b/>
          <w:sz w:val="20"/>
        </w:rPr>
        <w:t>Question B-15: Do you agree with the proposal 15?</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rPr>
          <w:rFonts w:ascii="Arial" w:hAnsi="Arial" w:cs="Arial"/>
          <w:b/>
          <w:lang w:eastAsia="zh-CN"/>
        </w:rPr>
      </w:pPr>
    </w:p>
    <w:p>
      <w:pPr>
        <w:rPr>
          <w:rFonts w:ascii="Arial" w:hAnsi="Arial" w:cs="Arial"/>
          <w:b/>
          <w:lang w:eastAsia="zh-CN"/>
        </w:rPr>
      </w:pPr>
    </w:p>
    <w:p>
      <w:pPr>
        <w:pStyle w:val="2"/>
        <w:tabs>
          <w:tab w:val="left" w:pos="420"/>
        </w:tabs>
        <w:spacing w:line="276" w:lineRule="auto"/>
        <w:ind w:left="420" w:hanging="420"/>
        <w:jc w:val="both"/>
        <w:rPr>
          <w:rFonts w:cs="Arial" w:eastAsiaTheme="minorEastAsia"/>
          <w:b/>
          <w:lang w:val="en-US" w:eastAsia="zh-CN"/>
        </w:rPr>
      </w:pPr>
      <w:r>
        <w:rPr>
          <w:rFonts w:cs="Arial"/>
          <w:b/>
          <w:lang w:val="en-US" w:eastAsia="zh-CN"/>
        </w:rPr>
        <w:t>3</w:t>
      </w:r>
      <w:r>
        <w:rPr>
          <w:rFonts w:cs="Arial"/>
          <w:b/>
          <w:lang w:val="en-US" w:eastAsia="zh-CN"/>
        </w:rPr>
        <w:tab/>
      </w:r>
      <w:r>
        <w:rPr>
          <w:rFonts w:cs="Arial" w:eastAsiaTheme="minorEastAsia"/>
          <w:b/>
          <w:lang w:val="en-US" w:eastAsia="zh-CN"/>
        </w:rPr>
        <w:t>Summary</w:t>
      </w:r>
    </w:p>
    <w:p>
      <w:pPr>
        <w:rPr>
          <w:rFonts w:ascii="Arial" w:hAnsi="Arial" w:cs="Arial"/>
          <w:b/>
          <w:bCs/>
          <w:i/>
          <w:iCs/>
        </w:rPr>
      </w:pPr>
      <w:r>
        <w:rPr>
          <w:rFonts w:ascii="Arial" w:hAnsi="Arial" w:cs="Arial"/>
          <w:b/>
          <w:bCs/>
          <w:i/>
          <w:iCs/>
          <w:lang w:val="en-US" w:eastAsia="zh-CN"/>
        </w:rPr>
        <w:t xml:space="preserve">Rapporteur </w:t>
      </w:r>
      <w:r>
        <w:rPr>
          <w:rFonts w:ascii="Arial" w:hAnsi="Arial" w:cs="Arial"/>
          <w:b/>
          <w:bCs/>
          <w:i/>
          <w:iCs/>
        </w:rPr>
        <w:t>Summary:</w:t>
      </w:r>
    </w:p>
    <w:p>
      <w:pPr>
        <w:rPr>
          <w:rFonts w:ascii="Arial" w:hAnsi="Arial" w:cs="Arial"/>
          <w:b/>
          <w:bCs/>
          <w:i/>
          <w:iCs/>
          <w:color w:val="C00000"/>
          <w:lang w:eastAsia="zh-CN"/>
        </w:rPr>
      </w:pPr>
    </w:p>
    <w:p>
      <w:pPr>
        <w:rPr>
          <w:rFonts w:ascii="Arial" w:hAnsi="Arial" w:cs="Arial"/>
          <w:b/>
          <w:bCs/>
          <w:iCs/>
          <w:color w:val="C00000"/>
          <w:lang w:eastAsia="zh-CN"/>
        </w:rPr>
      </w:pPr>
    </w:p>
    <w:p>
      <w:pPr>
        <w:pStyle w:val="2"/>
        <w:tabs>
          <w:tab w:val="left" w:pos="420"/>
        </w:tabs>
        <w:spacing w:line="276" w:lineRule="auto"/>
        <w:ind w:left="420" w:hanging="420"/>
        <w:jc w:val="both"/>
        <w:rPr>
          <w:rFonts w:cs="Arial" w:eastAsiaTheme="minorEastAsia"/>
          <w:b/>
          <w:lang w:val="en-US" w:eastAsia="zh-CN"/>
        </w:rPr>
      </w:pPr>
      <w:r>
        <w:rPr>
          <w:rFonts w:cs="Arial"/>
          <w:b/>
          <w:lang w:val="en-US" w:eastAsia="zh-CN"/>
        </w:rPr>
        <w:t>4</w:t>
      </w:r>
      <w:r>
        <w:rPr>
          <w:rFonts w:cs="Arial"/>
          <w:b/>
          <w:lang w:val="en-US" w:eastAsia="zh-CN"/>
        </w:rPr>
        <w:tab/>
      </w:r>
      <w:r>
        <w:rPr>
          <w:rFonts w:cs="Arial" w:eastAsiaTheme="minorEastAsia"/>
          <w:b/>
          <w:lang w:val="en-US" w:eastAsia="zh-CN"/>
        </w:rPr>
        <w:t>Conclusion</w:t>
      </w:r>
    </w:p>
    <w:bookmarkEnd w:id="0"/>
    <w:p>
      <w:pPr>
        <w:rPr>
          <w:rFonts w:ascii="Arial" w:hAnsi="Arial" w:cs="Arial" w:eastAsiaTheme="minorEastAsia"/>
          <w:b/>
          <w:iCs/>
          <w:lang w:eastAsia="zh-CN"/>
        </w:rPr>
      </w:pPr>
      <w:r>
        <w:rPr>
          <w:rFonts w:ascii="Arial" w:hAnsi="Arial" w:cs="Arial" w:eastAsiaTheme="minorEastAsia"/>
          <w:b/>
          <w:iCs/>
          <w:highlight w:val="yellow"/>
          <w:lang w:eastAsia="zh-CN"/>
        </w:rPr>
        <w:t>List of proposals for agreement (if any):</w:t>
      </w:r>
    </w:p>
    <w:p>
      <w:pPr>
        <w:rPr>
          <w:rFonts w:ascii="Arial" w:hAnsi="Arial" w:cs="Arial" w:eastAsiaTheme="minorEastAsia"/>
          <w:b/>
          <w:iCs/>
          <w:lang w:eastAsia="zh-CN"/>
        </w:rPr>
      </w:pPr>
    </w:p>
    <w:p>
      <w:pPr>
        <w:rPr>
          <w:rFonts w:ascii="Arial" w:hAnsi="Arial" w:cs="Arial" w:eastAsiaTheme="minorEastAsia"/>
          <w:b/>
          <w:iCs/>
          <w:lang w:eastAsia="zh-CN"/>
        </w:rPr>
      </w:pPr>
    </w:p>
    <w:p>
      <w:pPr>
        <w:rPr>
          <w:rFonts w:ascii="Arial" w:hAnsi="Arial" w:cs="Arial" w:eastAsiaTheme="minorEastAsia"/>
          <w:b/>
          <w:iCs/>
          <w:lang w:eastAsia="zh-CN"/>
        </w:rPr>
      </w:pPr>
      <w:r>
        <w:rPr>
          <w:rFonts w:ascii="Arial" w:hAnsi="Arial" w:cs="Arial" w:eastAsiaTheme="minorEastAsia"/>
          <w:b/>
          <w:iCs/>
          <w:highlight w:val="green"/>
          <w:lang w:eastAsia="zh-CN"/>
        </w:rPr>
        <w:t>List of proposals that require online discussions:</w:t>
      </w:r>
    </w:p>
    <w:p>
      <w:pPr>
        <w:rPr>
          <w:rFonts w:ascii="Arial" w:hAnsi="Arial" w:cs="Arial" w:eastAsiaTheme="minorEastAsia"/>
          <w:lang w:val="en-US" w:eastAsia="zh-CN"/>
        </w:rPr>
      </w:pPr>
    </w:p>
    <w:p>
      <w:pPr>
        <w:pStyle w:val="2"/>
        <w:rPr>
          <w:rFonts w:cs="Arial"/>
        </w:rPr>
      </w:pPr>
      <w:r>
        <w:rPr>
          <w:rFonts w:cs="Arial"/>
        </w:rPr>
        <w:t>5</w:t>
      </w:r>
      <w:r>
        <w:rPr>
          <w:rFonts w:cs="Arial"/>
        </w:rPr>
        <w:tab/>
      </w:r>
      <w:r>
        <w:rPr>
          <w:rFonts w:cs="Arial"/>
        </w:rPr>
        <w:t>References</w:t>
      </w:r>
    </w:p>
    <w:p>
      <w:pPr>
        <w:pStyle w:val="70"/>
        <w:numPr>
          <w:ilvl w:val="0"/>
          <w:numId w:val="19"/>
        </w:numPr>
        <w:rPr>
          <w:rFonts w:ascii="Arial" w:hAnsi="Arial" w:cs="Arial"/>
        </w:rPr>
      </w:pPr>
      <w:r>
        <w:rPr>
          <w:rFonts w:ascii="Arial" w:hAnsi="Arial" w:cs="Arial"/>
        </w:rPr>
        <w:t>RAN2-123bis - NR-NTN-IoT-NTN (Sergio)_EOM</w:t>
      </w:r>
    </w:p>
    <w:p>
      <w:pPr>
        <w:pStyle w:val="70"/>
        <w:numPr>
          <w:ilvl w:val="0"/>
          <w:numId w:val="19"/>
        </w:numPr>
        <w:rPr>
          <w:rFonts w:ascii="Arial" w:hAnsi="Arial" w:cs="Arial"/>
        </w:rPr>
      </w:pPr>
      <w:r>
        <w:rPr>
          <w:rFonts w:ascii="Arial" w:hAnsi="Arial" w:cs="Arial"/>
        </w:rPr>
        <w:t>R2-2311319-[AT123bis][307][NR-NTN Enh] Unchanged PCI (Apple)</w:t>
      </w:r>
    </w:p>
    <w:p>
      <w:pPr>
        <w:pStyle w:val="2"/>
        <w:rPr>
          <w:rFonts w:cs="Arial"/>
        </w:rPr>
      </w:pPr>
      <w:r>
        <w:rPr>
          <w:rFonts w:cs="Arial"/>
        </w:rPr>
        <w:t>6 Contact information</w:t>
      </w:r>
    </w:p>
    <w:p>
      <w:pPr>
        <w:spacing w:after="120" w:line="252" w:lineRule="auto"/>
        <w:jc w:val="both"/>
        <w:rPr>
          <w:rFonts w:ascii="Arial" w:hAnsi="Arial" w:eastAsia="Calibri" w:cs="Arial"/>
          <w:sz w:val="22"/>
          <w:szCs w:val="22"/>
          <w:lang w:eastAsia="zh-CN"/>
        </w:rPr>
      </w:pPr>
    </w:p>
    <w:tbl>
      <w:tblPr>
        <w:tblStyle w:val="43"/>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after="120" w:line="252" w:lineRule="auto"/>
              <w:jc w:val="center"/>
              <w:rPr>
                <w:rFonts w:ascii="Arial" w:hAnsi="Arial" w:eastAsia="Calibri" w:cs="Arial"/>
                <w:lang w:val="de-DE" w:eastAsia="zh-CN"/>
              </w:rPr>
            </w:pPr>
            <w:r>
              <w:rPr>
                <w:rFonts w:ascii="Arial" w:hAnsi="Arial" w:eastAsia="Calibri" w:cs="Arial"/>
                <w:lang w:val="de-DE" w:eastAsia="zh-CN"/>
              </w:rPr>
              <w:t>Company</w:t>
            </w:r>
          </w:p>
        </w:tc>
        <w:tc>
          <w:tcPr>
            <w:tcW w:w="6373" w:type="dxa"/>
            <w:shd w:val="clear" w:color="auto" w:fill="BFBFBF"/>
            <w:tcMar>
              <w:top w:w="0" w:type="dxa"/>
              <w:left w:w="108" w:type="dxa"/>
              <w:bottom w:w="0" w:type="dxa"/>
              <w:right w:w="108" w:type="dxa"/>
            </w:tcMar>
          </w:tcPr>
          <w:p>
            <w:pPr>
              <w:spacing w:after="120" w:line="252" w:lineRule="auto"/>
              <w:jc w:val="center"/>
              <w:rPr>
                <w:rFonts w:ascii="Arial" w:hAnsi="Arial" w:eastAsia="Calibri" w:cs="Arial"/>
                <w:sz w:val="22"/>
                <w:szCs w:val="22"/>
                <w:lang w:eastAsia="zh-CN"/>
              </w:rPr>
            </w:pPr>
            <w:r>
              <w:rPr>
                <w:rFonts w:ascii="Arial" w:hAnsi="Arial" w:eastAsia="Calibri" w:cs="Arial"/>
                <w:color w:val="000000"/>
                <w:sz w:val="22"/>
                <w:szCs w:val="22"/>
                <w:lang w:eastAsia="zh-CN"/>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Mar>
              <w:top w:w="0" w:type="dxa"/>
              <w:left w:w="108" w:type="dxa"/>
              <w:bottom w:w="0" w:type="dxa"/>
              <w:right w:w="108" w:type="dxa"/>
            </w:tcMar>
          </w:tcPr>
          <w:p>
            <w:pPr>
              <w:spacing w:after="0"/>
              <w:jc w:val="center"/>
              <w:rPr>
                <w:rFonts w:ascii="Arial" w:hAnsi="Arial" w:cs="Arial"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Mar>
              <w:top w:w="0" w:type="dxa"/>
              <w:left w:w="108" w:type="dxa"/>
              <w:bottom w:w="0" w:type="dxa"/>
              <w:right w:w="108" w:type="dxa"/>
            </w:tcMar>
          </w:tcPr>
          <w:p>
            <w:pPr>
              <w:spacing w:after="0"/>
              <w:jc w:val="center"/>
              <w:rPr>
                <w:rFonts w:ascii="Arial" w:hAnsi="Arial" w:cs="Arial"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Mar>
              <w:top w:w="0" w:type="dxa"/>
              <w:left w:w="108" w:type="dxa"/>
              <w:bottom w:w="0" w:type="dxa"/>
              <w:right w:w="108" w:type="dxa"/>
            </w:tcMar>
          </w:tcPr>
          <w:p>
            <w:pPr>
              <w:spacing w:after="0"/>
              <w:jc w:val="center"/>
              <w:rPr>
                <w:rFonts w:ascii="Arial" w:hAnsi="Arial" w:cs="Arial" w:eastAsiaTheme="minorEastAsia"/>
                <w:sz w:val="22"/>
                <w:szCs w:val="22"/>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Mar>
              <w:top w:w="0" w:type="dxa"/>
              <w:left w:w="108" w:type="dxa"/>
              <w:bottom w:w="0" w:type="dxa"/>
              <w:right w:w="108" w:type="dxa"/>
            </w:tcMar>
          </w:tcPr>
          <w:p>
            <w:pPr>
              <w:spacing w:after="0"/>
              <w:jc w:val="center"/>
              <w:rPr>
                <w:rFonts w:ascii="Arial" w:hAnsi="Arial" w:cs="Arial" w:eastAsiaTheme="minorEastAsia"/>
                <w:sz w:val="22"/>
                <w:szCs w:val="22"/>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Mar>
              <w:top w:w="0" w:type="dxa"/>
              <w:left w:w="108" w:type="dxa"/>
              <w:bottom w:w="0" w:type="dxa"/>
              <w:right w:w="108" w:type="dxa"/>
            </w:tcMar>
          </w:tcPr>
          <w:p>
            <w:pPr>
              <w:spacing w:after="0"/>
              <w:jc w:val="center"/>
              <w:rPr>
                <w:rFonts w:ascii="Arial" w:hAnsi="Arial" w:cs="Arial" w:eastAsiaTheme="minorEastAsia"/>
                <w:sz w:val="22"/>
                <w:szCs w:val="22"/>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algun Gothic" w:cs="Arial"/>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cs="Arial"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cs="Arial"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algun Gothic" w:cs="Arial"/>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MS Mincho" w:cs="Arial"/>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S Mincho" w:cs="Arial"/>
                <w:sz w:val="22"/>
                <w:szCs w:val="22"/>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MS Mincho" w:cs="Arial"/>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S Mincho" w:cs="Arial"/>
                <w:sz w:val="22"/>
                <w:szCs w:val="22"/>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MS Mincho" w:cs="Arial"/>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S Mincho" w:cs="Arial"/>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MS Mincho" w:cs="Arial"/>
                <w:sz w:val="22"/>
                <w:szCs w:val="22"/>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S Mincho" w:cs="Arial"/>
                <w:sz w:val="22"/>
                <w:szCs w:val="22"/>
                <w:lang w:val="nl-NL" w:eastAsia="ja-JP"/>
              </w:rPr>
            </w:pPr>
          </w:p>
        </w:tc>
      </w:tr>
    </w:tbl>
    <w:p>
      <w:pPr>
        <w:pStyle w:val="2"/>
        <w:rPr>
          <w:rFonts w:cs="Arial"/>
          <w:lang w:val="en-US" w:eastAsia="zh-CN"/>
        </w:rPr>
      </w:pPr>
      <w:r>
        <w:rPr>
          <w:rFonts w:cs="Arial"/>
        </w:rPr>
        <w:t>7</w:t>
      </w:r>
      <w:r>
        <w:rPr>
          <w:rFonts w:cs="Arial"/>
        </w:rPr>
        <w:tab/>
      </w:r>
      <w:r>
        <w:rPr>
          <w:rFonts w:cs="Arial"/>
          <w:lang w:val="en-US" w:eastAsia="zh-CN"/>
        </w:rPr>
        <w:t>RAN2 agreements on unchanged PCI</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c>
          <w:tcPr>
            <w:tcW w:w="9855" w:type="dxa"/>
            <w:shd w:val="clear" w:color="auto" w:fill="F2F2F2"/>
          </w:tcPr>
          <w:p>
            <w:pPr>
              <w:overflowPunct w:val="0"/>
              <w:autoSpaceDE w:val="0"/>
              <w:autoSpaceDN w:val="0"/>
              <w:adjustRightInd w:val="0"/>
              <w:textAlignment w:val="baseline"/>
              <w:rPr>
                <w:rFonts w:ascii="Arial" w:hAnsi="Arial" w:cs="Arial"/>
                <w:lang w:val="en-US"/>
              </w:rPr>
            </w:pPr>
            <w:r>
              <w:rPr>
                <w:rFonts w:ascii="Arial" w:hAnsi="Arial" w:cs="Arial"/>
              </w:rPr>
              <w:t xml:space="preserve">RAN2#122 </w:t>
            </w:r>
            <w:r>
              <w:rPr>
                <w:rFonts w:ascii="Arial" w:hAnsi="Arial" w:cs="Arial"/>
                <w:lang w:val="en-US"/>
              </w:rPr>
              <w:t>Agreements</w:t>
            </w:r>
          </w:p>
          <w:p>
            <w:pPr>
              <w:numPr>
                <w:ilvl w:val="0"/>
                <w:numId w:val="13"/>
              </w:numPr>
              <w:overflowPunct w:val="0"/>
              <w:autoSpaceDE w:val="0"/>
              <w:autoSpaceDN w:val="0"/>
              <w:adjustRightInd w:val="0"/>
              <w:spacing w:line="240" w:lineRule="auto"/>
              <w:ind w:left="742"/>
              <w:textAlignment w:val="baseline"/>
              <w:rPr>
                <w:rFonts w:ascii="Arial" w:hAnsi="Arial" w:cs="Arial"/>
                <w:lang w:val="en-US"/>
              </w:rPr>
            </w:pPr>
            <w:r>
              <w:rPr>
                <w:rFonts w:ascii="Arial" w:hAnsi="Arial" w:cs="Arial"/>
                <w:lang w:val="en-US"/>
              </w:rPr>
              <w:t>t-Service in SIB19 can also be interpreted by Rel-18 UE in Connected mode to know that a satellite change or feeder link change happens</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hard switch unchanged PCI scenario (i.e. no handover), the UE needs to know the time the UE attempts to re-synchronize. (FFS whether a new “t-Start” / a t-gap is needed or whether t-Service can be reused (i.e. no other IE) if the gap is very short/zero).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c>
          <w:tcPr>
            <w:tcW w:w="9855" w:type="dxa"/>
            <w:shd w:val="clear" w:color="auto" w:fill="F2F2F2"/>
          </w:tcPr>
          <w:p>
            <w:pPr>
              <w:overflowPunct w:val="0"/>
              <w:autoSpaceDE w:val="0"/>
              <w:autoSpaceDN w:val="0"/>
              <w:adjustRightInd w:val="0"/>
              <w:textAlignment w:val="baseline"/>
              <w:rPr>
                <w:rFonts w:ascii="Arial" w:hAnsi="Arial" w:cs="Arial"/>
              </w:rPr>
            </w:pPr>
            <w:r>
              <w:rPr>
                <w:rFonts w:ascii="Arial" w:hAnsi="Arial" w:cs="Arial"/>
              </w:rPr>
              <w:t>RAN2#123 Agreements</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An explicit indication will be introduced to enable the unchanged PCI switch</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unchanged PCI mechanism can be applied to the case where the coverage gap is zero or negligible (where there is no need to introduce t-gap or t-start). FFS whether we need to support scenarios that require the introduction of t-gap or t-start</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PCI unchanged procedure can be performed without performing RACH</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the unchanged PCI case, the UE considers UL synchronization timer expired at t-Service (current cell stop time) to stop any UL operation. FFS on timeAlignmentTimer handling.</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the unchanged PCI case, for RACH-based solution, the UE may trigger RACH immediately after DL synchronizing with the new satellite</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UE specific Koffset, if configured, is not used after t-Service and the UE uses the cell specifc Koffset until the UE receives new differential Koffset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c>
          <w:tcPr>
            <w:tcW w:w="9855" w:type="dxa"/>
            <w:shd w:val="clear" w:color="auto" w:fill="F2F2F2"/>
          </w:tcPr>
          <w:p>
            <w:pPr>
              <w:overflowPunct w:val="0"/>
              <w:autoSpaceDE w:val="0"/>
              <w:autoSpaceDN w:val="0"/>
              <w:adjustRightInd w:val="0"/>
              <w:textAlignment w:val="baseline"/>
              <w:rPr>
                <w:rFonts w:ascii="Arial" w:hAnsi="Arial" w:cs="Arial"/>
              </w:rPr>
            </w:pPr>
            <w:r>
              <w:rPr>
                <w:rFonts w:ascii="Arial" w:hAnsi="Arial" w:cs="Arial"/>
              </w:rPr>
              <w:t>RAN2#123bis Agreements</w:t>
            </w:r>
          </w:p>
          <w:p>
            <w:pPr>
              <w:pStyle w:val="127"/>
              <w:numPr>
                <w:ilvl w:val="0"/>
                <w:numId w:val="13"/>
              </w:numPr>
              <w:spacing w:line="240" w:lineRule="auto"/>
              <w:rPr>
                <w:lang w:val="en-US"/>
              </w:rPr>
            </w:pPr>
            <w:r>
              <w:rPr>
                <w:lang w:val="en-US"/>
              </w:rPr>
              <w:t>We don’t consider the impact on Rel-17 UEs behavior (or Rel-18 UEs not supporting unchanged PCI) when defining the Rel-18 unchanged PCI solution</w:t>
            </w:r>
          </w:p>
          <w:p>
            <w:pPr>
              <w:pStyle w:val="127"/>
              <w:numPr>
                <w:ilvl w:val="0"/>
                <w:numId w:val="13"/>
              </w:numPr>
              <w:spacing w:line="240" w:lineRule="auto"/>
            </w:pPr>
            <w:r>
              <w:t>Network provides the sync information of target satellite in advance to UE before satellite switching, via broadcast signalling</w:t>
            </w:r>
          </w:p>
          <w:p>
            <w:pPr>
              <w:pStyle w:val="127"/>
              <w:numPr>
                <w:ilvl w:val="0"/>
                <w:numId w:val="13"/>
              </w:numPr>
              <w:spacing w:line="240" w:lineRule="auto"/>
            </w:pPr>
            <w:r>
              <w:t>RAN2 confirms satellite switching with unchanged PCI is only applicable on quasi-earth fixed system</w:t>
            </w:r>
          </w:p>
          <w:p>
            <w:pPr>
              <w:pStyle w:val="127"/>
              <w:numPr>
                <w:ilvl w:val="0"/>
                <w:numId w:val="13"/>
              </w:numPr>
              <w:spacing w:line="240" w:lineRule="auto"/>
              <w:rPr>
                <w:highlight w:val="yellow"/>
              </w:rPr>
            </w:pPr>
            <w:r>
              <w:t xml:space="preserve">Only 1 target satellite information (i.e. NTN-config) of serving cell is provided in SIB19. </w:t>
            </w:r>
            <w:r>
              <w:rPr>
                <w:highlight w:val="yellow"/>
              </w:rPr>
              <w:t>FFS on exact signalling</w:t>
            </w:r>
          </w:p>
          <w:p>
            <w:pPr>
              <w:pStyle w:val="127"/>
              <w:numPr>
                <w:ilvl w:val="0"/>
                <w:numId w:val="13"/>
              </w:numPr>
              <w:spacing w:line="240" w:lineRule="auto"/>
              <w:rPr>
                <w:highlight w:val="yellow"/>
              </w:rPr>
            </w:pPr>
            <w:r>
              <w:rPr>
                <w:highlight w:val="yellow"/>
              </w:rPr>
              <w:t>SMTC configuration of target satellite needs further discussion:</w:t>
            </w:r>
          </w:p>
          <w:p>
            <w:pPr>
              <w:pStyle w:val="127"/>
              <w:numPr>
                <w:ilvl w:val="1"/>
                <w:numId w:val="13"/>
              </w:numPr>
              <w:spacing w:line="240" w:lineRule="auto"/>
              <w:rPr>
                <w:highlight w:val="yellow"/>
              </w:rPr>
            </w:pPr>
            <w:r>
              <w:rPr>
                <w:highlight w:val="yellow"/>
              </w:rPr>
              <w:t>FFS on whether and how to provide the SMTC configuration of target satellite.</w:t>
            </w:r>
          </w:p>
          <w:p>
            <w:pPr>
              <w:pStyle w:val="127"/>
              <w:numPr>
                <w:ilvl w:val="1"/>
                <w:numId w:val="13"/>
              </w:numPr>
              <w:spacing w:line="240" w:lineRule="auto"/>
              <w:rPr>
                <w:highlight w:val="yellow"/>
              </w:rPr>
            </w:pPr>
            <w:r>
              <w:rPr>
                <w:highlight w:val="yellow"/>
              </w:rPr>
              <w:t xml:space="preserve">FFS on how to handle the SMTC adjustment. </w:t>
            </w:r>
          </w:p>
          <w:p>
            <w:pPr>
              <w:pStyle w:val="127"/>
              <w:numPr>
                <w:ilvl w:val="0"/>
                <w:numId w:val="13"/>
              </w:numPr>
              <w:spacing w:line="240" w:lineRule="auto"/>
            </w:pPr>
            <w:r>
              <w:t>We support soft satellite switching in Rel-18</w:t>
            </w:r>
          </w:p>
          <w:p>
            <w:pPr>
              <w:pStyle w:val="127"/>
              <w:numPr>
                <w:ilvl w:val="0"/>
                <w:numId w:val="13"/>
              </w:numPr>
              <w:spacing w:line="240" w:lineRule="auto"/>
            </w:pPr>
            <w:r>
              <w:t>There will be an indication (</w:t>
            </w:r>
            <w:r>
              <w:rPr>
                <w:highlight w:val="yellow"/>
              </w:rPr>
              <w:t>FFS if explicit or implicit)</w:t>
            </w:r>
            <w:r>
              <w:t xml:space="preserve"> whether hard switch or soft switch is used.</w:t>
            </w:r>
          </w:p>
          <w:p>
            <w:pPr>
              <w:pStyle w:val="127"/>
              <w:numPr>
                <w:ilvl w:val="0"/>
                <w:numId w:val="13"/>
              </w:numPr>
              <w:spacing w:line="240" w:lineRule="auto"/>
            </w:pPr>
            <w:r>
              <w:t>At least soft satellite switching, network provides SSB information of target satellite to UE. FFS on the details: options include e.g. indicating a time offset/information or indicating a different SSB index for the target satellite (</w:t>
            </w:r>
            <w:r>
              <w:rPr>
                <w:highlight w:val="yellow"/>
              </w:rPr>
              <w:t>FFS for Hard satellite switch</w:t>
            </w:r>
            <w:r>
              <w:t>)</w:t>
            </w:r>
          </w:p>
          <w:p>
            <w:pPr>
              <w:pStyle w:val="127"/>
              <w:numPr>
                <w:ilvl w:val="0"/>
                <w:numId w:val="13"/>
              </w:numPr>
              <w:spacing w:line="240" w:lineRule="auto"/>
            </w:pPr>
            <w:r>
              <w:t>In soft satellite switching, UE can start synchronizing with target satellite before T-service of source satellite.</w:t>
            </w:r>
          </w:p>
          <w:p>
            <w:pPr>
              <w:pStyle w:val="127"/>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pPr>
              <w:pStyle w:val="127"/>
              <w:numPr>
                <w:ilvl w:val="0"/>
                <w:numId w:val="13"/>
              </w:numPr>
              <w:spacing w:line="240" w:lineRule="auto"/>
            </w:pPr>
            <w:r>
              <w:t>For soft satellite switching, the exact time when the UE starts synchronizing with target satellite (between T-start and T-service) is up to UE implementation.</w:t>
            </w:r>
          </w:p>
          <w:p>
            <w:pPr>
              <w:pStyle w:val="127"/>
              <w:numPr>
                <w:ilvl w:val="0"/>
                <w:numId w:val="13"/>
              </w:numPr>
              <w:spacing w:line="240" w:lineRule="auto"/>
            </w:pPr>
            <w:r>
              <w:t>UE is not required to connect to source satellite when the UE switches to target satellite.</w:t>
            </w:r>
          </w:p>
          <w:p>
            <w:pPr>
              <w:overflowPunct w:val="0"/>
              <w:autoSpaceDE w:val="0"/>
              <w:autoSpaceDN w:val="0"/>
              <w:adjustRightInd w:val="0"/>
              <w:textAlignment w:val="baseline"/>
              <w:rPr>
                <w:rFonts w:ascii="Arial" w:hAnsi="Arial" w:cs="Arial"/>
              </w:rPr>
            </w:pPr>
          </w:p>
        </w:tc>
      </w:tr>
    </w:tbl>
    <w:p>
      <w:pPr>
        <w:pStyle w:val="70"/>
        <w:numPr>
          <w:ilvl w:val="0"/>
          <w:numId w:val="0"/>
        </w:numPr>
        <w:ind w:left="567" w:hanging="567"/>
        <w:rPr>
          <w:rFonts w:ascii="Arial" w:hAnsi="Arial" w:cs="Arial"/>
          <w:lang w:val="en-US"/>
        </w:rPr>
      </w:pPr>
    </w:p>
    <w:sectPr>
      <w:footerReference r:id="rId5" w:type="default"/>
      <w:footnotePr>
        <w:numRestart w:val="eachSect"/>
      </w:footnotePr>
      <w:pgSz w:w="11907" w:h="16840"/>
      <w:pgMar w:top="1416" w:right="1133" w:bottom="1133" w:left="1133" w:header="850" w:footer="340" w:gutter="0"/>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20B0604020202020204"/>
    <w:charset w:val="00"/>
    <w:family w:val="roman"/>
    <w:pitch w:val="default"/>
    <w:sig w:usb0="00000000" w:usb1="00000000" w:usb2="00000000" w:usb3="00000000" w:csb0="00000001" w:csb1="00000000"/>
  </w:font>
  <w:font w:name="Times">
    <w:altName w:val="Sylfaen"/>
    <w:panose1 w:val="02000500000000000000"/>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Helvetica">
    <w:altName w:val="Arial"/>
    <w:panose1 w:val="00000000000000000000"/>
    <w:charset w:val="00"/>
    <w:family w:val="auto"/>
    <w:pitch w:val="default"/>
    <w:sig w:usb0="00000000" w:usb1="00000000" w:usb2="00000000" w:usb3="00000000" w:csb0="000001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MS LineDraw">
    <w:altName w:val="Courier New"/>
    <w:panose1 w:val="020B0604020202020204"/>
    <w:charset w:val="02"/>
    <w:family w:val="moder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Ericsson Capital TT">
    <w:altName w:val="Segoe Print"/>
    <w:panose1 w:val="020B0604020202020204"/>
    <w:charset w:val="00"/>
    <w:family w:val="auto"/>
    <w:pitch w:val="default"/>
    <w:sig w:usb0="00000000" w:usb1="00000000" w:usb2="00000000" w:usb3="00000000" w:csb0="0000009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Sylfaen">
    <w:panose1 w:val="010A0502050306030303"/>
    <w:charset w:val="00"/>
    <w:family w:val="auto"/>
    <w:pitch w:val="default"/>
    <w:sig w:usb0="04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472DB"/>
    <w:multiLevelType w:val="multilevel"/>
    <w:tmpl w:val="09B472DB"/>
    <w:lvl w:ilvl="0" w:tentative="0">
      <w:start w:val="1"/>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D0A6382"/>
    <w:multiLevelType w:val="multilevel"/>
    <w:tmpl w:val="0D0A6382"/>
    <w:lvl w:ilvl="0" w:tentative="0">
      <w:start w:val="1"/>
      <w:numFmt w:val="bullet"/>
      <w:lvlText w:val=""/>
      <w:lvlJc w:val="left"/>
      <w:pPr>
        <w:ind w:left="720" w:hanging="360"/>
      </w:pPr>
      <w:rPr>
        <w:rFonts w:hint="default" w:ascii="Wingdings" w:hAnsi="Wingdings"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D367570"/>
    <w:multiLevelType w:val="multilevel"/>
    <w:tmpl w:val="0D367570"/>
    <w:lvl w:ilvl="0" w:tentative="0">
      <w:start w:val="1"/>
      <w:numFmt w:val="decimal"/>
      <w:pStyle w:val="112"/>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126D0C5D"/>
    <w:multiLevelType w:val="multilevel"/>
    <w:tmpl w:val="126D0C5D"/>
    <w:lvl w:ilvl="0" w:tentative="0">
      <w:start w:val="1"/>
      <w:numFmt w:val="bullet"/>
      <w:pStyle w:val="22"/>
      <w:lvlText w:val=""/>
      <w:lvlJc w:val="left"/>
      <w:pPr>
        <w:tabs>
          <w:tab w:val="left" w:pos="1418"/>
        </w:tabs>
        <w:ind w:left="1418" w:hanging="420"/>
      </w:pPr>
      <w:rPr>
        <w:rFonts w:hint="default" w:ascii="Symbol" w:hAnsi="Symbol"/>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
      <w:lvlJc w:val="left"/>
      <w:pPr>
        <w:tabs>
          <w:tab w:val="left" w:pos="1260"/>
        </w:tabs>
        <w:ind w:left="1260" w:hanging="420"/>
      </w:pPr>
      <w:rPr>
        <w:rFonts w:hint="default" w:ascii="Symbol" w:hAnsi="Symbol"/>
      </w:rPr>
    </w:lvl>
    <w:lvl w:ilvl="3" w:tentative="0">
      <w:start w:val="1"/>
      <w:numFmt w:val="bullet"/>
      <w:lvlText w:val=""/>
      <w:lvlJc w:val="left"/>
      <w:pPr>
        <w:tabs>
          <w:tab w:val="left" w:pos="1680"/>
        </w:tabs>
        <w:ind w:left="1680" w:hanging="420"/>
      </w:pPr>
      <w:rPr>
        <w:rFonts w:hint="default" w:ascii="Symbol" w:hAnsi="Symbol"/>
      </w:rPr>
    </w:lvl>
    <w:lvl w:ilvl="4" w:tentative="0">
      <w:start w:val="1"/>
      <w:numFmt w:val="bullet"/>
      <w:lvlText w:val=""/>
      <w:lvlJc w:val="left"/>
      <w:pPr>
        <w:tabs>
          <w:tab w:val="left" w:pos="2100"/>
        </w:tabs>
        <w:ind w:left="2100" w:hanging="420"/>
      </w:pPr>
      <w:rPr>
        <w:rFonts w:hint="default" w:ascii="Symbol" w:hAnsi="Symbol"/>
      </w:rPr>
    </w:lvl>
    <w:lvl w:ilvl="5" w:tentative="0">
      <w:start w:val="1"/>
      <w:numFmt w:val="bullet"/>
      <w:lvlText w:val=""/>
      <w:lvlJc w:val="left"/>
      <w:pPr>
        <w:tabs>
          <w:tab w:val="left" w:pos="2520"/>
        </w:tabs>
        <w:ind w:left="2520" w:hanging="420"/>
      </w:pPr>
      <w:rPr>
        <w:rFonts w:hint="default" w:ascii="Symbol" w:hAnsi="Symbol"/>
      </w:rPr>
    </w:lvl>
    <w:lvl w:ilvl="6" w:tentative="0">
      <w:start w:val="1"/>
      <w:numFmt w:val="bullet"/>
      <w:lvlText w:val=""/>
      <w:lvlJc w:val="left"/>
      <w:pPr>
        <w:tabs>
          <w:tab w:val="left" w:pos="2940"/>
        </w:tabs>
        <w:ind w:left="2940" w:hanging="420"/>
      </w:pPr>
      <w:rPr>
        <w:rFonts w:hint="default" w:ascii="Symbol" w:hAnsi="Symbol"/>
      </w:rPr>
    </w:lvl>
    <w:lvl w:ilvl="7" w:tentative="0">
      <w:start w:val="1"/>
      <w:numFmt w:val="bullet"/>
      <w:lvlText w:val=""/>
      <w:lvlJc w:val="left"/>
      <w:pPr>
        <w:tabs>
          <w:tab w:val="left" w:pos="3360"/>
        </w:tabs>
        <w:ind w:left="3360" w:hanging="420"/>
      </w:pPr>
      <w:rPr>
        <w:rFonts w:hint="default" w:ascii="Symbol" w:hAnsi="Symbol"/>
      </w:rPr>
    </w:lvl>
    <w:lvl w:ilvl="8" w:tentative="0">
      <w:start w:val="1"/>
      <w:numFmt w:val="bullet"/>
      <w:lvlText w:val=""/>
      <w:lvlJc w:val="left"/>
      <w:pPr>
        <w:tabs>
          <w:tab w:val="left" w:pos="3780"/>
        </w:tabs>
        <w:ind w:left="3780" w:hanging="420"/>
      </w:pPr>
      <w:rPr>
        <w:rFonts w:hint="default" w:ascii="Symbol" w:hAnsi="Symbol"/>
      </w:rPr>
    </w:lvl>
  </w:abstractNum>
  <w:abstractNum w:abstractNumId="4">
    <w:nsid w:val="22D21819"/>
    <w:multiLevelType w:val="multilevel"/>
    <w:tmpl w:val="22D21819"/>
    <w:lvl w:ilvl="0" w:tentative="0">
      <w:start w:val="1"/>
      <w:numFmt w:val="bullet"/>
      <w:pStyle w:val="161"/>
      <w:lvlText w:val=""/>
      <w:lvlJc w:val="left"/>
      <w:pPr>
        <w:tabs>
          <w:tab w:val="left" w:pos="1259"/>
        </w:tabs>
        <w:ind w:left="1622" w:hanging="1055"/>
      </w:pPr>
      <w:rPr>
        <w:rFonts w:hint="default" w:ascii="Symbol" w:hAnsi="Symbol"/>
        <w:b/>
        <w:i w:val="0"/>
        <w:sz w:val="22"/>
      </w:rPr>
    </w:lvl>
    <w:lvl w:ilvl="1" w:tentative="0">
      <w:start w:val="1"/>
      <w:numFmt w:val="bullet"/>
      <w:lvlText w:val="o"/>
      <w:lvlJc w:val="left"/>
      <w:pPr>
        <w:tabs>
          <w:tab w:val="left" w:pos="1440"/>
        </w:tabs>
        <w:ind w:left="1440" w:hanging="360"/>
      </w:pPr>
      <w:rPr>
        <w:rFonts w:hint="default" w:ascii="Tahoma" w:hAnsi="Tahoma" w:cs="Tahoma"/>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Ericsson Capital TT" w:hAnsi="Ericsson Capital TT"/>
      </w:rPr>
    </w:lvl>
    <w:lvl w:ilvl="4" w:tentative="0">
      <w:start w:val="1"/>
      <w:numFmt w:val="bullet"/>
      <w:lvlText w:val="o"/>
      <w:lvlJc w:val="left"/>
      <w:pPr>
        <w:tabs>
          <w:tab w:val="left" w:pos="3600"/>
        </w:tabs>
        <w:ind w:left="3600" w:hanging="360"/>
      </w:pPr>
      <w:rPr>
        <w:rFonts w:hint="default" w:ascii="Tahoma" w:hAnsi="Tahoma" w:cs="Tahoma"/>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Ericsson Capital TT" w:hAnsi="Ericsson Capital TT"/>
      </w:rPr>
    </w:lvl>
    <w:lvl w:ilvl="7" w:tentative="0">
      <w:start w:val="1"/>
      <w:numFmt w:val="bullet"/>
      <w:lvlText w:val="o"/>
      <w:lvlJc w:val="left"/>
      <w:pPr>
        <w:tabs>
          <w:tab w:val="left" w:pos="5760"/>
        </w:tabs>
        <w:ind w:left="5760" w:hanging="360"/>
      </w:pPr>
      <w:rPr>
        <w:rFonts w:hint="default" w:ascii="Tahoma" w:hAnsi="Tahoma" w:cs="Tahoma"/>
      </w:rPr>
    </w:lvl>
    <w:lvl w:ilvl="8" w:tentative="0">
      <w:start w:val="1"/>
      <w:numFmt w:val="bullet"/>
      <w:lvlText w:val=""/>
      <w:lvlJc w:val="left"/>
      <w:pPr>
        <w:tabs>
          <w:tab w:val="left" w:pos="6480"/>
        </w:tabs>
        <w:ind w:left="6480" w:hanging="360"/>
      </w:pPr>
      <w:rPr>
        <w:rFonts w:hint="default" w:ascii="Symbol" w:hAnsi="Symbol"/>
      </w:rPr>
    </w:lvl>
  </w:abstractNum>
  <w:abstractNum w:abstractNumId="5">
    <w:nsid w:val="284C2241"/>
    <w:multiLevelType w:val="multilevel"/>
    <w:tmpl w:val="284C2241"/>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3A877D64"/>
    <w:multiLevelType w:val="singleLevel"/>
    <w:tmpl w:val="3A877D64"/>
    <w:lvl w:ilvl="0" w:tentative="0">
      <w:start w:val="1"/>
      <w:numFmt w:val="decimal"/>
      <w:pStyle w:val="143"/>
      <w:lvlText w:val="[%1]"/>
      <w:lvlJc w:val="left"/>
      <w:pPr>
        <w:tabs>
          <w:tab w:val="left" w:pos="360"/>
        </w:tabs>
        <w:ind w:left="360" w:hanging="360"/>
      </w:pPr>
      <w:rPr>
        <w:lang w:val="en-GB"/>
      </w:rPr>
    </w:lvl>
  </w:abstractNum>
  <w:abstractNum w:abstractNumId="7">
    <w:nsid w:val="3AA46647"/>
    <w:multiLevelType w:val="multilevel"/>
    <w:tmpl w:val="3AA46647"/>
    <w:lvl w:ilvl="0" w:tentative="0">
      <w:start w:val="1"/>
      <w:numFmt w:val="decimal"/>
      <w:pStyle w:val="13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D6B7D99"/>
    <w:multiLevelType w:val="multilevel"/>
    <w:tmpl w:val="3D6B7D99"/>
    <w:lvl w:ilvl="0" w:tentative="0">
      <w:start w:val="1"/>
      <w:numFmt w:val="bullet"/>
      <w:lvlText w:val=""/>
      <w:lvlJc w:val="left"/>
      <w:pPr>
        <w:ind w:left="720" w:hanging="360"/>
      </w:pPr>
      <w:rPr>
        <w:rFonts w:hint="default" w:ascii="Wingdings" w:hAnsi="Wingdings"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4DB417B"/>
    <w:multiLevelType w:val="multilevel"/>
    <w:tmpl w:val="44DB417B"/>
    <w:lvl w:ilvl="0" w:tentative="0">
      <w:start w:val="1"/>
      <w:numFmt w:val="decimal"/>
      <w:pStyle w:val="69"/>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BDF65F6"/>
    <w:multiLevelType w:val="multilevel"/>
    <w:tmpl w:val="4BDF65F6"/>
    <w:lvl w:ilvl="0" w:tentative="0">
      <w:start w:val="1"/>
      <w:numFmt w:val="decimal"/>
      <w:pStyle w:val="70"/>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E793119"/>
    <w:multiLevelType w:val="multilevel"/>
    <w:tmpl w:val="4E793119"/>
    <w:lvl w:ilvl="0" w:tentative="0">
      <w:start w:val="1"/>
      <w:numFmt w:val="bullet"/>
      <w:lvlText w:val=""/>
      <w:lvlJc w:val="left"/>
      <w:pPr>
        <w:ind w:left="360" w:hanging="360"/>
      </w:pPr>
      <w:rPr>
        <w:rFonts w:hint="default" w:ascii="Wingdings" w:hAnsi="Wingdings"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5101505E"/>
    <w:multiLevelType w:val="multilevel"/>
    <w:tmpl w:val="5101505E"/>
    <w:lvl w:ilvl="0" w:tentative="0">
      <w:start w:val="1"/>
      <w:numFmt w:val="decimal"/>
      <w:pStyle w:val="14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178"/>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C991E5A"/>
    <w:multiLevelType w:val="multilevel"/>
    <w:tmpl w:val="5C991E5A"/>
    <w:lvl w:ilvl="0" w:tentative="0">
      <w:start w:val="1"/>
      <w:numFmt w:val="bullet"/>
      <w:pStyle w:val="23"/>
      <w:lvlText w:val=""/>
      <w:lvlJc w:val="left"/>
      <w:pPr>
        <w:tabs>
          <w:tab w:val="left" w:pos="704"/>
        </w:tabs>
        <w:ind w:left="704" w:hanging="420"/>
      </w:pPr>
      <w:rPr>
        <w:rFonts w:hint="default" w:ascii="Symbol" w:hAnsi="Symbol"/>
      </w:rPr>
    </w:lvl>
    <w:lvl w:ilvl="1" w:tentative="0">
      <w:start w:val="1"/>
      <w:numFmt w:val="bullet"/>
      <w:lvlText w:val=""/>
      <w:lvlJc w:val="left"/>
      <w:pPr>
        <w:tabs>
          <w:tab w:val="left" w:pos="1124"/>
        </w:tabs>
        <w:ind w:left="1124" w:hanging="420"/>
      </w:pPr>
      <w:rPr>
        <w:rFonts w:hint="default" w:ascii="Symbol" w:hAnsi="Symbol"/>
      </w:rPr>
    </w:lvl>
    <w:lvl w:ilvl="2" w:tentative="0">
      <w:start w:val="1"/>
      <w:numFmt w:val="bullet"/>
      <w:lvlText w:val=""/>
      <w:lvlJc w:val="left"/>
      <w:pPr>
        <w:tabs>
          <w:tab w:val="left" w:pos="1544"/>
        </w:tabs>
        <w:ind w:left="1544" w:hanging="420"/>
      </w:pPr>
      <w:rPr>
        <w:rFonts w:hint="default" w:ascii="Symbol" w:hAnsi="Symbol"/>
      </w:rPr>
    </w:lvl>
    <w:lvl w:ilvl="3" w:tentative="0">
      <w:start w:val="1"/>
      <w:numFmt w:val="bullet"/>
      <w:lvlText w:val=""/>
      <w:lvlJc w:val="left"/>
      <w:pPr>
        <w:tabs>
          <w:tab w:val="left" w:pos="1964"/>
        </w:tabs>
        <w:ind w:left="1964" w:hanging="420"/>
      </w:pPr>
      <w:rPr>
        <w:rFonts w:hint="default" w:ascii="Symbol" w:hAnsi="Symbol"/>
      </w:rPr>
    </w:lvl>
    <w:lvl w:ilvl="4" w:tentative="0">
      <w:start w:val="1"/>
      <w:numFmt w:val="bullet"/>
      <w:lvlText w:val=""/>
      <w:lvlJc w:val="left"/>
      <w:pPr>
        <w:tabs>
          <w:tab w:val="left" w:pos="2384"/>
        </w:tabs>
        <w:ind w:left="2384" w:hanging="420"/>
      </w:pPr>
      <w:rPr>
        <w:rFonts w:hint="default" w:ascii="Symbol" w:hAnsi="Symbol"/>
      </w:rPr>
    </w:lvl>
    <w:lvl w:ilvl="5" w:tentative="0">
      <w:start w:val="1"/>
      <w:numFmt w:val="bullet"/>
      <w:lvlText w:val=""/>
      <w:lvlJc w:val="left"/>
      <w:pPr>
        <w:tabs>
          <w:tab w:val="left" w:pos="2804"/>
        </w:tabs>
        <w:ind w:left="2804" w:hanging="420"/>
      </w:pPr>
      <w:rPr>
        <w:rFonts w:hint="default" w:ascii="Symbol" w:hAnsi="Symbol"/>
      </w:rPr>
    </w:lvl>
    <w:lvl w:ilvl="6" w:tentative="0">
      <w:start w:val="1"/>
      <w:numFmt w:val="bullet"/>
      <w:lvlText w:val=""/>
      <w:lvlJc w:val="left"/>
      <w:pPr>
        <w:tabs>
          <w:tab w:val="left" w:pos="3224"/>
        </w:tabs>
        <w:ind w:left="3224" w:hanging="420"/>
      </w:pPr>
      <w:rPr>
        <w:rFonts w:hint="default" w:ascii="Symbol" w:hAnsi="Symbol"/>
      </w:rPr>
    </w:lvl>
    <w:lvl w:ilvl="7" w:tentative="0">
      <w:start w:val="1"/>
      <w:numFmt w:val="bullet"/>
      <w:lvlText w:val=""/>
      <w:lvlJc w:val="left"/>
      <w:pPr>
        <w:tabs>
          <w:tab w:val="left" w:pos="3644"/>
        </w:tabs>
        <w:ind w:left="3644" w:hanging="420"/>
      </w:pPr>
      <w:rPr>
        <w:rFonts w:hint="default" w:ascii="Symbol" w:hAnsi="Symbol"/>
      </w:rPr>
    </w:lvl>
    <w:lvl w:ilvl="8" w:tentative="0">
      <w:start w:val="1"/>
      <w:numFmt w:val="bullet"/>
      <w:lvlText w:val=""/>
      <w:lvlJc w:val="left"/>
      <w:pPr>
        <w:tabs>
          <w:tab w:val="left" w:pos="4064"/>
        </w:tabs>
        <w:ind w:left="4064" w:hanging="420"/>
      </w:pPr>
      <w:rPr>
        <w:rFonts w:hint="default" w:ascii="Symbol" w:hAnsi="Symbol"/>
      </w:rPr>
    </w:lvl>
  </w:abstractNum>
  <w:abstractNum w:abstractNumId="15">
    <w:nsid w:val="68EF7351"/>
    <w:multiLevelType w:val="multilevel"/>
    <w:tmpl w:val="68EF7351"/>
    <w:lvl w:ilvl="0" w:tentative="0">
      <w:start w:val="1"/>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0146DC0"/>
    <w:multiLevelType w:val="multilevel"/>
    <w:tmpl w:val="70146DC0"/>
    <w:lvl w:ilvl="0" w:tentative="0">
      <w:start w:val="1"/>
      <w:numFmt w:val="bullet"/>
      <w:pStyle w:val="164"/>
      <w:lvlText w:val=""/>
      <w:lvlJc w:val="left"/>
      <w:pPr>
        <w:tabs>
          <w:tab w:val="left" w:pos="1440"/>
        </w:tabs>
        <w:ind w:left="144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BC330F5"/>
    <w:multiLevelType w:val="multilevel"/>
    <w:tmpl w:val="7BC330F5"/>
    <w:lvl w:ilvl="0" w:tentative="0">
      <w:start w:val="1"/>
      <w:numFmt w:val="bullet"/>
      <w:pStyle w:val="116"/>
      <w:lvlText w:val=""/>
      <w:lvlJc w:val="left"/>
      <w:pPr>
        <w:tabs>
          <w:tab w:val="left" w:pos="851"/>
        </w:tabs>
        <w:ind w:left="851" w:hanging="851"/>
      </w:pPr>
      <w:rPr>
        <w:rFonts w:hint="default" w:ascii="Cambria Math" w:hAnsi="Cambria Math"/>
        <w:b/>
        <w:i w:val="0"/>
        <w:color w:val="70CEF5"/>
        <w:sz w:val="20"/>
        <w:szCs w:val="20"/>
      </w:rPr>
    </w:lvl>
    <w:lvl w:ilvl="1" w:tentative="0">
      <w:start w:val="1"/>
      <w:numFmt w:val="bullet"/>
      <w:lvlText w:val="o"/>
      <w:lvlJc w:val="left"/>
      <w:pPr>
        <w:tabs>
          <w:tab w:val="left" w:pos="1440"/>
        </w:tabs>
        <w:ind w:left="1440" w:hanging="360"/>
      </w:pPr>
      <w:rPr>
        <w:rFonts w:hint="default" w:ascii="Tahoma" w:hAnsi="Tahoma" w:cs="Tahoma"/>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Ericsson Capital TT" w:hAnsi="Ericsson Capital TT"/>
      </w:rPr>
    </w:lvl>
    <w:lvl w:ilvl="4" w:tentative="0">
      <w:start w:val="1"/>
      <w:numFmt w:val="bullet"/>
      <w:lvlText w:val="o"/>
      <w:lvlJc w:val="left"/>
      <w:pPr>
        <w:tabs>
          <w:tab w:val="left" w:pos="3600"/>
        </w:tabs>
        <w:ind w:left="3600" w:hanging="360"/>
      </w:pPr>
      <w:rPr>
        <w:rFonts w:hint="default" w:ascii="Tahoma" w:hAnsi="Tahoma" w:cs="Tahoma"/>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Ericsson Capital TT" w:hAnsi="Ericsson Capital TT"/>
      </w:rPr>
    </w:lvl>
    <w:lvl w:ilvl="7" w:tentative="0">
      <w:start w:val="1"/>
      <w:numFmt w:val="bullet"/>
      <w:lvlText w:val="o"/>
      <w:lvlJc w:val="left"/>
      <w:pPr>
        <w:tabs>
          <w:tab w:val="left" w:pos="5760"/>
        </w:tabs>
        <w:ind w:left="5760" w:hanging="360"/>
      </w:pPr>
      <w:rPr>
        <w:rFonts w:hint="default" w:ascii="Tahoma" w:hAnsi="Tahoma" w:cs="Tahoma"/>
      </w:rPr>
    </w:lvl>
    <w:lvl w:ilvl="8" w:tentative="0">
      <w:start w:val="1"/>
      <w:numFmt w:val="bullet"/>
      <w:lvlText w:val=""/>
      <w:lvlJc w:val="left"/>
      <w:pPr>
        <w:tabs>
          <w:tab w:val="left" w:pos="6480"/>
        </w:tabs>
        <w:ind w:left="6480" w:hanging="360"/>
      </w:pPr>
      <w:rPr>
        <w:rFonts w:hint="default" w:ascii="Symbol" w:hAnsi="Symbol"/>
      </w:rPr>
    </w:lvl>
  </w:abstractNum>
  <w:num w:numId="1">
    <w:abstractNumId w:val="3"/>
  </w:num>
  <w:num w:numId="2">
    <w:abstractNumId w:val="14"/>
  </w:num>
  <w:num w:numId="3">
    <w:abstractNumId w:val="9"/>
  </w:num>
  <w:num w:numId="4">
    <w:abstractNumId w:val="10"/>
  </w:num>
  <w:num w:numId="5">
    <w:abstractNumId w:val="2"/>
  </w:num>
  <w:num w:numId="6">
    <w:abstractNumId w:val="17"/>
  </w:num>
  <w:num w:numId="7">
    <w:abstractNumId w:val="7"/>
  </w:num>
  <w:num w:numId="8">
    <w:abstractNumId w:val="12"/>
  </w:num>
  <w:num w:numId="9">
    <w:abstractNumId w:val="6"/>
  </w:num>
  <w:num w:numId="10">
    <w:abstractNumId w:val="4"/>
  </w:num>
  <w:num w:numId="11">
    <w:abstractNumId w:val="16"/>
  </w:num>
  <w:num w:numId="12">
    <w:abstractNumId w:val="13"/>
  </w:num>
  <w:num w:numId="13">
    <w:abstractNumId w:val="1"/>
  </w:num>
  <w:num w:numId="14">
    <w:abstractNumId w:val="15"/>
  </w:num>
  <w:num w:numId="15">
    <w:abstractNumId w:val="8"/>
  </w:num>
  <w:num w:numId="16">
    <w:abstractNumId w:val="5"/>
  </w:num>
  <w:num w:numId="17">
    <w:abstractNumId w:val="11"/>
  </w:num>
  <w:num w:numId="18">
    <w:abstractNumId w:val="0"/>
  </w:num>
  <w:num w:numId="1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t7QwsTAxMjU2N7VQ0lEKTi0uzszPAykwrAUAGDG9QiwAAAA="/>
    <w:docVar w:name="commondata" w:val="eyJoZGlkIjoiYzA2OTA3ODI2ZTZhNjY1YzVjYzhkNTg0MDk5NGZlMGMifQ=="/>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F8"/>
    <w:rsid w:val="00006AA0"/>
    <w:rsid w:val="00007084"/>
    <w:rsid w:val="00007216"/>
    <w:rsid w:val="00007555"/>
    <w:rsid w:val="000077BF"/>
    <w:rsid w:val="00007CDD"/>
    <w:rsid w:val="000105E8"/>
    <w:rsid w:val="000110CA"/>
    <w:rsid w:val="00011519"/>
    <w:rsid w:val="000115BB"/>
    <w:rsid w:val="000118F6"/>
    <w:rsid w:val="00011D5A"/>
    <w:rsid w:val="00011E9A"/>
    <w:rsid w:val="00012761"/>
    <w:rsid w:val="0001277E"/>
    <w:rsid w:val="00012A8D"/>
    <w:rsid w:val="00012BF7"/>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AC6"/>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A8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5AA"/>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062"/>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6C0"/>
    <w:rsid w:val="00042A26"/>
    <w:rsid w:val="00043B7F"/>
    <w:rsid w:val="00043BC5"/>
    <w:rsid w:val="00043EBF"/>
    <w:rsid w:val="00043FD3"/>
    <w:rsid w:val="000440C2"/>
    <w:rsid w:val="000442D9"/>
    <w:rsid w:val="00044562"/>
    <w:rsid w:val="00044FB0"/>
    <w:rsid w:val="0004521C"/>
    <w:rsid w:val="0004535D"/>
    <w:rsid w:val="00045EC1"/>
    <w:rsid w:val="000460B7"/>
    <w:rsid w:val="0004620A"/>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1B4C"/>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6D"/>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E3B"/>
    <w:rsid w:val="000871E3"/>
    <w:rsid w:val="00087CCF"/>
    <w:rsid w:val="00087D27"/>
    <w:rsid w:val="000905CB"/>
    <w:rsid w:val="00090816"/>
    <w:rsid w:val="00090AAC"/>
    <w:rsid w:val="00090F02"/>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638"/>
    <w:rsid w:val="000B5774"/>
    <w:rsid w:val="000B57A4"/>
    <w:rsid w:val="000B584F"/>
    <w:rsid w:val="000B58E4"/>
    <w:rsid w:val="000B5A2D"/>
    <w:rsid w:val="000B5C44"/>
    <w:rsid w:val="000B5CAA"/>
    <w:rsid w:val="000B5F7E"/>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4F"/>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202"/>
    <w:rsid w:val="000D227D"/>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56D"/>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7BE"/>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775"/>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1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2AB"/>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B5E"/>
    <w:rsid w:val="00173E0A"/>
    <w:rsid w:val="00173F97"/>
    <w:rsid w:val="00174067"/>
    <w:rsid w:val="0017410F"/>
    <w:rsid w:val="001743CE"/>
    <w:rsid w:val="00174B57"/>
    <w:rsid w:val="0017505D"/>
    <w:rsid w:val="0017566D"/>
    <w:rsid w:val="00175A87"/>
    <w:rsid w:val="00175D06"/>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530"/>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13F"/>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AE"/>
    <w:rsid w:val="001C61F7"/>
    <w:rsid w:val="001C6216"/>
    <w:rsid w:val="001C6466"/>
    <w:rsid w:val="001C6FB6"/>
    <w:rsid w:val="001C709C"/>
    <w:rsid w:val="001C753A"/>
    <w:rsid w:val="001C7603"/>
    <w:rsid w:val="001C7775"/>
    <w:rsid w:val="001C799D"/>
    <w:rsid w:val="001C7CBF"/>
    <w:rsid w:val="001C7CCD"/>
    <w:rsid w:val="001D0B1A"/>
    <w:rsid w:val="001D0BE1"/>
    <w:rsid w:val="001D0DB1"/>
    <w:rsid w:val="001D0DC6"/>
    <w:rsid w:val="001D0F58"/>
    <w:rsid w:val="001D12BF"/>
    <w:rsid w:val="001D1842"/>
    <w:rsid w:val="001D1EAA"/>
    <w:rsid w:val="001D20DC"/>
    <w:rsid w:val="001D2545"/>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2F9A"/>
    <w:rsid w:val="002231BE"/>
    <w:rsid w:val="00223971"/>
    <w:rsid w:val="00223B76"/>
    <w:rsid w:val="0022418F"/>
    <w:rsid w:val="00224841"/>
    <w:rsid w:val="002248F6"/>
    <w:rsid w:val="0022499C"/>
    <w:rsid w:val="00224B1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11D"/>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635"/>
    <w:rsid w:val="002418C8"/>
    <w:rsid w:val="002419AC"/>
    <w:rsid w:val="00241AD4"/>
    <w:rsid w:val="00241CDF"/>
    <w:rsid w:val="0024209F"/>
    <w:rsid w:val="002422D4"/>
    <w:rsid w:val="00242D0A"/>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47A6A"/>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737"/>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DBB"/>
    <w:rsid w:val="00273FC1"/>
    <w:rsid w:val="00274C3D"/>
    <w:rsid w:val="00274E67"/>
    <w:rsid w:val="00274F68"/>
    <w:rsid w:val="002752EB"/>
    <w:rsid w:val="0027552A"/>
    <w:rsid w:val="00275B42"/>
    <w:rsid w:val="00275D12"/>
    <w:rsid w:val="00275E12"/>
    <w:rsid w:val="00275F19"/>
    <w:rsid w:val="002764A3"/>
    <w:rsid w:val="0027655D"/>
    <w:rsid w:val="002767DA"/>
    <w:rsid w:val="002767E6"/>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398"/>
    <w:rsid w:val="00283600"/>
    <w:rsid w:val="0028398D"/>
    <w:rsid w:val="00283BDB"/>
    <w:rsid w:val="00283E4F"/>
    <w:rsid w:val="002841B1"/>
    <w:rsid w:val="002842BA"/>
    <w:rsid w:val="002843C0"/>
    <w:rsid w:val="0028456D"/>
    <w:rsid w:val="00285456"/>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69"/>
    <w:rsid w:val="002912D8"/>
    <w:rsid w:val="0029143E"/>
    <w:rsid w:val="00291823"/>
    <w:rsid w:val="00291A27"/>
    <w:rsid w:val="00291AA8"/>
    <w:rsid w:val="00292442"/>
    <w:rsid w:val="002924DD"/>
    <w:rsid w:val="002927BC"/>
    <w:rsid w:val="002928C7"/>
    <w:rsid w:val="00292D6B"/>
    <w:rsid w:val="00292DD4"/>
    <w:rsid w:val="00292EAA"/>
    <w:rsid w:val="00292F79"/>
    <w:rsid w:val="00293436"/>
    <w:rsid w:val="002934AE"/>
    <w:rsid w:val="00293D64"/>
    <w:rsid w:val="00293D85"/>
    <w:rsid w:val="002942FD"/>
    <w:rsid w:val="00294D87"/>
    <w:rsid w:val="00294EF1"/>
    <w:rsid w:val="0029503C"/>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01E"/>
    <w:rsid w:val="002D21BB"/>
    <w:rsid w:val="002D2335"/>
    <w:rsid w:val="002D2931"/>
    <w:rsid w:val="002D32AD"/>
    <w:rsid w:val="002D3338"/>
    <w:rsid w:val="002D3393"/>
    <w:rsid w:val="002D3445"/>
    <w:rsid w:val="002D3537"/>
    <w:rsid w:val="002D365A"/>
    <w:rsid w:val="002D399E"/>
    <w:rsid w:val="002D3F6E"/>
    <w:rsid w:val="002D4229"/>
    <w:rsid w:val="002D42B8"/>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6C3"/>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3A5"/>
    <w:rsid w:val="002F1520"/>
    <w:rsid w:val="002F180F"/>
    <w:rsid w:val="002F1E63"/>
    <w:rsid w:val="002F2216"/>
    <w:rsid w:val="002F24D2"/>
    <w:rsid w:val="002F2D94"/>
    <w:rsid w:val="002F2EEF"/>
    <w:rsid w:val="002F2EF5"/>
    <w:rsid w:val="002F356A"/>
    <w:rsid w:val="002F35D9"/>
    <w:rsid w:val="002F4153"/>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175"/>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CA6"/>
    <w:rsid w:val="0033143D"/>
    <w:rsid w:val="003314EC"/>
    <w:rsid w:val="0033179C"/>
    <w:rsid w:val="00331D74"/>
    <w:rsid w:val="00332476"/>
    <w:rsid w:val="0033249A"/>
    <w:rsid w:val="00332816"/>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0CC"/>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A9E"/>
    <w:rsid w:val="00351B7B"/>
    <w:rsid w:val="00351BCD"/>
    <w:rsid w:val="00352412"/>
    <w:rsid w:val="00352532"/>
    <w:rsid w:val="00352542"/>
    <w:rsid w:val="00352564"/>
    <w:rsid w:val="00352A6B"/>
    <w:rsid w:val="00352F61"/>
    <w:rsid w:val="0035303C"/>
    <w:rsid w:val="00353348"/>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67EE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4EDD"/>
    <w:rsid w:val="00375284"/>
    <w:rsid w:val="00375AED"/>
    <w:rsid w:val="00375DD9"/>
    <w:rsid w:val="00376BBF"/>
    <w:rsid w:val="00376D9C"/>
    <w:rsid w:val="0037726A"/>
    <w:rsid w:val="0037751E"/>
    <w:rsid w:val="00377591"/>
    <w:rsid w:val="003779B4"/>
    <w:rsid w:val="00377B44"/>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6964"/>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201"/>
    <w:rsid w:val="003A240C"/>
    <w:rsid w:val="003A2B98"/>
    <w:rsid w:val="003A2E9C"/>
    <w:rsid w:val="003A3545"/>
    <w:rsid w:val="003A38B6"/>
    <w:rsid w:val="003A3DC6"/>
    <w:rsid w:val="003A3F8A"/>
    <w:rsid w:val="003A404F"/>
    <w:rsid w:val="003A4111"/>
    <w:rsid w:val="003A41E4"/>
    <w:rsid w:val="003A4248"/>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ABF"/>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6EA"/>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36E"/>
    <w:rsid w:val="003D7441"/>
    <w:rsid w:val="003D7650"/>
    <w:rsid w:val="003D7B9B"/>
    <w:rsid w:val="003D7E44"/>
    <w:rsid w:val="003E09E3"/>
    <w:rsid w:val="003E0D2B"/>
    <w:rsid w:val="003E0DF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185"/>
    <w:rsid w:val="003E31AC"/>
    <w:rsid w:val="003E354C"/>
    <w:rsid w:val="003E3706"/>
    <w:rsid w:val="003E3929"/>
    <w:rsid w:val="003E3ABC"/>
    <w:rsid w:val="003E424D"/>
    <w:rsid w:val="003E4324"/>
    <w:rsid w:val="003E437A"/>
    <w:rsid w:val="003E43AD"/>
    <w:rsid w:val="003E47BE"/>
    <w:rsid w:val="003E4936"/>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3B"/>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7191"/>
    <w:rsid w:val="003F7328"/>
    <w:rsid w:val="003F7406"/>
    <w:rsid w:val="003F751C"/>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B27"/>
    <w:rsid w:val="00417E38"/>
    <w:rsid w:val="00420070"/>
    <w:rsid w:val="004201F7"/>
    <w:rsid w:val="00420365"/>
    <w:rsid w:val="00420543"/>
    <w:rsid w:val="00421511"/>
    <w:rsid w:val="0042151F"/>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11B"/>
    <w:rsid w:val="00430A8D"/>
    <w:rsid w:val="004314CD"/>
    <w:rsid w:val="0043196F"/>
    <w:rsid w:val="00432332"/>
    <w:rsid w:val="00432413"/>
    <w:rsid w:val="004326EC"/>
    <w:rsid w:val="00432D9E"/>
    <w:rsid w:val="00433042"/>
    <w:rsid w:val="00433AD5"/>
    <w:rsid w:val="00433E63"/>
    <w:rsid w:val="004340FE"/>
    <w:rsid w:val="004341A8"/>
    <w:rsid w:val="004343A0"/>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3D4"/>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91A"/>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A63"/>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39B2"/>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7E4"/>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079F"/>
    <w:rsid w:val="00491249"/>
    <w:rsid w:val="00491442"/>
    <w:rsid w:val="0049166A"/>
    <w:rsid w:val="00491C2A"/>
    <w:rsid w:val="00491EC8"/>
    <w:rsid w:val="00491F37"/>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5D90"/>
    <w:rsid w:val="00496163"/>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0F4"/>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98C"/>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0E"/>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35"/>
    <w:rsid w:val="004E2854"/>
    <w:rsid w:val="004E2E15"/>
    <w:rsid w:val="004E2F29"/>
    <w:rsid w:val="004E3607"/>
    <w:rsid w:val="004E360D"/>
    <w:rsid w:val="004E38E9"/>
    <w:rsid w:val="004E3D20"/>
    <w:rsid w:val="004E4303"/>
    <w:rsid w:val="004E4715"/>
    <w:rsid w:val="004E489B"/>
    <w:rsid w:val="004E48CC"/>
    <w:rsid w:val="004E48EC"/>
    <w:rsid w:val="004E4E5F"/>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D89"/>
    <w:rsid w:val="004F0E2A"/>
    <w:rsid w:val="004F0F8E"/>
    <w:rsid w:val="004F10C0"/>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333"/>
    <w:rsid w:val="005056C9"/>
    <w:rsid w:val="005058E9"/>
    <w:rsid w:val="00505F57"/>
    <w:rsid w:val="00506098"/>
    <w:rsid w:val="00506383"/>
    <w:rsid w:val="00506CEC"/>
    <w:rsid w:val="005076A9"/>
    <w:rsid w:val="005101CF"/>
    <w:rsid w:val="00510391"/>
    <w:rsid w:val="00510B81"/>
    <w:rsid w:val="00510CA9"/>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21C"/>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2ACA"/>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51"/>
    <w:rsid w:val="005333A2"/>
    <w:rsid w:val="00533898"/>
    <w:rsid w:val="00533E8E"/>
    <w:rsid w:val="00534082"/>
    <w:rsid w:val="00534B6E"/>
    <w:rsid w:val="00534CF5"/>
    <w:rsid w:val="0053514F"/>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523"/>
    <w:rsid w:val="005578AE"/>
    <w:rsid w:val="00557ABF"/>
    <w:rsid w:val="00557C6C"/>
    <w:rsid w:val="00557E5F"/>
    <w:rsid w:val="00557F01"/>
    <w:rsid w:val="00560107"/>
    <w:rsid w:val="0056011E"/>
    <w:rsid w:val="005602B5"/>
    <w:rsid w:val="0056097F"/>
    <w:rsid w:val="005609CE"/>
    <w:rsid w:val="00560C31"/>
    <w:rsid w:val="00560E5E"/>
    <w:rsid w:val="00561852"/>
    <w:rsid w:val="00561860"/>
    <w:rsid w:val="005619CD"/>
    <w:rsid w:val="00561AC9"/>
    <w:rsid w:val="00561B01"/>
    <w:rsid w:val="00561D27"/>
    <w:rsid w:val="00561DB3"/>
    <w:rsid w:val="00562349"/>
    <w:rsid w:val="00562592"/>
    <w:rsid w:val="005627D2"/>
    <w:rsid w:val="00562E61"/>
    <w:rsid w:val="00562F6E"/>
    <w:rsid w:val="0056304B"/>
    <w:rsid w:val="0056314F"/>
    <w:rsid w:val="005633D2"/>
    <w:rsid w:val="005634D7"/>
    <w:rsid w:val="00563B87"/>
    <w:rsid w:val="00563C80"/>
    <w:rsid w:val="005646BF"/>
    <w:rsid w:val="005649D0"/>
    <w:rsid w:val="005650FA"/>
    <w:rsid w:val="0056543F"/>
    <w:rsid w:val="00565A84"/>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DD0"/>
    <w:rsid w:val="00573E45"/>
    <w:rsid w:val="00573F8E"/>
    <w:rsid w:val="0057426E"/>
    <w:rsid w:val="00574518"/>
    <w:rsid w:val="00574976"/>
    <w:rsid w:val="005751A7"/>
    <w:rsid w:val="0057524A"/>
    <w:rsid w:val="0057590F"/>
    <w:rsid w:val="00575936"/>
    <w:rsid w:val="00575C14"/>
    <w:rsid w:val="00575DAF"/>
    <w:rsid w:val="00576245"/>
    <w:rsid w:val="0057660E"/>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3FE"/>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915"/>
    <w:rsid w:val="00586BED"/>
    <w:rsid w:val="00586D34"/>
    <w:rsid w:val="00586DD7"/>
    <w:rsid w:val="00586F21"/>
    <w:rsid w:val="00587110"/>
    <w:rsid w:val="00587240"/>
    <w:rsid w:val="00587310"/>
    <w:rsid w:val="0058787E"/>
    <w:rsid w:val="00587923"/>
    <w:rsid w:val="00587AEF"/>
    <w:rsid w:val="00587F43"/>
    <w:rsid w:val="0059042B"/>
    <w:rsid w:val="005908D5"/>
    <w:rsid w:val="00590D67"/>
    <w:rsid w:val="00590E8D"/>
    <w:rsid w:val="0059124B"/>
    <w:rsid w:val="005912AA"/>
    <w:rsid w:val="00591480"/>
    <w:rsid w:val="005915B0"/>
    <w:rsid w:val="00592458"/>
    <w:rsid w:val="005927E5"/>
    <w:rsid w:val="00592E35"/>
    <w:rsid w:val="005930C9"/>
    <w:rsid w:val="00593317"/>
    <w:rsid w:val="005936AE"/>
    <w:rsid w:val="005936AF"/>
    <w:rsid w:val="005936B2"/>
    <w:rsid w:val="005944CC"/>
    <w:rsid w:val="005944E5"/>
    <w:rsid w:val="00594584"/>
    <w:rsid w:val="0059486A"/>
    <w:rsid w:val="00594919"/>
    <w:rsid w:val="005949AB"/>
    <w:rsid w:val="00594A51"/>
    <w:rsid w:val="00594C57"/>
    <w:rsid w:val="005952BD"/>
    <w:rsid w:val="0059559E"/>
    <w:rsid w:val="00595903"/>
    <w:rsid w:val="00595B0A"/>
    <w:rsid w:val="00595C03"/>
    <w:rsid w:val="00595E67"/>
    <w:rsid w:val="0059611C"/>
    <w:rsid w:val="005963F7"/>
    <w:rsid w:val="00596888"/>
    <w:rsid w:val="0059709E"/>
    <w:rsid w:val="005972A0"/>
    <w:rsid w:val="005973BE"/>
    <w:rsid w:val="005974AF"/>
    <w:rsid w:val="00597A66"/>
    <w:rsid w:val="00597B84"/>
    <w:rsid w:val="00597BED"/>
    <w:rsid w:val="00597C17"/>
    <w:rsid w:val="00597DA1"/>
    <w:rsid w:val="00597F12"/>
    <w:rsid w:val="005A0524"/>
    <w:rsid w:val="005A0A72"/>
    <w:rsid w:val="005A0B82"/>
    <w:rsid w:val="005A0F9B"/>
    <w:rsid w:val="005A1208"/>
    <w:rsid w:val="005A124F"/>
    <w:rsid w:val="005A175E"/>
    <w:rsid w:val="005A191D"/>
    <w:rsid w:val="005A1CA5"/>
    <w:rsid w:val="005A22EF"/>
    <w:rsid w:val="005A26B9"/>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E91"/>
    <w:rsid w:val="005D2F30"/>
    <w:rsid w:val="005D3078"/>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531"/>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8F3"/>
    <w:rsid w:val="00604BCD"/>
    <w:rsid w:val="00605042"/>
    <w:rsid w:val="006050F1"/>
    <w:rsid w:val="00605B6B"/>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AF5"/>
    <w:rsid w:val="00617C61"/>
    <w:rsid w:val="006204D3"/>
    <w:rsid w:val="00620538"/>
    <w:rsid w:val="00620B0F"/>
    <w:rsid w:val="00620D08"/>
    <w:rsid w:val="00621D26"/>
    <w:rsid w:val="00622293"/>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715"/>
    <w:rsid w:val="006328C1"/>
    <w:rsid w:val="00632916"/>
    <w:rsid w:val="006329F7"/>
    <w:rsid w:val="00632C88"/>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43F"/>
    <w:rsid w:val="006405B4"/>
    <w:rsid w:val="0064077B"/>
    <w:rsid w:val="006407A8"/>
    <w:rsid w:val="00640A3A"/>
    <w:rsid w:val="00640B80"/>
    <w:rsid w:val="00640C0E"/>
    <w:rsid w:val="00641134"/>
    <w:rsid w:val="0064130C"/>
    <w:rsid w:val="006413DA"/>
    <w:rsid w:val="006418C7"/>
    <w:rsid w:val="00641A3D"/>
    <w:rsid w:val="00642027"/>
    <w:rsid w:val="006422EE"/>
    <w:rsid w:val="006429F8"/>
    <w:rsid w:val="00642C3A"/>
    <w:rsid w:val="006430FF"/>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8DB"/>
    <w:rsid w:val="00647BDB"/>
    <w:rsid w:val="00647E16"/>
    <w:rsid w:val="00647E1E"/>
    <w:rsid w:val="00650152"/>
    <w:rsid w:val="00650DAF"/>
    <w:rsid w:val="00651540"/>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B58"/>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C5"/>
    <w:rsid w:val="006621DD"/>
    <w:rsid w:val="006623FF"/>
    <w:rsid w:val="00662B16"/>
    <w:rsid w:val="00662EB5"/>
    <w:rsid w:val="006631BE"/>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52B"/>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7D9"/>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4D71"/>
    <w:rsid w:val="0068508B"/>
    <w:rsid w:val="00685354"/>
    <w:rsid w:val="006853A9"/>
    <w:rsid w:val="00685676"/>
    <w:rsid w:val="00685AFD"/>
    <w:rsid w:val="00685C4B"/>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3BA"/>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6A7"/>
    <w:rsid w:val="006C29CE"/>
    <w:rsid w:val="006C2D14"/>
    <w:rsid w:val="006C2F82"/>
    <w:rsid w:val="006C3197"/>
    <w:rsid w:val="006C33EE"/>
    <w:rsid w:val="006C34AC"/>
    <w:rsid w:val="006C34BA"/>
    <w:rsid w:val="006C366D"/>
    <w:rsid w:val="006C3A5C"/>
    <w:rsid w:val="006C3E60"/>
    <w:rsid w:val="006C418E"/>
    <w:rsid w:val="006C48A6"/>
    <w:rsid w:val="006C4A35"/>
    <w:rsid w:val="006C511D"/>
    <w:rsid w:val="006C53D0"/>
    <w:rsid w:val="006C5DBD"/>
    <w:rsid w:val="006C5E4D"/>
    <w:rsid w:val="006C5E62"/>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5D6E"/>
    <w:rsid w:val="006E643B"/>
    <w:rsid w:val="006E6467"/>
    <w:rsid w:val="006E6673"/>
    <w:rsid w:val="006E794A"/>
    <w:rsid w:val="006F0159"/>
    <w:rsid w:val="006F01C4"/>
    <w:rsid w:val="006F0581"/>
    <w:rsid w:val="006F0B22"/>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E95"/>
    <w:rsid w:val="00712F5A"/>
    <w:rsid w:val="007132D7"/>
    <w:rsid w:val="007136B9"/>
    <w:rsid w:val="007136BA"/>
    <w:rsid w:val="00713D5A"/>
    <w:rsid w:val="00713FF0"/>
    <w:rsid w:val="00714178"/>
    <w:rsid w:val="00715345"/>
    <w:rsid w:val="007156C4"/>
    <w:rsid w:val="00715DB1"/>
    <w:rsid w:val="00715E9C"/>
    <w:rsid w:val="00716055"/>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13B"/>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211"/>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A42"/>
    <w:rsid w:val="00751FD1"/>
    <w:rsid w:val="0075286F"/>
    <w:rsid w:val="00752BF8"/>
    <w:rsid w:val="00752E5F"/>
    <w:rsid w:val="00753053"/>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17B"/>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B91"/>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C724D"/>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FCE"/>
    <w:rsid w:val="007D636E"/>
    <w:rsid w:val="007D66DA"/>
    <w:rsid w:val="007D6BB2"/>
    <w:rsid w:val="007D6F6A"/>
    <w:rsid w:val="007D7072"/>
    <w:rsid w:val="007D7E49"/>
    <w:rsid w:val="007E011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428"/>
    <w:rsid w:val="007F1803"/>
    <w:rsid w:val="007F1826"/>
    <w:rsid w:val="007F1938"/>
    <w:rsid w:val="007F1AD2"/>
    <w:rsid w:val="007F1B12"/>
    <w:rsid w:val="007F1B40"/>
    <w:rsid w:val="007F1DD6"/>
    <w:rsid w:val="007F2186"/>
    <w:rsid w:val="007F255B"/>
    <w:rsid w:val="007F2759"/>
    <w:rsid w:val="007F2D5F"/>
    <w:rsid w:val="007F2DD1"/>
    <w:rsid w:val="007F2E6D"/>
    <w:rsid w:val="007F3AA0"/>
    <w:rsid w:val="007F3BAC"/>
    <w:rsid w:val="007F3CE5"/>
    <w:rsid w:val="007F43A4"/>
    <w:rsid w:val="007F4741"/>
    <w:rsid w:val="007F4E74"/>
    <w:rsid w:val="007F4F86"/>
    <w:rsid w:val="007F5238"/>
    <w:rsid w:val="007F5543"/>
    <w:rsid w:val="007F600E"/>
    <w:rsid w:val="007F668F"/>
    <w:rsid w:val="007F6725"/>
    <w:rsid w:val="007F6787"/>
    <w:rsid w:val="007F684C"/>
    <w:rsid w:val="007F6CA5"/>
    <w:rsid w:val="007F6FFC"/>
    <w:rsid w:val="007F71C5"/>
    <w:rsid w:val="007F73A3"/>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1F5"/>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C9"/>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0BCD"/>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52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15D6"/>
    <w:rsid w:val="00861AED"/>
    <w:rsid w:val="00861F92"/>
    <w:rsid w:val="0086298F"/>
    <w:rsid w:val="00862A9F"/>
    <w:rsid w:val="00862D9C"/>
    <w:rsid w:val="0086308C"/>
    <w:rsid w:val="00863878"/>
    <w:rsid w:val="00863C3D"/>
    <w:rsid w:val="00864F63"/>
    <w:rsid w:val="00865246"/>
    <w:rsid w:val="008654C1"/>
    <w:rsid w:val="008659F1"/>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94F"/>
    <w:rsid w:val="00892AB5"/>
    <w:rsid w:val="00892B9E"/>
    <w:rsid w:val="008931B6"/>
    <w:rsid w:val="00893365"/>
    <w:rsid w:val="008933DD"/>
    <w:rsid w:val="008935C4"/>
    <w:rsid w:val="00893993"/>
    <w:rsid w:val="00893CA2"/>
    <w:rsid w:val="00893D0C"/>
    <w:rsid w:val="008946B7"/>
    <w:rsid w:val="00894763"/>
    <w:rsid w:val="00894991"/>
    <w:rsid w:val="008949DD"/>
    <w:rsid w:val="00894A67"/>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09D1"/>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C"/>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0D1E"/>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0E"/>
    <w:rsid w:val="008F3493"/>
    <w:rsid w:val="008F355F"/>
    <w:rsid w:val="008F38ED"/>
    <w:rsid w:val="008F3C0D"/>
    <w:rsid w:val="008F4441"/>
    <w:rsid w:val="008F4669"/>
    <w:rsid w:val="008F4B43"/>
    <w:rsid w:val="008F4CAF"/>
    <w:rsid w:val="008F519F"/>
    <w:rsid w:val="008F5211"/>
    <w:rsid w:val="008F56BF"/>
    <w:rsid w:val="008F5B85"/>
    <w:rsid w:val="008F5DD3"/>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4C2F"/>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AC6"/>
    <w:rsid w:val="00920DBB"/>
    <w:rsid w:val="0092140B"/>
    <w:rsid w:val="009214AF"/>
    <w:rsid w:val="009216DD"/>
    <w:rsid w:val="00921D91"/>
    <w:rsid w:val="00921DBD"/>
    <w:rsid w:val="00921E6C"/>
    <w:rsid w:val="0092210E"/>
    <w:rsid w:val="009222D0"/>
    <w:rsid w:val="00922B6A"/>
    <w:rsid w:val="00922C75"/>
    <w:rsid w:val="00922D7C"/>
    <w:rsid w:val="00922E84"/>
    <w:rsid w:val="00922FC1"/>
    <w:rsid w:val="009239BB"/>
    <w:rsid w:val="00923A95"/>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388"/>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04"/>
    <w:rsid w:val="00943AAA"/>
    <w:rsid w:val="00943BE4"/>
    <w:rsid w:val="00943CC7"/>
    <w:rsid w:val="009442C8"/>
    <w:rsid w:val="0094458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2A"/>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0"/>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94D"/>
    <w:rsid w:val="00960CB6"/>
    <w:rsid w:val="0096101D"/>
    <w:rsid w:val="00961067"/>
    <w:rsid w:val="0096129E"/>
    <w:rsid w:val="009612A1"/>
    <w:rsid w:val="00961455"/>
    <w:rsid w:val="009615F7"/>
    <w:rsid w:val="0096166D"/>
    <w:rsid w:val="0096186B"/>
    <w:rsid w:val="00961B7F"/>
    <w:rsid w:val="009626F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B5"/>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1E1E"/>
    <w:rsid w:val="0099267A"/>
    <w:rsid w:val="00992D23"/>
    <w:rsid w:val="00992F7D"/>
    <w:rsid w:val="009930E6"/>
    <w:rsid w:val="0099339D"/>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29B"/>
    <w:rsid w:val="009B431A"/>
    <w:rsid w:val="009B46E7"/>
    <w:rsid w:val="009B5128"/>
    <w:rsid w:val="009B53BC"/>
    <w:rsid w:val="009B5EDB"/>
    <w:rsid w:val="009B6FA1"/>
    <w:rsid w:val="009B724A"/>
    <w:rsid w:val="009B787D"/>
    <w:rsid w:val="009C0D24"/>
    <w:rsid w:val="009C0FC5"/>
    <w:rsid w:val="009C1220"/>
    <w:rsid w:val="009C14BE"/>
    <w:rsid w:val="009C1946"/>
    <w:rsid w:val="009C1CF5"/>
    <w:rsid w:val="009C1D87"/>
    <w:rsid w:val="009C2240"/>
    <w:rsid w:val="009C2248"/>
    <w:rsid w:val="009C2E12"/>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9C1"/>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0E16"/>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2EF"/>
    <w:rsid w:val="009E5AD4"/>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8AB"/>
    <w:rsid w:val="009F6986"/>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83F"/>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0A7"/>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5D5E"/>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4F8"/>
    <w:rsid w:val="00A3561A"/>
    <w:rsid w:val="00A35916"/>
    <w:rsid w:val="00A35A26"/>
    <w:rsid w:val="00A36038"/>
    <w:rsid w:val="00A362BD"/>
    <w:rsid w:val="00A3643D"/>
    <w:rsid w:val="00A36462"/>
    <w:rsid w:val="00A36EF0"/>
    <w:rsid w:val="00A376FA"/>
    <w:rsid w:val="00A37D6B"/>
    <w:rsid w:val="00A402CF"/>
    <w:rsid w:val="00A40357"/>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966"/>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589"/>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892"/>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78D"/>
    <w:rsid w:val="00A60A74"/>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37B"/>
    <w:rsid w:val="00A7049C"/>
    <w:rsid w:val="00A7060B"/>
    <w:rsid w:val="00A70C4C"/>
    <w:rsid w:val="00A70F9B"/>
    <w:rsid w:val="00A7103B"/>
    <w:rsid w:val="00A7137E"/>
    <w:rsid w:val="00A713BF"/>
    <w:rsid w:val="00A71FE2"/>
    <w:rsid w:val="00A724D0"/>
    <w:rsid w:val="00A724DF"/>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1F0C"/>
    <w:rsid w:val="00A82029"/>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5C7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288"/>
    <w:rsid w:val="00AA1A82"/>
    <w:rsid w:val="00AA215C"/>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AD4"/>
    <w:rsid w:val="00AA7DFA"/>
    <w:rsid w:val="00AB057B"/>
    <w:rsid w:val="00AB062E"/>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5FF3"/>
    <w:rsid w:val="00AB6263"/>
    <w:rsid w:val="00AB6327"/>
    <w:rsid w:val="00AB6968"/>
    <w:rsid w:val="00AB6DEC"/>
    <w:rsid w:val="00AB70AE"/>
    <w:rsid w:val="00AC06CC"/>
    <w:rsid w:val="00AC0AA5"/>
    <w:rsid w:val="00AC0D19"/>
    <w:rsid w:val="00AC0DBE"/>
    <w:rsid w:val="00AC0EBB"/>
    <w:rsid w:val="00AC1022"/>
    <w:rsid w:val="00AC1B3C"/>
    <w:rsid w:val="00AC1F48"/>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459"/>
    <w:rsid w:val="00AE46A4"/>
    <w:rsid w:val="00AE49BF"/>
    <w:rsid w:val="00AE5034"/>
    <w:rsid w:val="00AE516B"/>
    <w:rsid w:val="00AE5327"/>
    <w:rsid w:val="00AE5600"/>
    <w:rsid w:val="00AE5736"/>
    <w:rsid w:val="00AE58F2"/>
    <w:rsid w:val="00AE5A95"/>
    <w:rsid w:val="00AE5C8D"/>
    <w:rsid w:val="00AE5E12"/>
    <w:rsid w:val="00AE5FD4"/>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19C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19"/>
    <w:rsid w:val="00B04338"/>
    <w:rsid w:val="00B044A7"/>
    <w:rsid w:val="00B0478A"/>
    <w:rsid w:val="00B048A3"/>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1FC6"/>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0D9"/>
    <w:rsid w:val="00B3427C"/>
    <w:rsid w:val="00B34393"/>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290"/>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93A"/>
    <w:rsid w:val="00B44ED1"/>
    <w:rsid w:val="00B454D6"/>
    <w:rsid w:val="00B457C0"/>
    <w:rsid w:val="00B45917"/>
    <w:rsid w:val="00B45A16"/>
    <w:rsid w:val="00B45E0E"/>
    <w:rsid w:val="00B4658D"/>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0DA"/>
    <w:rsid w:val="00B532CE"/>
    <w:rsid w:val="00B53403"/>
    <w:rsid w:val="00B5366C"/>
    <w:rsid w:val="00B536D4"/>
    <w:rsid w:val="00B53817"/>
    <w:rsid w:val="00B53942"/>
    <w:rsid w:val="00B540A2"/>
    <w:rsid w:val="00B540C1"/>
    <w:rsid w:val="00B541FD"/>
    <w:rsid w:val="00B5471D"/>
    <w:rsid w:val="00B54727"/>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791"/>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C0F"/>
    <w:rsid w:val="00B71F0A"/>
    <w:rsid w:val="00B7206F"/>
    <w:rsid w:val="00B7208E"/>
    <w:rsid w:val="00B7221F"/>
    <w:rsid w:val="00B7224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7A7"/>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5BB"/>
    <w:rsid w:val="00B93D8B"/>
    <w:rsid w:val="00B93F52"/>
    <w:rsid w:val="00B943FC"/>
    <w:rsid w:val="00B96010"/>
    <w:rsid w:val="00B960AF"/>
    <w:rsid w:val="00B968B0"/>
    <w:rsid w:val="00B969C9"/>
    <w:rsid w:val="00B96C2C"/>
    <w:rsid w:val="00B96F0C"/>
    <w:rsid w:val="00B9713E"/>
    <w:rsid w:val="00B9718C"/>
    <w:rsid w:val="00B9736A"/>
    <w:rsid w:val="00B97C5D"/>
    <w:rsid w:val="00B97F27"/>
    <w:rsid w:val="00B97FE8"/>
    <w:rsid w:val="00BA030D"/>
    <w:rsid w:val="00BA0426"/>
    <w:rsid w:val="00BA0434"/>
    <w:rsid w:val="00BA06E3"/>
    <w:rsid w:val="00BA09A8"/>
    <w:rsid w:val="00BA0C04"/>
    <w:rsid w:val="00BA0C29"/>
    <w:rsid w:val="00BA0C8C"/>
    <w:rsid w:val="00BA109A"/>
    <w:rsid w:val="00BA131F"/>
    <w:rsid w:val="00BA15E8"/>
    <w:rsid w:val="00BA1642"/>
    <w:rsid w:val="00BA1B7C"/>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813"/>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C026B"/>
    <w:rsid w:val="00BC0320"/>
    <w:rsid w:val="00BC0404"/>
    <w:rsid w:val="00BC041B"/>
    <w:rsid w:val="00BC0B57"/>
    <w:rsid w:val="00BC0D8E"/>
    <w:rsid w:val="00BC0ECF"/>
    <w:rsid w:val="00BC14A4"/>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A8"/>
    <w:rsid w:val="00BD31E7"/>
    <w:rsid w:val="00BD3625"/>
    <w:rsid w:val="00BD36FB"/>
    <w:rsid w:val="00BD39D9"/>
    <w:rsid w:val="00BD3A91"/>
    <w:rsid w:val="00BD3B17"/>
    <w:rsid w:val="00BD3CFA"/>
    <w:rsid w:val="00BD3F27"/>
    <w:rsid w:val="00BD48F3"/>
    <w:rsid w:val="00BD4AE5"/>
    <w:rsid w:val="00BD53D9"/>
    <w:rsid w:val="00BD5AE8"/>
    <w:rsid w:val="00BD5C06"/>
    <w:rsid w:val="00BD5E3C"/>
    <w:rsid w:val="00BD61EA"/>
    <w:rsid w:val="00BD64F8"/>
    <w:rsid w:val="00BD6749"/>
    <w:rsid w:val="00BD6A88"/>
    <w:rsid w:val="00BD6E93"/>
    <w:rsid w:val="00BD708D"/>
    <w:rsid w:val="00BD7B0F"/>
    <w:rsid w:val="00BD7E0E"/>
    <w:rsid w:val="00BD7FFA"/>
    <w:rsid w:val="00BE015A"/>
    <w:rsid w:val="00BE0718"/>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3EC"/>
    <w:rsid w:val="00BE497E"/>
    <w:rsid w:val="00BE499C"/>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A5D"/>
    <w:rsid w:val="00BF0BA6"/>
    <w:rsid w:val="00BF0EF1"/>
    <w:rsid w:val="00BF1139"/>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6D3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B92"/>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A43"/>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BF7"/>
    <w:rsid w:val="00C25C12"/>
    <w:rsid w:val="00C25CE2"/>
    <w:rsid w:val="00C25DA7"/>
    <w:rsid w:val="00C25F7D"/>
    <w:rsid w:val="00C26059"/>
    <w:rsid w:val="00C26239"/>
    <w:rsid w:val="00C26740"/>
    <w:rsid w:val="00C269F0"/>
    <w:rsid w:val="00C27040"/>
    <w:rsid w:val="00C30259"/>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1A0"/>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1B5"/>
    <w:rsid w:val="00C6326E"/>
    <w:rsid w:val="00C6327B"/>
    <w:rsid w:val="00C63285"/>
    <w:rsid w:val="00C63735"/>
    <w:rsid w:val="00C63914"/>
    <w:rsid w:val="00C63941"/>
    <w:rsid w:val="00C63C1A"/>
    <w:rsid w:val="00C64705"/>
    <w:rsid w:val="00C64816"/>
    <w:rsid w:val="00C64B9A"/>
    <w:rsid w:val="00C64E07"/>
    <w:rsid w:val="00C65138"/>
    <w:rsid w:val="00C65601"/>
    <w:rsid w:val="00C65860"/>
    <w:rsid w:val="00C659EB"/>
    <w:rsid w:val="00C66387"/>
    <w:rsid w:val="00C66894"/>
    <w:rsid w:val="00C66941"/>
    <w:rsid w:val="00C66A39"/>
    <w:rsid w:val="00C673DC"/>
    <w:rsid w:val="00C67452"/>
    <w:rsid w:val="00C677FE"/>
    <w:rsid w:val="00C67B92"/>
    <w:rsid w:val="00C7042B"/>
    <w:rsid w:val="00C70930"/>
    <w:rsid w:val="00C70F18"/>
    <w:rsid w:val="00C7152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93"/>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80"/>
    <w:rsid w:val="00CA2BEB"/>
    <w:rsid w:val="00CA2ED0"/>
    <w:rsid w:val="00CA2EE2"/>
    <w:rsid w:val="00CA2FAB"/>
    <w:rsid w:val="00CA317E"/>
    <w:rsid w:val="00CA3196"/>
    <w:rsid w:val="00CA3394"/>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2BBB"/>
    <w:rsid w:val="00CB33D7"/>
    <w:rsid w:val="00CB3714"/>
    <w:rsid w:val="00CB3C6D"/>
    <w:rsid w:val="00CB3DF0"/>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CAC"/>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A3"/>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7E"/>
    <w:rsid w:val="00CD4EA5"/>
    <w:rsid w:val="00CD4FE1"/>
    <w:rsid w:val="00CD5001"/>
    <w:rsid w:val="00CD5EEA"/>
    <w:rsid w:val="00CD60AC"/>
    <w:rsid w:val="00CD64AC"/>
    <w:rsid w:val="00CD69CD"/>
    <w:rsid w:val="00CD6D08"/>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7B6"/>
    <w:rsid w:val="00CE5821"/>
    <w:rsid w:val="00CE5A00"/>
    <w:rsid w:val="00CE5A9F"/>
    <w:rsid w:val="00CE5D62"/>
    <w:rsid w:val="00CE61F1"/>
    <w:rsid w:val="00CE6231"/>
    <w:rsid w:val="00CE6634"/>
    <w:rsid w:val="00CE6C8F"/>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98F"/>
    <w:rsid w:val="00CF5A4A"/>
    <w:rsid w:val="00CF5A9E"/>
    <w:rsid w:val="00CF6117"/>
    <w:rsid w:val="00CF62BB"/>
    <w:rsid w:val="00CF6697"/>
    <w:rsid w:val="00CF6885"/>
    <w:rsid w:val="00CF6996"/>
    <w:rsid w:val="00CF6B91"/>
    <w:rsid w:val="00CF6DBF"/>
    <w:rsid w:val="00CF70AB"/>
    <w:rsid w:val="00CF71DA"/>
    <w:rsid w:val="00CF7357"/>
    <w:rsid w:val="00CF7553"/>
    <w:rsid w:val="00CF7790"/>
    <w:rsid w:val="00CF7811"/>
    <w:rsid w:val="00CF7C3C"/>
    <w:rsid w:val="00CF7E06"/>
    <w:rsid w:val="00D00731"/>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CB4"/>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271"/>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3BC"/>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5F3"/>
    <w:rsid w:val="00D366E0"/>
    <w:rsid w:val="00D36A54"/>
    <w:rsid w:val="00D36CA7"/>
    <w:rsid w:val="00D36F14"/>
    <w:rsid w:val="00D370BB"/>
    <w:rsid w:val="00D37350"/>
    <w:rsid w:val="00D373F3"/>
    <w:rsid w:val="00D3749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DD6"/>
    <w:rsid w:val="00D55DEB"/>
    <w:rsid w:val="00D56017"/>
    <w:rsid w:val="00D56274"/>
    <w:rsid w:val="00D5633F"/>
    <w:rsid w:val="00D563B8"/>
    <w:rsid w:val="00D56C96"/>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8F3"/>
    <w:rsid w:val="00D62ABE"/>
    <w:rsid w:val="00D62BD4"/>
    <w:rsid w:val="00D62FB1"/>
    <w:rsid w:val="00D63120"/>
    <w:rsid w:val="00D6360C"/>
    <w:rsid w:val="00D63747"/>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6F3D"/>
    <w:rsid w:val="00D7749B"/>
    <w:rsid w:val="00D774BD"/>
    <w:rsid w:val="00D7753F"/>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04"/>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B4E"/>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4785"/>
    <w:rsid w:val="00DA4AEC"/>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792"/>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0FC"/>
    <w:rsid w:val="00DC73B3"/>
    <w:rsid w:val="00DC7503"/>
    <w:rsid w:val="00DC7593"/>
    <w:rsid w:val="00DC7AD9"/>
    <w:rsid w:val="00DC7B6E"/>
    <w:rsid w:val="00DC7F22"/>
    <w:rsid w:val="00DD02F5"/>
    <w:rsid w:val="00DD03AC"/>
    <w:rsid w:val="00DD0703"/>
    <w:rsid w:val="00DD08BA"/>
    <w:rsid w:val="00DD0B00"/>
    <w:rsid w:val="00DD0B32"/>
    <w:rsid w:val="00DD0F6C"/>
    <w:rsid w:val="00DD0FE6"/>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477"/>
    <w:rsid w:val="00DD6607"/>
    <w:rsid w:val="00DD6A03"/>
    <w:rsid w:val="00DD736D"/>
    <w:rsid w:val="00DD7469"/>
    <w:rsid w:val="00DD79D9"/>
    <w:rsid w:val="00DD7EF3"/>
    <w:rsid w:val="00DE0087"/>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4090"/>
    <w:rsid w:val="00DE436F"/>
    <w:rsid w:val="00DE45A8"/>
    <w:rsid w:val="00DE48FC"/>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823"/>
    <w:rsid w:val="00DF0EF0"/>
    <w:rsid w:val="00DF1383"/>
    <w:rsid w:val="00DF1400"/>
    <w:rsid w:val="00DF180D"/>
    <w:rsid w:val="00DF1C68"/>
    <w:rsid w:val="00DF1C70"/>
    <w:rsid w:val="00DF1D75"/>
    <w:rsid w:val="00DF20EE"/>
    <w:rsid w:val="00DF22CA"/>
    <w:rsid w:val="00DF2376"/>
    <w:rsid w:val="00DF2A0F"/>
    <w:rsid w:val="00DF2A1A"/>
    <w:rsid w:val="00DF2DA1"/>
    <w:rsid w:val="00DF2DDB"/>
    <w:rsid w:val="00DF2F5C"/>
    <w:rsid w:val="00DF33AD"/>
    <w:rsid w:val="00DF4239"/>
    <w:rsid w:val="00DF4EE5"/>
    <w:rsid w:val="00DF50EF"/>
    <w:rsid w:val="00DF514F"/>
    <w:rsid w:val="00DF53CB"/>
    <w:rsid w:val="00DF55CE"/>
    <w:rsid w:val="00DF596C"/>
    <w:rsid w:val="00DF647F"/>
    <w:rsid w:val="00DF6651"/>
    <w:rsid w:val="00DF6E64"/>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61"/>
    <w:rsid w:val="00E038C9"/>
    <w:rsid w:val="00E03A59"/>
    <w:rsid w:val="00E03A6C"/>
    <w:rsid w:val="00E03CE4"/>
    <w:rsid w:val="00E03D65"/>
    <w:rsid w:val="00E03EB1"/>
    <w:rsid w:val="00E040EC"/>
    <w:rsid w:val="00E045B2"/>
    <w:rsid w:val="00E04817"/>
    <w:rsid w:val="00E04EB9"/>
    <w:rsid w:val="00E04EBA"/>
    <w:rsid w:val="00E05008"/>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32F"/>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1D50"/>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A2A"/>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7DA"/>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03"/>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36F"/>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8BD"/>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8AA"/>
    <w:rsid w:val="00E83998"/>
    <w:rsid w:val="00E83DA2"/>
    <w:rsid w:val="00E83F03"/>
    <w:rsid w:val="00E84216"/>
    <w:rsid w:val="00E84310"/>
    <w:rsid w:val="00E843B5"/>
    <w:rsid w:val="00E843FC"/>
    <w:rsid w:val="00E855A7"/>
    <w:rsid w:val="00E855B5"/>
    <w:rsid w:val="00E85BC9"/>
    <w:rsid w:val="00E85C54"/>
    <w:rsid w:val="00E85DC8"/>
    <w:rsid w:val="00E85FD6"/>
    <w:rsid w:val="00E86144"/>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4F0"/>
    <w:rsid w:val="00E908F8"/>
    <w:rsid w:val="00E90C4E"/>
    <w:rsid w:val="00E90CF4"/>
    <w:rsid w:val="00E90D39"/>
    <w:rsid w:val="00E90E2F"/>
    <w:rsid w:val="00E9157C"/>
    <w:rsid w:val="00E91C6C"/>
    <w:rsid w:val="00E91EE9"/>
    <w:rsid w:val="00E92051"/>
    <w:rsid w:val="00E922A3"/>
    <w:rsid w:val="00E92B40"/>
    <w:rsid w:val="00E93503"/>
    <w:rsid w:val="00E93548"/>
    <w:rsid w:val="00E93F94"/>
    <w:rsid w:val="00E94249"/>
    <w:rsid w:val="00E9446F"/>
    <w:rsid w:val="00E9457D"/>
    <w:rsid w:val="00E94775"/>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345"/>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6F01"/>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335"/>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67F"/>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D76B6"/>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3FF6"/>
    <w:rsid w:val="00EF4234"/>
    <w:rsid w:val="00EF427B"/>
    <w:rsid w:val="00EF44D4"/>
    <w:rsid w:val="00EF4764"/>
    <w:rsid w:val="00EF51A3"/>
    <w:rsid w:val="00EF576B"/>
    <w:rsid w:val="00EF5AEF"/>
    <w:rsid w:val="00EF604F"/>
    <w:rsid w:val="00EF60F7"/>
    <w:rsid w:val="00EF63F4"/>
    <w:rsid w:val="00EF6BD6"/>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4F4F"/>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DE7"/>
    <w:rsid w:val="00F222AD"/>
    <w:rsid w:val="00F22325"/>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27F6C"/>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4C4F"/>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6E70"/>
    <w:rsid w:val="00F4717B"/>
    <w:rsid w:val="00F475D5"/>
    <w:rsid w:val="00F476A5"/>
    <w:rsid w:val="00F47795"/>
    <w:rsid w:val="00F478B6"/>
    <w:rsid w:val="00F47A89"/>
    <w:rsid w:val="00F47C38"/>
    <w:rsid w:val="00F47DF4"/>
    <w:rsid w:val="00F50166"/>
    <w:rsid w:val="00F5042B"/>
    <w:rsid w:val="00F5042E"/>
    <w:rsid w:val="00F50D03"/>
    <w:rsid w:val="00F50F2A"/>
    <w:rsid w:val="00F51B6A"/>
    <w:rsid w:val="00F51BB1"/>
    <w:rsid w:val="00F51C29"/>
    <w:rsid w:val="00F5235F"/>
    <w:rsid w:val="00F52BDE"/>
    <w:rsid w:val="00F53C09"/>
    <w:rsid w:val="00F53EBD"/>
    <w:rsid w:val="00F5423E"/>
    <w:rsid w:val="00F546EE"/>
    <w:rsid w:val="00F54CF9"/>
    <w:rsid w:val="00F54EA6"/>
    <w:rsid w:val="00F550A2"/>
    <w:rsid w:val="00F5519B"/>
    <w:rsid w:val="00F555DA"/>
    <w:rsid w:val="00F5579F"/>
    <w:rsid w:val="00F557BC"/>
    <w:rsid w:val="00F55842"/>
    <w:rsid w:val="00F55867"/>
    <w:rsid w:val="00F55B1D"/>
    <w:rsid w:val="00F55C66"/>
    <w:rsid w:val="00F56326"/>
    <w:rsid w:val="00F563FF"/>
    <w:rsid w:val="00F56491"/>
    <w:rsid w:val="00F56BA6"/>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B7D"/>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198"/>
    <w:rsid w:val="00F733A5"/>
    <w:rsid w:val="00F73673"/>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0E51"/>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273"/>
    <w:rsid w:val="00F963F3"/>
    <w:rsid w:val="00F968CE"/>
    <w:rsid w:val="00F969E6"/>
    <w:rsid w:val="00F96A52"/>
    <w:rsid w:val="00F96B99"/>
    <w:rsid w:val="00F96F5A"/>
    <w:rsid w:val="00F97050"/>
    <w:rsid w:val="00F97157"/>
    <w:rsid w:val="00F97164"/>
    <w:rsid w:val="00F97176"/>
    <w:rsid w:val="00F97194"/>
    <w:rsid w:val="00F975F0"/>
    <w:rsid w:val="00FA0ADA"/>
    <w:rsid w:val="00FA0B05"/>
    <w:rsid w:val="00FA0DD9"/>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8AF"/>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89A"/>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E2"/>
    <w:rsid w:val="00FD52F0"/>
    <w:rsid w:val="00FD55DF"/>
    <w:rsid w:val="00FD55F1"/>
    <w:rsid w:val="00FD577C"/>
    <w:rsid w:val="00FD5DD7"/>
    <w:rsid w:val="00FD6165"/>
    <w:rsid w:val="00FD6836"/>
    <w:rsid w:val="00FD722D"/>
    <w:rsid w:val="00FD7988"/>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472"/>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14B76AB"/>
    <w:rsid w:val="02571C51"/>
    <w:rsid w:val="02AD1778"/>
    <w:rsid w:val="0343454B"/>
    <w:rsid w:val="035A4CAD"/>
    <w:rsid w:val="05361B4B"/>
    <w:rsid w:val="05C373BC"/>
    <w:rsid w:val="05D528ED"/>
    <w:rsid w:val="060D18FC"/>
    <w:rsid w:val="063A77D5"/>
    <w:rsid w:val="063D515E"/>
    <w:rsid w:val="063E20CB"/>
    <w:rsid w:val="068E3AFB"/>
    <w:rsid w:val="06914049"/>
    <w:rsid w:val="06C41B92"/>
    <w:rsid w:val="079B2382"/>
    <w:rsid w:val="07D03E6F"/>
    <w:rsid w:val="09575B61"/>
    <w:rsid w:val="0A2308EC"/>
    <w:rsid w:val="0A440A8E"/>
    <w:rsid w:val="0C881E0A"/>
    <w:rsid w:val="0E6D2185"/>
    <w:rsid w:val="0EBA2435"/>
    <w:rsid w:val="0F134733"/>
    <w:rsid w:val="0F2A4239"/>
    <w:rsid w:val="0FA62B1F"/>
    <w:rsid w:val="0FD349F5"/>
    <w:rsid w:val="0FE55CF0"/>
    <w:rsid w:val="0FF277D6"/>
    <w:rsid w:val="11282766"/>
    <w:rsid w:val="11A42091"/>
    <w:rsid w:val="11B54603"/>
    <w:rsid w:val="120B7016"/>
    <w:rsid w:val="12F5166E"/>
    <w:rsid w:val="13245829"/>
    <w:rsid w:val="13B75003"/>
    <w:rsid w:val="13C10C8C"/>
    <w:rsid w:val="14875A93"/>
    <w:rsid w:val="16015013"/>
    <w:rsid w:val="16526CBD"/>
    <w:rsid w:val="16814847"/>
    <w:rsid w:val="16D96BE5"/>
    <w:rsid w:val="184C2193"/>
    <w:rsid w:val="1895556D"/>
    <w:rsid w:val="1908774D"/>
    <w:rsid w:val="192B4E46"/>
    <w:rsid w:val="194F53F4"/>
    <w:rsid w:val="197C6156"/>
    <w:rsid w:val="1A5C22E8"/>
    <w:rsid w:val="1AF87EEB"/>
    <w:rsid w:val="1B2B78DA"/>
    <w:rsid w:val="1B514AAF"/>
    <w:rsid w:val="1B725540"/>
    <w:rsid w:val="1B7C06EE"/>
    <w:rsid w:val="1BAB0278"/>
    <w:rsid w:val="1BE31393"/>
    <w:rsid w:val="1C1C3978"/>
    <w:rsid w:val="1C22061E"/>
    <w:rsid w:val="1CE029EA"/>
    <w:rsid w:val="1CE93150"/>
    <w:rsid w:val="1D167BBB"/>
    <w:rsid w:val="1D48024A"/>
    <w:rsid w:val="1E1A7782"/>
    <w:rsid w:val="1E232FCF"/>
    <w:rsid w:val="1E2739F2"/>
    <w:rsid w:val="1E6F7BCA"/>
    <w:rsid w:val="1FAE3A99"/>
    <w:rsid w:val="1FF94E21"/>
    <w:rsid w:val="206609E9"/>
    <w:rsid w:val="20695B39"/>
    <w:rsid w:val="20990887"/>
    <w:rsid w:val="21886E98"/>
    <w:rsid w:val="21A278D2"/>
    <w:rsid w:val="22EB7EF1"/>
    <w:rsid w:val="23105718"/>
    <w:rsid w:val="232145B7"/>
    <w:rsid w:val="23EA3705"/>
    <w:rsid w:val="25274BBA"/>
    <w:rsid w:val="25B86B99"/>
    <w:rsid w:val="269313E0"/>
    <w:rsid w:val="26A420F1"/>
    <w:rsid w:val="27C846A2"/>
    <w:rsid w:val="27EB1D2A"/>
    <w:rsid w:val="28897180"/>
    <w:rsid w:val="28E04F9A"/>
    <w:rsid w:val="2A6549A7"/>
    <w:rsid w:val="2A971557"/>
    <w:rsid w:val="2B3C72FC"/>
    <w:rsid w:val="2C676A59"/>
    <w:rsid w:val="2E5B1028"/>
    <w:rsid w:val="2EB9741B"/>
    <w:rsid w:val="2F1D3FDF"/>
    <w:rsid w:val="2F9409BB"/>
    <w:rsid w:val="2FAA32BC"/>
    <w:rsid w:val="2FBB088D"/>
    <w:rsid w:val="30862027"/>
    <w:rsid w:val="31707D29"/>
    <w:rsid w:val="31AC7B74"/>
    <w:rsid w:val="32B2363B"/>
    <w:rsid w:val="33C120A0"/>
    <w:rsid w:val="342C0FDE"/>
    <w:rsid w:val="34F05AC8"/>
    <w:rsid w:val="35EB388A"/>
    <w:rsid w:val="35FA16D0"/>
    <w:rsid w:val="36787A8B"/>
    <w:rsid w:val="370406B0"/>
    <w:rsid w:val="37113A0C"/>
    <w:rsid w:val="37124C74"/>
    <w:rsid w:val="37811603"/>
    <w:rsid w:val="38363CC7"/>
    <w:rsid w:val="38E128D2"/>
    <w:rsid w:val="398845B5"/>
    <w:rsid w:val="39A628B4"/>
    <w:rsid w:val="39B433E1"/>
    <w:rsid w:val="3A0039A1"/>
    <w:rsid w:val="3A1B5983"/>
    <w:rsid w:val="3A272B4E"/>
    <w:rsid w:val="3A27455A"/>
    <w:rsid w:val="3AB54F65"/>
    <w:rsid w:val="3B752DF9"/>
    <w:rsid w:val="3BA9063D"/>
    <w:rsid w:val="3E282406"/>
    <w:rsid w:val="3E2B137D"/>
    <w:rsid w:val="3E6413FB"/>
    <w:rsid w:val="3E9E01BF"/>
    <w:rsid w:val="3FB1579C"/>
    <w:rsid w:val="4063015D"/>
    <w:rsid w:val="40D958F2"/>
    <w:rsid w:val="412A7826"/>
    <w:rsid w:val="412C0E9B"/>
    <w:rsid w:val="41331840"/>
    <w:rsid w:val="415A28EB"/>
    <w:rsid w:val="41AB4FFC"/>
    <w:rsid w:val="41C44423"/>
    <w:rsid w:val="41D53DE1"/>
    <w:rsid w:val="41F52311"/>
    <w:rsid w:val="420B1F67"/>
    <w:rsid w:val="42EC6A7C"/>
    <w:rsid w:val="43803969"/>
    <w:rsid w:val="43EE42D6"/>
    <w:rsid w:val="44981418"/>
    <w:rsid w:val="45AB2F04"/>
    <w:rsid w:val="462A67C4"/>
    <w:rsid w:val="463C2681"/>
    <w:rsid w:val="46671304"/>
    <w:rsid w:val="46A415E1"/>
    <w:rsid w:val="47340554"/>
    <w:rsid w:val="47CE712E"/>
    <w:rsid w:val="47F77D30"/>
    <w:rsid w:val="48104ADC"/>
    <w:rsid w:val="48F91395"/>
    <w:rsid w:val="49664280"/>
    <w:rsid w:val="49977AFE"/>
    <w:rsid w:val="49F15C73"/>
    <w:rsid w:val="4A1A6CAF"/>
    <w:rsid w:val="4A356EF5"/>
    <w:rsid w:val="4A9B5443"/>
    <w:rsid w:val="4B8A2D81"/>
    <w:rsid w:val="4C523D7C"/>
    <w:rsid w:val="4C58403B"/>
    <w:rsid w:val="4CEF5263"/>
    <w:rsid w:val="4D0D5719"/>
    <w:rsid w:val="4D63458A"/>
    <w:rsid w:val="4DA2291D"/>
    <w:rsid w:val="4DBB2966"/>
    <w:rsid w:val="4E096FA1"/>
    <w:rsid w:val="4E4D4DA2"/>
    <w:rsid w:val="4E5B72CF"/>
    <w:rsid w:val="4EC7464B"/>
    <w:rsid w:val="506C23D1"/>
    <w:rsid w:val="51DA64A4"/>
    <w:rsid w:val="52094D20"/>
    <w:rsid w:val="520C47DB"/>
    <w:rsid w:val="5246001F"/>
    <w:rsid w:val="52CA1AB2"/>
    <w:rsid w:val="53A67AD5"/>
    <w:rsid w:val="53F9439E"/>
    <w:rsid w:val="54CD09CD"/>
    <w:rsid w:val="54E72951"/>
    <w:rsid w:val="55710FC7"/>
    <w:rsid w:val="56186795"/>
    <w:rsid w:val="56B60923"/>
    <w:rsid w:val="56EA4AB9"/>
    <w:rsid w:val="585141BC"/>
    <w:rsid w:val="587F1E88"/>
    <w:rsid w:val="58E75AF6"/>
    <w:rsid w:val="59126BBA"/>
    <w:rsid w:val="59B52E52"/>
    <w:rsid w:val="5A6E3E9F"/>
    <w:rsid w:val="5AA84100"/>
    <w:rsid w:val="5B5B6B64"/>
    <w:rsid w:val="5C093683"/>
    <w:rsid w:val="5CB06788"/>
    <w:rsid w:val="5CCB1AB4"/>
    <w:rsid w:val="5CFA72FB"/>
    <w:rsid w:val="5D14459B"/>
    <w:rsid w:val="5DF06183"/>
    <w:rsid w:val="5E1857E9"/>
    <w:rsid w:val="5E334A60"/>
    <w:rsid w:val="5E427788"/>
    <w:rsid w:val="5E506AA9"/>
    <w:rsid w:val="5E5429D8"/>
    <w:rsid w:val="5E757D23"/>
    <w:rsid w:val="5F1F0525"/>
    <w:rsid w:val="5F47509D"/>
    <w:rsid w:val="5F4B52FB"/>
    <w:rsid w:val="5FF62545"/>
    <w:rsid w:val="60265340"/>
    <w:rsid w:val="61003A15"/>
    <w:rsid w:val="616B67A4"/>
    <w:rsid w:val="61A139E3"/>
    <w:rsid w:val="62184E51"/>
    <w:rsid w:val="6240705E"/>
    <w:rsid w:val="62734CCA"/>
    <w:rsid w:val="6337409A"/>
    <w:rsid w:val="63F0257B"/>
    <w:rsid w:val="64205BC6"/>
    <w:rsid w:val="64FA099E"/>
    <w:rsid w:val="65541995"/>
    <w:rsid w:val="65C427DF"/>
    <w:rsid w:val="662A753A"/>
    <w:rsid w:val="663B357D"/>
    <w:rsid w:val="6698683D"/>
    <w:rsid w:val="66B226F6"/>
    <w:rsid w:val="66D63C17"/>
    <w:rsid w:val="66D926F7"/>
    <w:rsid w:val="67776CCD"/>
    <w:rsid w:val="67790898"/>
    <w:rsid w:val="694D45D6"/>
    <w:rsid w:val="6B0D1787"/>
    <w:rsid w:val="6B162570"/>
    <w:rsid w:val="6C684964"/>
    <w:rsid w:val="6CBA266E"/>
    <w:rsid w:val="6CD11BAF"/>
    <w:rsid w:val="6CEE1418"/>
    <w:rsid w:val="6D3E58B0"/>
    <w:rsid w:val="6E7E5C75"/>
    <w:rsid w:val="6EBC0947"/>
    <w:rsid w:val="6F0D769F"/>
    <w:rsid w:val="6F8243D3"/>
    <w:rsid w:val="70B55909"/>
    <w:rsid w:val="70CA6A2C"/>
    <w:rsid w:val="71496E58"/>
    <w:rsid w:val="71503AEC"/>
    <w:rsid w:val="71FF6CE4"/>
    <w:rsid w:val="7281214A"/>
    <w:rsid w:val="736C6A63"/>
    <w:rsid w:val="745B25AA"/>
    <w:rsid w:val="74764DB4"/>
    <w:rsid w:val="753A74C2"/>
    <w:rsid w:val="75875F69"/>
    <w:rsid w:val="76E25CA3"/>
    <w:rsid w:val="76F2120F"/>
    <w:rsid w:val="76FA0D9D"/>
    <w:rsid w:val="77A832D2"/>
    <w:rsid w:val="78A64685"/>
    <w:rsid w:val="7901703B"/>
    <w:rsid w:val="79023684"/>
    <w:rsid w:val="79456A3E"/>
    <w:rsid w:val="7A20495E"/>
    <w:rsid w:val="7A2734EF"/>
    <w:rsid w:val="7A591F69"/>
    <w:rsid w:val="7B6312FE"/>
    <w:rsid w:val="7CAE37FE"/>
    <w:rsid w:val="7CE96E6B"/>
    <w:rsid w:val="7D5750B7"/>
    <w:rsid w:val="7E2F04F6"/>
    <w:rsid w:val="7E9D3093"/>
    <w:rsid w:val="7F0C5F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qFormat="1" w:unhideWhenUsed="0" w:uiPriority="0" w:semiHidden="0" w:name="annotation text"/>
    <w:lsdException w:qFormat="1" w:unhideWhenUsed="0" w:uiPriority="9"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qFormat="1" w:unhideWhenUsed="0" w:uiPriority="0" w:semiHidden="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56"/>
    <w:qFormat/>
    <w:uiPriority w:val="0"/>
    <w:pPr>
      <w:keepNext/>
      <w:keepLines/>
      <w:pBdr>
        <w:top w:val="single" w:color="auto" w:sz="12" w:space="3"/>
      </w:pBdr>
      <w:spacing w:before="240" w:after="180" w:line="259" w:lineRule="auto"/>
      <w:outlineLvl w:val="0"/>
    </w:pPr>
    <w:rPr>
      <w:rFonts w:ascii="Arial" w:hAnsi="Arial" w:eastAsia="宋体" w:cs="Times New Roman"/>
      <w:sz w:val="32"/>
      <w:lang w:val="en-GB" w:eastAsia="en-US" w:bidi="ar-SA"/>
    </w:rPr>
  </w:style>
  <w:style w:type="paragraph" w:styleId="3">
    <w:name w:val="heading 2"/>
    <w:basedOn w:val="2"/>
    <w:next w:val="1"/>
    <w:link w:val="119"/>
    <w:qFormat/>
    <w:uiPriority w:val="0"/>
    <w:pPr>
      <w:pBdr>
        <w:top w:val="none" w:color="auto" w:sz="0" w:space="0"/>
      </w:pBdr>
      <w:spacing w:before="180"/>
      <w:ind w:right="100" w:rightChars="100"/>
      <w:outlineLvl w:val="1"/>
    </w:pPr>
    <w:rPr>
      <w:sz w:val="28"/>
    </w:rPr>
  </w:style>
  <w:style w:type="paragraph" w:styleId="4">
    <w:name w:val="heading 3"/>
    <w:basedOn w:val="3"/>
    <w:next w:val="1"/>
    <w:link w:val="177"/>
    <w:qFormat/>
    <w:uiPriority w:val="0"/>
    <w:pPr>
      <w:spacing w:before="120"/>
      <w:outlineLvl w:val="2"/>
    </w:pPr>
  </w:style>
  <w:style w:type="paragraph" w:styleId="5">
    <w:name w:val="heading 4"/>
    <w:basedOn w:val="3"/>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8">
    <w:name w:val="Default Paragraph Font"/>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7"/>
    <w:qFormat/>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Normal Indent"/>
    <w:basedOn w:val="1"/>
    <w:unhideWhenUsed/>
    <w:qFormat/>
    <w:uiPriority w:val="99"/>
    <w:pPr>
      <w:widowControl w:val="0"/>
      <w:spacing w:after="0" w:line="240" w:lineRule="auto"/>
      <w:ind w:left="720"/>
      <w:jc w:val="both"/>
    </w:pPr>
    <w:rPr>
      <w:kern w:val="2"/>
      <w:sz w:val="21"/>
      <w:szCs w:val="24"/>
      <w:lang w:val="en-US" w:eastAsia="zh-CN"/>
    </w:rPr>
  </w:style>
  <w:style w:type="paragraph" w:styleId="25">
    <w:name w:val="caption"/>
    <w:basedOn w:val="1"/>
    <w:next w:val="1"/>
    <w:link w:val="165"/>
    <w:qFormat/>
    <w:uiPriority w:val="35"/>
    <w:pPr>
      <w:overflowPunct w:val="0"/>
      <w:autoSpaceDE w:val="0"/>
      <w:autoSpaceDN w:val="0"/>
      <w:adjustRightInd w:val="0"/>
      <w:spacing w:before="120" w:after="120"/>
      <w:textAlignment w:val="baseline"/>
    </w:pPr>
    <w:rPr>
      <w:b/>
      <w:lang w:val="en-US"/>
    </w:rPr>
  </w:style>
  <w:style w:type="paragraph" w:styleId="26">
    <w:name w:val="List Bullet"/>
    <w:basedOn w:val="14"/>
    <w:qFormat/>
    <w:uiPriority w:val="0"/>
    <w:pPr>
      <w:ind w:left="0" w:firstLine="0"/>
    </w:pPr>
  </w:style>
  <w:style w:type="paragraph" w:styleId="27">
    <w:name w:val="Document Map"/>
    <w:basedOn w:val="1"/>
    <w:semiHidden/>
    <w:qFormat/>
    <w:uiPriority w:val="0"/>
    <w:pPr>
      <w:shd w:val="clear" w:color="auto" w:fill="000080"/>
    </w:pPr>
    <w:rPr>
      <w:rFonts w:ascii="CG Times (WN)" w:hAnsi="CG Times (WN)" w:cs="CG Times (WN)"/>
    </w:rPr>
  </w:style>
  <w:style w:type="paragraph" w:styleId="28">
    <w:name w:val="annotation text"/>
    <w:basedOn w:val="1"/>
    <w:link w:val="133"/>
    <w:qFormat/>
    <w:uiPriority w:val="0"/>
  </w:style>
  <w:style w:type="paragraph" w:styleId="29">
    <w:name w:val="Body Text"/>
    <w:basedOn w:val="1"/>
    <w:link w:val="145"/>
    <w:qFormat/>
    <w:uiPriority w:val="0"/>
    <w:pPr>
      <w:spacing w:afterLines="60"/>
      <w:jc w:val="both"/>
    </w:pPr>
    <w:rPr>
      <w:szCs w:val="24"/>
      <w:lang w:val="en-US"/>
    </w:r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CG Times (WN)" w:hAnsi="CG Times (WN)" w:cs="CG Times (WN)"/>
      <w:sz w:val="16"/>
      <w:szCs w:val="16"/>
    </w:rPr>
  </w:style>
  <w:style w:type="paragraph" w:styleId="32">
    <w:name w:val="footer"/>
    <w:basedOn w:val="33"/>
    <w:qFormat/>
    <w:uiPriority w:val="0"/>
    <w:pPr>
      <w:jc w:val="center"/>
    </w:pPr>
    <w:rPr>
      <w:i/>
    </w:rPr>
  </w:style>
  <w:style w:type="paragraph" w:styleId="33">
    <w:name w:val="header"/>
    <w:link w:val="140"/>
    <w:qFormat/>
    <w:uiPriority w:val="9"/>
    <w:pPr>
      <w:widowControl w:val="0"/>
      <w:spacing w:after="160" w:line="259" w:lineRule="auto"/>
    </w:pPr>
    <w:rPr>
      <w:rFonts w:ascii="Arial" w:hAnsi="Arial" w:eastAsia="宋体"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Normal (Web)"/>
    <w:basedOn w:val="1"/>
    <w:unhideWhenUsed/>
    <w:qFormat/>
    <w:uiPriority w:val="99"/>
    <w:pPr>
      <w:spacing w:before="100" w:beforeAutospacing="1" w:after="100" w:afterAutospacing="1" w:line="240" w:lineRule="auto"/>
    </w:pPr>
    <w:rPr>
      <w:rFonts w:ascii="Times" w:hAnsi="Times"/>
      <w:lang w:val="en-US" w:eastAsia="zh-CN"/>
    </w:r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Title"/>
    <w:basedOn w:val="1"/>
    <w:next w:val="1"/>
    <w:link w:val="159"/>
    <w:qFormat/>
    <w:uiPriority w:val="0"/>
    <w:pPr>
      <w:spacing w:before="240" w:after="60"/>
      <w:jc w:val="center"/>
      <w:outlineLvl w:val="0"/>
    </w:pPr>
    <w:rPr>
      <w:rFonts w:ascii="CG Times (WN)" w:hAnsi="CG Times (WN)"/>
      <w:b/>
      <w:bCs/>
      <w:kern w:val="28"/>
      <w:sz w:val="32"/>
      <w:szCs w:val="32"/>
    </w:rPr>
  </w:style>
  <w:style w:type="paragraph" w:styleId="42">
    <w:name w:val="annotation subject"/>
    <w:basedOn w:val="28"/>
    <w:next w:val="28"/>
    <w:semiHidden/>
    <w:qFormat/>
    <w:uiPriority w:val="0"/>
    <w:rPr>
      <w:b/>
      <w:bCs/>
    </w:rPr>
  </w:style>
  <w:style w:type="table" w:styleId="44">
    <w:name w:val="Table Grid"/>
    <w:basedOn w:val="43"/>
    <w:qFormat/>
    <w:uiPriority w:val="59"/>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Table Simple 1"/>
    <w:basedOn w:val="43"/>
    <w:qFormat/>
    <w:uiPriority w:val="0"/>
    <w:pPr>
      <w:spacing w:after="180"/>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46">
    <w:name w:val="Table Grid 5"/>
    <w:basedOn w:val="43"/>
    <w:qFormat/>
    <w:uiPriority w:val="0"/>
    <w:pPr>
      <w:spacing w:after="18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47">
    <w:name w:val="Table Grid 6"/>
    <w:basedOn w:val="43"/>
    <w:qFormat/>
    <w:uiPriority w:val="0"/>
    <w:pPr>
      <w:spacing w:after="18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49">
    <w:name w:val="Strong"/>
    <w:basedOn w:val="48"/>
    <w:qFormat/>
    <w:uiPriority w:val="22"/>
    <w:rPr>
      <w:b/>
      <w:bCs/>
    </w:rPr>
  </w:style>
  <w:style w:type="character" w:styleId="50">
    <w:name w:val="FollowedHyperlink"/>
    <w:basedOn w:val="48"/>
    <w:semiHidden/>
    <w:unhideWhenUsed/>
    <w:qFormat/>
    <w:uiPriority w:val="0"/>
    <w:rPr>
      <w:color w:val="800080" w:themeColor="followedHyperlink"/>
      <w:u w:val="single"/>
      <w14:textFill>
        <w14:solidFill>
          <w14:schemeClr w14:val="folHlink"/>
        </w14:solidFill>
      </w14:textFill>
    </w:rPr>
  </w:style>
  <w:style w:type="character" w:styleId="51">
    <w:name w:val="Hyperlink"/>
    <w:qFormat/>
    <w:uiPriority w:val="0"/>
    <w:rPr>
      <w:rFonts w:eastAsia="宋体"/>
      <w:color w:val="0000FF"/>
      <w:u w:val="single"/>
      <w:lang w:val="en-US" w:eastAsia="zh-CN" w:bidi="ar-SA"/>
    </w:rPr>
  </w:style>
  <w:style w:type="character" w:styleId="52">
    <w:name w:val="annotation reference"/>
    <w:qFormat/>
    <w:uiPriority w:val="99"/>
    <w:rPr>
      <w:rFonts w:eastAsia="宋体"/>
      <w:sz w:val="16"/>
      <w:lang w:val="en-US" w:eastAsia="zh-CN" w:bidi="ar-SA"/>
    </w:rPr>
  </w:style>
  <w:style w:type="character" w:styleId="53">
    <w:name w:val="footnote reference"/>
    <w:semiHidden/>
    <w:qFormat/>
    <w:uiPriority w:val="0"/>
    <w:rPr>
      <w:rFonts w:eastAsia="宋体"/>
      <w:b/>
      <w:position w:val="6"/>
      <w:sz w:val="16"/>
      <w:lang w:val="en-US" w:eastAsia="zh-CN" w:bidi="ar-SA"/>
    </w:rPr>
  </w:style>
  <w:style w:type="paragraph" w:customStyle="1" w:styleId="54">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character" w:customStyle="1" w:styleId="56">
    <w:name w:val="Heading 1 Char"/>
    <w:link w:val="2"/>
    <w:qFormat/>
    <w:uiPriority w:val="0"/>
    <w:rPr>
      <w:rFonts w:ascii="Arial" w:hAnsi="Arial"/>
      <w:sz w:val="32"/>
      <w:lang w:val="en-GB" w:eastAsia="en-US"/>
    </w:rPr>
  </w:style>
  <w:style w:type="paragraph" w:customStyle="1" w:styleId="57">
    <w:name w:val="TAH"/>
    <w:basedOn w:val="58"/>
    <w:link w:val="160"/>
    <w:qFormat/>
    <w:uiPriority w:val="0"/>
    <w:rPr>
      <w:b/>
    </w:rPr>
  </w:style>
  <w:style w:type="paragraph" w:customStyle="1" w:styleId="58">
    <w:name w:val="TAC"/>
    <w:basedOn w:val="59"/>
    <w:link w:val="162"/>
    <w:qFormat/>
    <w:uiPriority w:val="0"/>
    <w:pPr>
      <w:jc w:val="center"/>
    </w:pPr>
  </w:style>
  <w:style w:type="paragraph" w:customStyle="1" w:styleId="59">
    <w:name w:val="TAL"/>
    <w:basedOn w:val="1"/>
    <w:link w:val="99"/>
    <w:qFormat/>
    <w:uiPriority w:val="0"/>
    <w:pPr>
      <w:keepNext/>
      <w:keepLines/>
      <w:spacing w:after="0"/>
    </w:pPr>
    <w:rPr>
      <w:rFonts w:ascii="Arial" w:hAnsi="Arial"/>
      <w:sz w:val="18"/>
    </w:rPr>
  </w:style>
  <w:style w:type="paragraph" w:customStyle="1" w:styleId="60">
    <w:name w:val="TF"/>
    <w:basedOn w:val="61"/>
    <w:link w:val="139"/>
    <w:qFormat/>
    <w:uiPriority w:val="0"/>
    <w:pPr>
      <w:keepNext w:val="0"/>
      <w:spacing w:before="0" w:after="240"/>
    </w:pPr>
  </w:style>
  <w:style w:type="paragraph" w:customStyle="1" w:styleId="61">
    <w:name w:val="TH"/>
    <w:basedOn w:val="1"/>
    <w:link w:val="115"/>
    <w:qFormat/>
    <w:uiPriority w:val="0"/>
    <w:pPr>
      <w:keepNext/>
      <w:keepLines/>
      <w:spacing w:before="60"/>
      <w:jc w:val="center"/>
    </w:pPr>
    <w:rPr>
      <w:rFonts w:ascii="Arial" w:hAnsi="Arial"/>
      <w:b/>
    </w:rPr>
  </w:style>
  <w:style w:type="paragraph" w:customStyle="1" w:styleId="62">
    <w:name w:val="NO"/>
    <w:basedOn w:val="1"/>
    <w:link w:val="63"/>
    <w:qFormat/>
    <w:uiPriority w:val="0"/>
    <w:pPr>
      <w:keepLines/>
      <w:ind w:left="1135" w:hanging="851"/>
    </w:pPr>
  </w:style>
  <w:style w:type="character" w:customStyle="1" w:styleId="63">
    <w:name w:val="NO Char"/>
    <w:link w:val="62"/>
    <w:qFormat/>
    <w:uiPriority w:val="0"/>
    <w:rPr>
      <w:rFonts w:eastAsia="宋体"/>
      <w:lang w:val="en-GB" w:eastAsia="en-US" w:bidi="ar-SA"/>
    </w:rPr>
  </w:style>
  <w:style w:type="paragraph" w:customStyle="1" w:styleId="64">
    <w:name w:val="EX"/>
    <w:basedOn w:val="1"/>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67">
    <w:name w:val="NW"/>
    <w:basedOn w:val="62"/>
    <w:qFormat/>
    <w:uiPriority w:val="0"/>
    <w:pPr>
      <w:spacing w:after="0"/>
    </w:pPr>
  </w:style>
  <w:style w:type="paragraph" w:customStyle="1" w:styleId="68">
    <w:name w:val="EW"/>
    <w:basedOn w:val="64"/>
    <w:qFormat/>
    <w:uiPriority w:val="0"/>
    <w:pPr>
      <w:spacing w:after="0"/>
    </w:pPr>
  </w:style>
  <w:style w:type="paragraph" w:customStyle="1" w:styleId="69">
    <w:name w:val="编号2"/>
    <w:basedOn w:val="1"/>
    <w:qFormat/>
    <w:uiPriority w:val="0"/>
    <w:pPr>
      <w:numPr>
        <w:ilvl w:val="0"/>
        <w:numId w:val="3"/>
      </w:numPr>
      <w:tabs>
        <w:tab w:val="left" w:pos="704"/>
        <w:tab w:val="clear" w:pos="840"/>
      </w:tabs>
      <w:ind w:left="704" w:hanging="420"/>
    </w:pPr>
    <w:rPr>
      <w:lang w:eastAsia="zh-CN"/>
    </w:rPr>
  </w:style>
  <w:style w:type="paragraph" w:customStyle="1" w:styleId="70">
    <w:name w:val="Reference"/>
    <w:basedOn w:val="1"/>
    <w:link w:val="182"/>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2"/>
    <w:qFormat/>
    <w:uiPriority w:val="0"/>
    <w:pPr>
      <w:keepNext/>
      <w:spacing w:after="0"/>
    </w:pPr>
    <w:rPr>
      <w:rFonts w:ascii="Arial" w:hAnsi="Arial"/>
      <w:sz w:val="18"/>
    </w:rPr>
  </w:style>
  <w:style w:type="paragraph" w:customStyle="1" w:styleId="73">
    <w:name w:val="PL"/>
    <w:link w:val="10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eastAsia="宋体" w:cs="Times New Roman"/>
      <w:sz w:val="16"/>
      <w:lang w:val="en-GB" w:eastAsia="en-US" w:bidi="ar-SA"/>
    </w:rPr>
  </w:style>
  <w:style w:type="paragraph" w:customStyle="1" w:styleId="74">
    <w:name w:val="TAR"/>
    <w:basedOn w:val="59"/>
    <w:qFormat/>
    <w:uiPriority w:val="0"/>
    <w:pPr>
      <w:jc w:val="right"/>
    </w:pPr>
  </w:style>
  <w:style w:type="paragraph" w:customStyle="1" w:styleId="75">
    <w:name w:val="TAN"/>
    <w:basedOn w:val="59"/>
    <w:link w:val="169"/>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7">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8">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7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3">
    <w:name w:val="Editor's Note"/>
    <w:basedOn w:val="62"/>
    <w:link w:val="84"/>
    <w:qFormat/>
    <w:uiPriority w:val="0"/>
    <w:rPr>
      <w:color w:val="FF0000"/>
    </w:rPr>
  </w:style>
  <w:style w:type="character" w:customStyle="1" w:styleId="84">
    <w:name w:val="Editor's Note Char"/>
    <w:link w:val="83"/>
    <w:qFormat/>
    <w:uiPriority w:val="0"/>
    <w:rPr>
      <w:rFonts w:eastAsia="宋体"/>
      <w:color w:val="FF0000"/>
      <w:lang w:val="en-GB" w:eastAsia="en-US" w:bidi="ar-SA"/>
    </w:rPr>
  </w:style>
  <w:style w:type="character" w:customStyle="1" w:styleId="85">
    <w:name w:val="样式 宋体 蓝色"/>
    <w:qFormat/>
    <w:uiPriority w:val="0"/>
    <w:rPr>
      <w:rFonts w:ascii="Times New Roman" w:hAnsi="Times New Roman" w:eastAsia="宋体"/>
      <w:color w:val="0000FF"/>
      <w:lang w:val="en-US" w:eastAsia="zh-CN" w:bidi="ar-SA"/>
    </w:rPr>
  </w:style>
  <w:style w:type="paragraph" w:customStyle="1" w:styleId="86">
    <w:name w:val="样式 列表 + (西文) MS Mincho"/>
    <w:basedOn w:val="14"/>
    <w:link w:val="88"/>
    <w:qFormat/>
    <w:uiPriority w:val="0"/>
  </w:style>
  <w:style w:type="character" w:customStyle="1" w:styleId="87">
    <w:name w:val="List Char"/>
    <w:link w:val="14"/>
    <w:qFormat/>
    <w:uiPriority w:val="0"/>
    <w:rPr>
      <w:rFonts w:eastAsia="宋体"/>
      <w:lang w:val="en-GB" w:eastAsia="en-US" w:bidi="ar-SA"/>
    </w:rPr>
  </w:style>
  <w:style w:type="character" w:customStyle="1" w:styleId="88">
    <w:name w:val="样式 列表 + (西文) MS Mincho Char"/>
    <w:basedOn w:val="87"/>
    <w:link w:val="86"/>
    <w:qFormat/>
    <w:uiPriority w:val="0"/>
    <w:rPr>
      <w:rFonts w:eastAsia="宋体"/>
      <w:lang w:val="en-GB" w:eastAsia="en-US" w:bidi="ar-SA"/>
    </w:rPr>
  </w:style>
  <w:style w:type="paragraph" w:customStyle="1" w:styleId="89">
    <w:name w:val="B4"/>
    <w:basedOn w:val="36"/>
    <w:link w:val="90"/>
    <w:qFormat/>
    <w:uiPriority w:val="0"/>
  </w:style>
  <w:style w:type="character" w:customStyle="1" w:styleId="90">
    <w:name w:val="B4 Char"/>
    <w:link w:val="89"/>
    <w:qFormat/>
    <w:uiPriority w:val="0"/>
    <w:rPr>
      <w:rFonts w:eastAsia="宋体"/>
      <w:lang w:val="en-GB" w:eastAsia="en-US" w:bidi="ar-SA"/>
    </w:rPr>
  </w:style>
  <w:style w:type="paragraph" w:customStyle="1" w:styleId="91">
    <w:name w:val="B5"/>
    <w:basedOn w:val="35"/>
    <w:qFormat/>
    <w:uiPriority w:val="0"/>
  </w:style>
  <w:style w:type="paragraph" w:customStyle="1" w:styleId="92">
    <w:name w:val="ZTD"/>
    <w:basedOn w:val="77"/>
    <w:qFormat/>
    <w:uiPriority w:val="0"/>
    <w:pPr>
      <w:framePr w:hRule="auto" w:y="852"/>
    </w:pPr>
    <w:rPr>
      <w:i w:val="0"/>
      <w:sz w:val="40"/>
    </w:rPr>
  </w:style>
  <w:style w:type="paragraph" w:customStyle="1" w:styleId="93">
    <w:name w:val="CR Cover Page"/>
    <w:link w:val="163"/>
    <w:qFormat/>
    <w:uiPriority w:val="0"/>
    <w:pPr>
      <w:spacing w:after="120" w:line="259" w:lineRule="auto"/>
    </w:pPr>
    <w:rPr>
      <w:rFonts w:ascii="Arial" w:hAnsi="Arial" w:eastAsia="宋体" w:cs="Times New Roman"/>
      <w:lang w:val="en-GB" w:eastAsia="en-US" w:bidi="ar-SA"/>
    </w:rPr>
  </w:style>
  <w:style w:type="paragraph" w:customStyle="1" w:styleId="94">
    <w:name w:val="tdoc-header"/>
    <w:qFormat/>
    <w:uiPriority w:val="0"/>
    <w:pPr>
      <w:spacing w:after="160" w:line="259" w:lineRule="auto"/>
    </w:pPr>
    <w:rPr>
      <w:rFonts w:ascii="Arial" w:hAnsi="Arial" w:eastAsia="宋体" w:cs="Times New Roman"/>
      <w:sz w:val="24"/>
      <w:lang w:val="en-GB" w:eastAsia="en-US" w:bidi="ar-SA"/>
    </w:rPr>
  </w:style>
  <w:style w:type="character" w:customStyle="1" w:styleId="95">
    <w:name w:val="访问过的超链接1"/>
    <w:qFormat/>
    <w:uiPriority w:val="0"/>
    <w:rPr>
      <w:rFonts w:eastAsia="宋体"/>
      <w:color w:val="800080"/>
      <w:u w:val="single"/>
      <w:lang w:val="en-US" w:eastAsia="zh-CN" w:bidi="ar-SA"/>
    </w:rPr>
  </w:style>
  <w:style w:type="paragraph" w:customStyle="1" w:styleId="96">
    <w:name w:val="Zchn Zchn"/>
    <w:semiHidden/>
    <w:qFormat/>
    <w:uiPriority w:val="0"/>
    <w:pPr>
      <w:keepNext/>
      <w:tabs>
        <w:tab w:val="left" w:pos="1494"/>
      </w:tabs>
      <w:autoSpaceDE w:val="0"/>
      <w:autoSpaceDN w:val="0"/>
      <w:adjustRightInd w:val="0"/>
      <w:spacing w:before="60" w:after="60" w:line="259" w:lineRule="auto"/>
      <w:ind w:left="1494" w:hanging="360"/>
      <w:jc w:val="both"/>
    </w:pPr>
    <w:rPr>
      <w:rFonts w:ascii="Arial" w:hAnsi="Arial" w:eastAsia="宋体" w:cs="Arial"/>
      <w:color w:val="0000FF"/>
      <w:kern w:val="2"/>
      <w:lang w:val="en-US" w:eastAsia="zh-CN" w:bidi="ar-SA"/>
    </w:rPr>
  </w:style>
  <w:style w:type="paragraph" w:customStyle="1" w:styleId="97">
    <w:name w:val="TAL Char Char"/>
    <w:basedOn w:val="1"/>
    <w:link w:val="10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8">
    <w:name w:val="Char Char1 Char Char Char Char1 Char Char Char Char1 Char Char Char Char Char Char"/>
    <w:basedOn w:val="1"/>
    <w:qFormat/>
    <w:uiPriority w:val="0"/>
    <w:pPr>
      <w:widowControl w:val="0"/>
      <w:autoSpaceDE w:val="0"/>
      <w:autoSpaceDN w:val="0"/>
      <w:adjustRightInd w:val="0"/>
      <w:spacing w:afterLines="50"/>
      <w:jc w:val="both"/>
    </w:pPr>
    <w:rPr>
      <w:lang w:val="en-US" w:eastAsia="zh-CN"/>
    </w:rPr>
  </w:style>
  <w:style w:type="character" w:customStyle="1" w:styleId="99">
    <w:name w:val="TAL Car"/>
    <w:link w:val="59"/>
    <w:qFormat/>
    <w:uiPriority w:val="0"/>
    <w:rPr>
      <w:rFonts w:ascii="Arial" w:hAnsi="Arial" w:eastAsia="宋体"/>
      <w:sz w:val="18"/>
      <w:lang w:val="en-GB" w:eastAsia="en-US" w:bidi="ar-SA"/>
    </w:rPr>
  </w:style>
  <w:style w:type="paragraph" w:customStyle="1" w:styleId="100">
    <w:name w:val="00 BodyText"/>
    <w:basedOn w:val="1"/>
    <w:qFormat/>
    <w:uiPriority w:val="0"/>
    <w:pPr>
      <w:spacing w:after="220"/>
    </w:pPr>
    <w:rPr>
      <w:rFonts w:ascii="Arial" w:hAnsi="Arial"/>
      <w:sz w:val="22"/>
      <w:lang w:val="en-US"/>
    </w:rPr>
  </w:style>
  <w:style w:type="character" w:customStyle="1" w:styleId="101">
    <w:name w:val="TAL Char Char Char"/>
    <w:link w:val="97"/>
    <w:qFormat/>
    <w:uiPriority w:val="0"/>
    <w:rPr>
      <w:rFonts w:ascii="Arial" w:hAnsi="Arial" w:eastAsia="宋体"/>
      <w:sz w:val="18"/>
      <w:lang w:val="en-GB" w:eastAsia="en-US" w:bidi="ar-SA"/>
    </w:rPr>
  </w:style>
  <w:style w:type="paragraph" w:customStyle="1" w:styleId="102">
    <w:name w:val="样式 图表标题 + (中文) 宋体"/>
    <w:basedOn w:val="103"/>
    <w:qFormat/>
    <w:uiPriority w:val="0"/>
    <w:rPr>
      <w:rFonts w:eastAsia="Arial"/>
    </w:rPr>
  </w:style>
  <w:style w:type="paragraph" w:customStyle="1" w:styleId="103">
    <w:name w:val="图表标题"/>
    <w:basedOn w:val="1"/>
    <w:next w:val="1"/>
    <w:qFormat/>
    <w:uiPriority w:val="0"/>
    <w:pPr>
      <w:spacing w:before="60" w:after="60"/>
      <w:jc w:val="center"/>
    </w:pPr>
    <w:rPr>
      <w:rFonts w:ascii="Arial" w:hAnsi="Arial" w:eastAsia="Helvetica" w:cs="宋体"/>
    </w:rPr>
  </w:style>
  <w:style w:type="character" w:customStyle="1" w:styleId="104">
    <w:name w:val="PL Char"/>
    <w:link w:val="73"/>
    <w:qFormat/>
    <w:uiPriority w:val="0"/>
    <w:rPr>
      <w:rFonts w:ascii="Tahoma" w:hAnsi="Tahoma"/>
      <w:sz w:val="16"/>
      <w:lang w:val="en-GB" w:eastAsia="en-US" w:bidi="ar-SA"/>
    </w:rPr>
  </w:style>
  <w:style w:type="paragraph" w:customStyle="1" w:styleId="105">
    <w:name w:val="(文字) (文字)3 Char Char (文字) (文字)"/>
    <w:basedOn w:val="1"/>
    <w:qFormat/>
    <w:uiPriority w:val="0"/>
    <w:pPr>
      <w:widowControl w:val="0"/>
      <w:spacing w:after="0"/>
      <w:jc w:val="both"/>
    </w:pPr>
    <w:rPr>
      <w:rFonts w:ascii="Arial" w:hAnsi="Arial" w:cs="Arial"/>
      <w:kern w:val="2"/>
      <w:sz w:val="21"/>
      <w:szCs w:val="24"/>
      <w:lang w:val="en-US" w:eastAsia="zh-CN"/>
    </w:rPr>
  </w:style>
  <w:style w:type="paragraph" w:customStyle="1" w:styleId="106">
    <w:name w:val="MTDisplayEquation"/>
    <w:basedOn w:val="1"/>
    <w:qFormat/>
    <w:uiPriority w:val="0"/>
    <w:pPr>
      <w:tabs>
        <w:tab w:val="center" w:pos="4820"/>
        <w:tab w:val="right" w:pos="9640"/>
      </w:tabs>
    </w:pPr>
    <w:rPr>
      <w:lang w:val="en-US"/>
    </w:rPr>
  </w:style>
  <w:style w:type="paragraph" w:customStyle="1" w:styleId="107">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8">
    <w:name w:val="memo header"/>
    <w:basedOn w:val="1"/>
    <w:qFormat/>
    <w:uiPriority w:val="0"/>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109">
    <w:name w:val="B1"/>
    <w:basedOn w:val="14"/>
    <w:link w:val="110"/>
    <w:qFormat/>
    <w:uiPriority w:val="0"/>
    <w:pPr>
      <w:ind w:left="568" w:hanging="284"/>
    </w:pPr>
    <w:rPr>
      <w:rFonts w:eastAsia="MS LineDraw"/>
      <w:lang w:eastAsia="ja-JP"/>
    </w:rPr>
  </w:style>
  <w:style w:type="character" w:customStyle="1" w:styleId="110">
    <w:name w:val="B1 Char1"/>
    <w:link w:val="109"/>
    <w:qFormat/>
    <w:uiPriority w:val="0"/>
    <w:rPr>
      <w:rFonts w:eastAsia="MS LineDraw"/>
      <w:lang w:val="en-GB" w:eastAsia="ja-JP" w:bidi="ar-SA"/>
    </w:rPr>
  </w:style>
  <w:style w:type="character" w:customStyle="1" w:styleId="111">
    <w:name w:val="首标题"/>
    <w:qFormat/>
    <w:uiPriority w:val="0"/>
    <w:rPr>
      <w:rFonts w:ascii="Arial" w:hAnsi="Arial" w:eastAsia="宋体"/>
      <w:sz w:val="24"/>
      <w:lang w:val="en-US" w:eastAsia="zh-CN" w:bidi="ar-SA"/>
    </w:rPr>
  </w:style>
  <w:style w:type="paragraph" w:customStyle="1" w:styleId="112">
    <w:name w:val="标题4"/>
    <w:basedOn w:val="1"/>
    <w:qFormat/>
    <w:uiPriority w:val="0"/>
    <w:pPr>
      <w:numPr>
        <w:ilvl w:val="0"/>
        <w:numId w:val="5"/>
      </w:numPr>
    </w:pPr>
  </w:style>
  <w:style w:type="paragraph" w:customStyle="1" w:styleId="113">
    <w:name w:val="插图题注"/>
    <w:basedOn w:val="1"/>
    <w:qFormat/>
    <w:uiPriority w:val="0"/>
  </w:style>
  <w:style w:type="paragraph" w:customStyle="1" w:styleId="114">
    <w:name w:val="表格题注"/>
    <w:basedOn w:val="1"/>
    <w:qFormat/>
    <w:uiPriority w:val="0"/>
  </w:style>
  <w:style w:type="character" w:customStyle="1" w:styleId="115">
    <w:name w:val="TH Char"/>
    <w:link w:val="61"/>
    <w:qFormat/>
    <w:uiPriority w:val="0"/>
    <w:rPr>
      <w:rFonts w:ascii="Arial" w:hAnsi="Arial" w:eastAsia="宋体"/>
      <w:b/>
      <w:lang w:val="en-GB" w:eastAsia="en-US" w:bidi="ar-SA"/>
    </w:rPr>
  </w:style>
  <w:style w:type="paragraph" w:customStyle="1" w:styleId="116">
    <w:name w:val="Char Char"/>
    <w:semiHidden/>
    <w:qFormat/>
    <w:uiPriority w:val="0"/>
    <w:pPr>
      <w:keepNext/>
      <w:numPr>
        <w:ilvl w:val="0"/>
        <w:numId w:val="6"/>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17">
    <w:name w:val="Char Char1 Char Char Char Char"/>
    <w:semiHidden/>
    <w:qFormat/>
    <w:uiPriority w:val="0"/>
    <w:pPr>
      <w:keepNext/>
      <w:tabs>
        <w:tab w:val="left" w:pos="432"/>
      </w:tabs>
      <w:autoSpaceDE w:val="0"/>
      <w:autoSpaceDN w:val="0"/>
      <w:adjustRightInd w:val="0"/>
      <w:spacing w:before="60" w:after="60" w:line="259" w:lineRule="auto"/>
      <w:ind w:left="432" w:hanging="432"/>
      <w:jc w:val="both"/>
    </w:pPr>
    <w:rPr>
      <w:rFonts w:ascii="Arial" w:hAnsi="Arial" w:eastAsia="宋体" w:cs="Arial"/>
      <w:color w:val="0000FF"/>
      <w:kern w:val="2"/>
      <w:sz w:val="21"/>
      <w:szCs w:val="24"/>
      <w:lang w:val="en-US" w:eastAsia="zh-CN" w:bidi="ar-SA"/>
    </w:rPr>
  </w:style>
  <w:style w:type="paragraph" w:customStyle="1" w:styleId="118">
    <w:name w:val="样式1"/>
    <w:basedOn w:val="1"/>
    <w:qFormat/>
    <w:uiPriority w:val="0"/>
  </w:style>
  <w:style w:type="character" w:customStyle="1" w:styleId="119">
    <w:name w:val="Heading 2 Char"/>
    <w:link w:val="3"/>
    <w:qFormat/>
    <w:uiPriority w:val="0"/>
    <w:rPr>
      <w:rFonts w:ascii="Arial" w:hAnsi="Arial" w:eastAsia="宋体"/>
      <w:sz w:val="28"/>
      <w:lang w:val="en-GB" w:eastAsia="en-US"/>
    </w:rPr>
  </w:style>
  <w:style w:type="paragraph" w:customStyle="1" w:styleId="120">
    <w:name w:val="Char Char1 Char Char Char Char1 Char Char Char Char"/>
    <w:basedOn w:val="1"/>
    <w:qFormat/>
    <w:uiPriority w:val="0"/>
    <w:pPr>
      <w:widowControl w:val="0"/>
      <w:spacing w:after="0"/>
      <w:jc w:val="both"/>
    </w:pPr>
    <w:rPr>
      <w:rFonts w:eastAsia="Times New Roman"/>
      <w:kern w:val="2"/>
      <w:lang w:eastAsia="zh-CN"/>
    </w:rPr>
  </w:style>
  <w:style w:type="paragraph" w:customStyle="1" w:styleId="121">
    <w:name w:val="Char Char Char Char Char Char Char Char Char Char Char Char Char Char"/>
    <w:basedOn w:val="27"/>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22">
    <w:name w:val="(文字) (文字)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23">
    <w:name w:val="yinbiao"/>
    <w:basedOn w:val="48"/>
    <w:qFormat/>
    <w:uiPriority w:val="0"/>
  </w:style>
  <w:style w:type="character" w:customStyle="1" w:styleId="124">
    <w:name w:val="textbodybold1"/>
    <w:qFormat/>
    <w:uiPriority w:val="0"/>
    <w:rPr>
      <w:rFonts w:hint="default" w:ascii="Arial" w:hAnsi="Arial" w:eastAsia="宋体" w:cs="Arial"/>
      <w:b/>
      <w:bCs/>
      <w:color w:val="902630"/>
      <w:sz w:val="18"/>
      <w:szCs w:val="18"/>
      <w:lang w:val="en-US" w:eastAsia="zh-CN" w:bidi="ar-SA"/>
    </w:rPr>
  </w:style>
  <w:style w:type="paragraph" w:styleId="125">
    <w:name w:val="List Paragraph"/>
    <w:basedOn w:val="1"/>
    <w:link w:val="174"/>
    <w:qFormat/>
    <w:uiPriority w:val="34"/>
    <w:pPr>
      <w:spacing w:after="200" w:line="276" w:lineRule="auto"/>
      <w:ind w:left="720"/>
      <w:contextualSpacing/>
    </w:pPr>
    <w:rPr>
      <w:rFonts w:ascii="Batang" w:hAnsi="Batang" w:eastAsia="Batang"/>
      <w:sz w:val="22"/>
      <w:szCs w:val="22"/>
      <w:lang w:val="en-US"/>
    </w:rPr>
  </w:style>
  <w:style w:type="character" w:customStyle="1" w:styleId="126">
    <w:name w:val="stc_en_txt1"/>
    <w:qFormat/>
    <w:uiPriority w:val="0"/>
    <w:rPr>
      <w:rFonts w:eastAsia="宋体"/>
      <w:color w:val="545454"/>
      <w:sz w:val="25"/>
      <w:szCs w:val="25"/>
      <w:lang w:val="en-US" w:eastAsia="zh-CN" w:bidi="ar-SA"/>
    </w:rPr>
  </w:style>
  <w:style w:type="paragraph" w:customStyle="1" w:styleId="127">
    <w:name w:val="Doc-text2"/>
    <w:basedOn w:val="1"/>
    <w:link w:val="128"/>
    <w:qFormat/>
    <w:uiPriority w:val="0"/>
    <w:pPr>
      <w:tabs>
        <w:tab w:val="left" w:pos="1622"/>
      </w:tabs>
      <w:spacing w:after="0"/>
      <w:ind w:left="1622" w:hanging="363"/>
    </w:pPr>
    <w:rPr>
      <w:rFonts w:ascii="Arial" w:hAnsi="Arial"/>
      <w:szCs w:val="24"/>
      <w:lang w:eastAsia="en-GB"/>
    </w:rPr>
  </w:style>
  <w:style w:type="character" w:customStyle="1" w:styleId="128">
    <w:name w:val="Doc-text2 Char"/>
    <w:link w:val="127"/>
    <w:qFormat/>
    <w:uiPriority w:val="0"/>
    <w:rPr>
      <w:rFonts w:ascii="Arial" w:hAnsi="Arial" w:eastAsia="宋体"/>
      <w:szCs w:val="24"/>
      <w:lang w:val="en-GB" w:eastAsia="en-GB" w:bidi="ar-SA"/>
    </w:rPr>
  </w:style>
  <w:style w:type="character" w:customStyle="1" w:styleId="129">
    <w:name w:val="trans"/>
    <w:basedOn w:val="48"/>
    <w:qFormat/>
    <w:uiPriority w:val="0"/>
  </w:style>
  <w:style w:type="paragraph" w:customStyle="1" w:styleId="130">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31">
    <w:name w:val="st1"/>
    <w:basedOn w:val="48"/>
    <w:qFormat/>
    <w:uiPriority w:val="0"/>
  </w:style>
  <w:style w:type="character" w:customStyle="1" w:styleId="132">
    <w:name w:val="B1 Zchn"/>
    <w:qFormat/>
    <w:uiPriority w:val="0"/>
    <w:rPr>
      <w:rFonts w:ascii="Arial" w:hAnsi="Arial" w:eastAsia="MS LineDraw" w:cs="Arial"/>
      <w:color w:val="0000FF"/>
      <w:kern w:val="2"/>
      <w:lang w:val="en-GB" w:eastAsia="en-US" w:bidi="ar-SA"/>
    </w:rPr>
  </w:style>
  <w:style w:type="character" w:customStyle="1" w:styleId="133">
    <w:name w:val="Comment Text Char"/>
    <w:link w:val="28"/>
    <w:qFormat/>
    <w:uiPriority w:val="0"/>
    <w:rPr>
      <w:rFonts w:eastAsia="宋体"/>
      <w:lang w:val="en-GB" w:eastAsia="en-US" w:bidi="ar-SA"/>
    </w:rPr>
  </w:style>
  <w:style w:type="paragraph" w:customStyle="1" w:styleId="134">
    <w:name w:val="Proposal"/>
    <w:basedOn w:val="1"/>
    <w:link w:val="149"/>
    <w:qFormat/>
    <w:uiPriority w:val="0"/>
    <w:pPr>
      <w:numPr>
        <w:ilvl w:val="0"/>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135">
    <w:name w:val="im-content2"/>
    <w:qFormat/>
    <w:uiPriority w:val="0"/>
    <w:rPr>
      <w:rFonts w:eastAsia="宋体"/>
      <w:color w:val="333333"/>
      <w:lang w:val="en-US" w:eastAsia="zh-CN" w:bidi="ar-SA"/>
    </w:rPr>
  </w:style>
  <w:style w:type="character" w:customStyle="1" w:styleId="136">
    <w:name w:val="im-content1"/>
    <w:qFormat/>
    <w:uiPriority w:val="0"/>
    <w:rPr>
      <w:rFonts w:eastAsia="宋体"/>
      <w:color w:val="333333"/>
      <w:lang w:val="en-US" w:eastAsia="zh-CN" w:bidi="ar-SA"/>
    </w:rPr>
  </w:style>
  <w:style w:type="paragraph" w:customStyle="1" w:styleId="137">
    <w:name w:val="B3"/>
    <w:basedOn w:val="12"/>
    <w:link w:val="138"/>
    <w:qFormat/>
    <w:uiPriority w:val="0"/>
    <w:pPr>
      <w:ind w:hanging="284"/>
    </w:pPr>
  </w:style>
  <w:style w:type="character" w:customStyle="1" w:styleId="138">
    <w:name w:val="B3 Char2"/>
    <w:link w:val="137"/>
    <w:qFormat/>
    <w:uiPriority w:val="0"/>
    <w:rPr>
      <w:rFonts w:eastAsia="宋体"/>
      <w:lang w:val="en-GB" w:eastAsia="en-US" w:bidi="ar-SA"/>
    </w:rPr>
  </w:style>
  <w:style w:type="character" w:customStyle="1" w:styleId="139">
    <w:name w:val="TF Zchn"/>
    <w:link w:val="60"/>
    <w:qFormat/>
    <w:locked/>
    <w:uiPriority w:val="0"/>
    <w:rPr>
      <w:rFonts w:ascii="Arial" w:hAnsi="Arial" w:eastAsia="宋体"/>
      <w:b/>
      <w:lang w:val="en-GB" w:eastAsia="en-US"/>
    </w:rPr>
  </w:style>
  <w:style w:type="character" w:customStyle="1" w:styleId="140">
    <w:name w:val="Header Char"/>
    <w:link w:val="33"/>
    <w:qFormat/>
    <w:uiPriority w:val="9"/>
    <w:rPr>
      <w:rFonts w:ascii="Arial" w:hAnsi="Arial"/>
      <w:b/>
      <w:sz w:val="18"/>
      <w:lang w:val="en-GB" w:eastAsia="en-US" w:bidi="ar-SA"/>
    </w:rPr>
  </w:style>
  <w:style w:type="paragraph" w:customStyle="1" w:styleId="141">
    <w:name w:val="Observation"/>
    <w:basedOn w:val="134"/>
    <w:link w:val="183"/>
    <w:qFormat/>
    <w:uiPriority w:val="0"/>
    <w:pPr>
      <w:numPr>
        <w:ilvl w:val="0"/>
        <w:numId w:val="8"/>
      </w:numPr>
      <w:ind w:left="1701" w:hanging="1701"/>
    </w:pPr>
  </w:style>
  <w:style w:type="table" w:customStyle="1" w:styleId="142">
    <w:name w:val="中等深浅底纹 2 - 强调文字颜色 11"/>
    <w:basedOn w:val="43"/>
    <w:qFormat/>
    <w:uiPriority w:val="64"/>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F81BD"/>
      </w:tcPr>
    </w:tblStylePr>
    <w:tblStylePr w:type="lastCol">
      <w:rPr>
        <w:b/>
        <w:bCs/>
        <w:color w:val="FFFFFF"/>
      </w:rPr>
      <w:tcPr>
        <w:tcBorders>
          <w:left w:val="nil"/>
          <w:right w:val="nil"/>
          <w:insideH w:val="nil"/>
          <w:insideV w:val="nil"/>
        </w:tcBorders>
        <w:shd w:val="clear" w:color="auto" w:fill="4F81BD"/>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paragraph" w:customStyle="1" w:styleId="143">
    <w:name w:val="References"/>
    <w:basedOn w:val="1"/>
    <w:qFormat/>
    <w:uiPriority w:val="0"/>
    <w:pPr>
      <w:numPr>
        <w:ilvl w:val="0"/>
        <w:numId w:val="9"/>
      </w:numPr>
      <w:autoSpaceDE w:val="0"/>
      <w:autoSpaceDN w:val="0"/>
      <w:snapToGrid w:val="0"/>
      <w:spacing w:after="60"/>
      <w:jc w:val="both"/>
    </w:pPr>
    <w:rPr>
      <w:szCs w:val="16"/>
      <w:lang w:val="en-US"/>
    </w:rPr>
  </w:style>
  <w:style w:type="character" w:customStyle="1" w:styleId="144">
    <w:name w:val="TF Char"/>
    <w:qFormat/>
    <w:uiPriority w:val="0"/>
    <w:rPr>
      <w:rFonts w:ascii="Arial" w:hAnsi="Arial" w:eastAsia="宋体"/>
      <w:b/>
      <w:lang w:val="en-GB" w:eastAsia="en-US" w:bidi="ar-SA"/>
    </w:rPr>
  </w:style>
  <w:style w:type="character" w:customStyle="1" w:styleId="145">
    <w:name w:val="Body Text Char"/>
    <w:link w:val="29"/>
    <w:qFormat/>
    <w:uiPriority w:val="0"/>
    <w:rPr>
      <w:rFonts w:eastAsia="宋体"/>
      <w:szCs w:val="24"/>
      <w:lang w:val="en-US" w:eastAsia="en-US" w:bidi="ar-SA"/>
    </w:rPr>
  </w:style>
  <w:style w:type="paragraph" w:customStyle="1" w:styleId="146">
    <w:name w:val="Char Char Char Char Char Char Char Char Char Char Char Char Char Char1 Char Char Char Char Char Char Char Char"/>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eastAsia="宋体" w:cs="Arial"/>
      <w:color w:val="0000FF"/>
      <w:kern w:val="2"/>
      <w:lang w:val="en-US" w:eastAsia="zh-CN" w:bidi="ar-SA"/>
    </w:rPr>
  </w:style>
  <w:style w:type="character" w:customStyle="1" w:styleId="147">
    <w:name w:val="high-light-bg4"/>
    <w:basedOn w:val="48"/>
    <w:qFormat/>
    <w:uiPriority w:val="0"/>
  </w:style>
  <w:style w:type="character" w:customStyle="1" w:styleId="148">
    <w:name w:val="B1 Char"/>
    <w:qFormat/>
    <w:uiPriority w:val="0"/>
    <w:rPr>
      <w:rFonts w:eastAsia="宋体"/>
      <w:lang w:val="en-GB" w:eastAsia="ja-JP" w:bidi="ar-SA"/>
    </w:rPr>
  </w:style>
  <w:style w:type="character" w:customStyle="1" w:styleId="149">
    <w:name w:val="Proposal Char"/>
    <w:link w:val="134"/>
    <w:qFormat/>
    <w:uiPriority w:val="0"/>
    <w:rPr>
      <w:rFonts w:ascii="Arial" w:hAnsi="Arial" w:eastAsia="宋体"/>
      <w:b/>
      <w:bCs/>
      <w:lang w:val="en-GB" w:eastAsia="en-US"/>
    </w:rPr>
  </w:style>
  <w:style w:type="paragraph" w:customStyle="1" w:styleId="150">
    <w:name w:val="ordinary-output"/>
    <w:basedOn w:val="1"/>
    <w:qFormat/>
    <w:uiPriority w:val="0"/>
    <w:pPr>
      <w:spacing w:before="100" w:beforeAutospacing="1" w:after="100" w:afterAutospacing="1" w:line="275" w:lineRule="atLeast"/>
    </w:pPr>
    <w:rPr>
      <w:rFonts w:ascii="宋体" w:hAnsi="宋体" w:cs="宋体"/>
      <w:color w:val="333333"/>
      <w:lang w:val="en-US" w:eastAsia="zh-CN"/>
    </w:rPr>
  </w:style>
  <w:style w:type="character" w:customStyle="1" w:styleId="151">
    <w:name w:val="edited2"/>
    <w:basedOn w:val="48"/>
    <w:qFormat/>
    <w:uiPriority w:val="0"/>
  </w:style>
  <w:style w:type="paragraph" w:customStyle="1" w:styleId="152">
    <w:name w:val="Guidance"/>
    <w:basedOn w:val="1"/>
    <w:qFormat/>
    <w:uiPriority w:val="0"/>
    <w:rPr>
      <w:rFonts w:eastAsia="MS LineDraw"/>
      <w:i/>
      <w:color w:val="0000FF"/>
    </w:rPr>
  </w:style>
  <w:style w:type="paragraph" w:customStyle="1" w:styleId="153">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Times New Roman"/>
      <w:b/>
      <w:sz w:val="24"/>
      <w:lang w:eastAsia="zh-CN"/>
    </w:rPr>
  </w:style>
  <w:style w:type="paragraph" w:customStyle="1" w:styleId="154">
    <w:name w:val="DocInfo"/>
    <w:basedOn w:val="1"/>
    <w:qFormat/>
    <w:uiPriority w:val="0"/>
    <w:pPr>
      <w:tabs>
        <w:tab w:val="left" w:pos="2160"/>
      </w:tabs>
      <w:spacing w:before="120" w:after="120"/>
    </w:pPr>
    <w:rPr>
      <w:sz w:val="28"/>
      <w:szCs w:val="28"/>
    </w:rPr>
  </w:style>
  <w:style w:type="paragraph" w:customStyle="1" w:styleId="155">
    <w:name w:val="B2"/>
    <w:basedOn w:val="1"/>
    <w:link w:val="156"/>
    <w:qFormat/>
    <w:uiPriority w:val="0"/>
    <w:pPr>
      <w:ind w:left="851" w:hanging="284"/>
    </w:pPr>
    <w:rPr>
      <w:rFonts w:eastAsia="Wingdings"/>
    </w:rPr>
  </w:style>
  <w:style w:type="character" w:customStyle="1" w:styleId="156">
    <w:name w:val="B2 Car"/>
    <w:link w:val="155"/>
    <w:qFormat/>
    <w:uiPriority w:val="0"/>
    <w:rPr>
      <w:rFonts w:eastAsia="Wingdings"/>
      <w:lang w:val="en-GB" w:eastAsia="en-US"/>
    </w:rPr>
  </w:style>
  <w:style w:type="character" w:customStyle="1" w:styleId="157">
    <w:name w:val="B3 Char"/>
    <w:qFormat/>
    <w:uiPriority w:val="0"/>
    <w:rPr>
      <w:lang w:val="en-GB" w:eastAsia="en-US"/>
    </w:rPr>
  </w:style>
  <w:style w:type="character" w:customStyle="1" w:styleId="158">
    <w:name w:val="B2 Char"/>
    <w:qFormat/>
    <w:uiPriority w:val="0"/>
    <w:rPr>
      <w:lang w:val="en-GB" w:eastAsia="en-US"/>
    </w:rPr>
  </w:style>
  <w:style w:type="character" w:customStyle="1" w:styleId="159">
    <w:name w:val="Title Char"/>
    <w:link w:val="41"/>
    <w:qFormat/>
    <w:uiPriority w:val="0"/>
    <w:rPr>
      <w:rFonts w:ascii="CG Times (WN)" w:hAnsi="CG Times (WN)" w:eastAsia="宋体" w:cs="Times New Roman"/>
      <w:b/>
      <w:bCs/>
      <w:kern w:val="28"/>
      <w:sz w:val="32"/>
      <w:szCs w:val="32"/>
      <w:lang w:val="en-GB" w:eastAsia="en-US" w:bidi="ar-SA"/>
    </w:rPr>
  </w:style>
  <w:style w:type="character" w:customStyle="1" w:styleId="160">
    <w:name w:val="TAH Car"/>
    <w:link w:val="57"/>
    <w:qFormat/>
    <w:locked/>
    <w:uiPriority w:val="0"/>
    <w:rPr>
      <w:rFonts w:ascii="Arial" w:hAnsi="Arial" w:eastAsia="宋体"/>
      <w:b/>
      <w:sz w:val="18"/>
      <w:lang w:val="en-GB" w:eastAsia="en-US"/>
    </w:rPr>
  </w:style>
  <w:style w:type="paragraph" w:customStyle="1" w:styleId="161">
    <w:name w:val="ComeBack"/>
    <w:basedOn w:val="127"/>
    <w:next w:val="127"/>
    <w:qFormat/>
    <w:uiPriority w:val="0"/>
    <w:pPr>
      <w:numPr>
        <w:ilvl w:val="0"/>
        <w:numId w:val="10"/>
      </w:numPr>
      <w:tabs>
        <w:tab w:val="clear" w:pos="1622"/>
      </w:tabs>
    </w:pPr>
    <w:rPr>
      <w:rFonts w:eastAsia="Times New Roman" w:cs="Arial"/>
    </w:rPr>
  </w:style>
  <w:style w:type="character" w:customStyle="1" w:styleId="162">
    <w:name w:val="TAC Char"/>
    <w:link w:val="58"/>
    <w:qFormat/>
    <w:locked/>
    <w:uiPriority w:val="0"/>
    <w:rPr>
      <w:rFonts w:ascii="Arial" w:hAnsi="Arial" w:eastAsia="宋体"/>
      <w:sz w:val="18"/>
      <w:lang w:val="en-GB" w:eastAsia="en-US"/>
    </w:rPr>
  </w:style>
  <w:style w:type="character" w:customStyle="1" w:styleId="163">
    <w:name w:val="CR Cover Page Zchn"/>
    <w:link w:val="93"/>
    <w:qFormat/>
    <w:uiPriority w:val="0"/>
    <w:rPr>
      <w:rFonts w:ascii="Arial" w:hAnsi="Arial"/>
      <w:lang w:val="en-GB" w:eastAsia="en-US"/>
    </w:rPr>
  </w:style>
  <w:style w:type="paragraph" w:customStyle="1" w:styleId="164">
    <w:name w:val="Agreement"/>
    <w:basedOn w:val="1"/>
    <w:next w:val="1"/>
    <w:qFormat/>
    <w:uiPriority w:val="0"/>
    <w:pPr>
      <w:numPr>
        <w:ilvl w:val="0"/>
        <w:numId w:val="11"/>
      </w:numPr>
      <w:spacing w:before="60" w:after="0"/>
    </w:pPr>
    <w:rPr>
      <w:rFonts w:ascii="Arial" w:hAnsi="Arial" w:eastAsia="MS Mincho"/>
      <w:b/>
      <w:szCs w:val="24"/>
      <w:lang w:eastAsia="en-GB"/>
    </w:rPr>
  </w:style>
  <w:style w:type="character" w:customStyle="1" w:styleId="165">
    <w:name w:val="Caption Char"/>
    <w:link w:val="25"/>
    <w:qFormat/>
    <w:uiPriority w:val="99"/>
    <w:rPr>
      <w:b/>
      <w:lang w:eastAsia="en-US"/>
    </w:rPr>
  </w:style>
  <w:style w:type="character" w:customStyle="1" w:styleId="166">
    <w:name w:val="NO Char1"/>
    <w:qFormat/>
    <w:uiPriority w:val="0"/>
    <w:rPr>
      <w:rFonts w:eastAsia="MS Mincho"/>
      <w:lang w:val="en-GB" w:eastAsia="en-US" w:bidi="ar-SA"/>
    </w:rPr>
  </w:style>
  <w:style w:type="paragraph" w:customStyle="1" w:styleId="16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zh-CN" w:bidi="ar-SA"/>
    </w:rPr>
  </w:style>
  <w:style w:type="character" w:customStyle="1" w:styleId="168">
    <w:name w:val="B2 Char1"/>
    <w:qFormat/>
    <w:uiPriority w:val="0"/>
    <w:rPr>
      <w:lang w:val="en-GB"/>
    </w:rPr>
  </w:style>
  <w:style w:type="character" w:customStyle="1" w:styleId="169">
    <w:name w:val="TAN Char"/>
    <w:basedOn w:val="99"/>
    <w:link w:val="75"/>
    <w:qFormat/>
    <w:uiPriority w:val="0"/>
    <w:rPr>
      <w:rFonts w:ascii="Arial" w:hAnsi="Arial" w:eastAsia="宋体"/>
      <w:sz w:val="18"/>
      <w:lang w:val="en-GB" w:eastAsia="en-US" w:bidi="ar-SA"/>
    </w:rPr>
  </w:style>
  <w:style w:type="character" w:customStyle="1" w:styleId="170">
    <w:name w:val="NO Zchn"/>
    <w:qFormat/>
    <w:uiPriority w:val="0"/>
    <w:rPr>
      <w:lang w:eastAsia="en-US"/>
    </w:rPr>
  </w:style>
  <w:style w:type="paragraph" w:customStyle="1" w:styleId="171">
    <w:name w:val="Comments"/>
    <w:basedOn w:val="1"/>
    <w:link w:val="172"/>
    <w:qFormat/>
    <w:uiPriority w:val="0"/>
    <w:pPr>
      <w:spacing w:before="40" w:after="0"/>
    </w:pPr>
    <w:rPr>
      <w:rFonts w:ascii="Arial" w:hAnsi="Arial" w:eastAsia="MS Mincho"/>
      <w:i/>
      <w:sz w:val="18"/>
      <w:szCs w:val="24"/>
      <w:lang w:eastAsia="en-GB"/>
    </w:rPr>
  </w:style>
  <w:style w:type="character" w:customStyle="1" w:styleId="172">
    <w:name w:val="Comments Char"/>
    <w:link w:val="171"/>
    <w:qFormat/>
    <w:uiPriority w:val="0"/>
    <w:rPr>
      <w:rFonts w:ascii="Arial" w:hAnsi="Arial" w:eastAsia="MS Mincho"/>
      <w:i/>
      <w:sz w:val="18"/>
      <w:szCs w:val="24"/>
      <w:lang w:val="en-GB" w:eastAsia="en-GB"/>
    </w:rPr>
  </w:style>
  <w:style w:type="character" w:customStyle="1" w:styleId="173">
    <w:name w:val="apple-converted-space"/>
    <w:basedOn w:val="48"/>
    <w:qFormat/>
    <w:uiPriority w:val="0"/>
  </w:style>
  <w:style w:type="character" w:customStyle="1" w:styleId="174">
    <w:name w:val="List Paragraph Char"/>
    <w:link w:val="125"/>
    <w:qFormat/>
    <w:locked/>
    <w:uiPriority w:val="34"/>
    <w:rPr>
      <w:rFonts w:ascii="Batang" w:hAnsi="Batang" w:eastAsia="Batang"/>
      <w:sz w:val="22"/>
      <w:szCs w:val="22"/>
      <w:lang w:eastAsia="en-US"/>
    </w:rPr>
  </w:style>
  <w:style w:type="paragraph" w:customStyle="1" w:styleId="175">
    <w:name w:val="Doc-title"/>
    <w:basedOn w:val="1"/>
    <w:next w:val="127"/>
    <w:link w:val="176"/>
    <w:qFormat/>
    <w:uiPriority w:val="0"/>
    <w:pPr>
      <w:spacing w:before="60" w:after="0"/>
      <w:ind w:left="1259" w:hanging="1259"/>
    </w:pPr>
    <w:rPr>
      <w:rFonts w:ascii="Arial" w:hAnsi="Arial" w:eastAsia="MS Mincho"/>
      <w:szCs w:val="24"/>
      <w:lang w:eastAsia="en-GB"/>
    </w:rPr>
  </w:style>
  <w:style w:type="character" w:customStyle="1" w:styleId="176">
    <w:name w:val="Doc-title Char"/>
    <w:link w:val="175"/>
    <w:qFormat/>
    <w:uiPriority w:val="0"/>
    <w:rPr>
      <w:rFonts w:ascii="Arial" w:hAnsi="Arial" w:eastAsia="MS Mincho"/>
      <w:szCs w:val="24"/>
      <w:lang w:val="en-GB" w:eastAsia="en-GB"/>
    </w:rPr>
  </w:style>
  <w:style w:type="character" w:customStyle="1" w:styleId="177">
    <w:name w:val="Heading 3 Char"/>
    <w:link w:val="4"/>
    <w:qFormat/>
    <w:uiPriority w:val="0"/>
    <w:rPr>
      <w:rFonts w:ascii="Arial" w:hAnsi="Arial"/>
      <w:sz w:val="28"/>
      <w:lang w:val="en-GB" w:eastAsia="en-US"/>
    </w:rPr>
  </w:style>
  <w:style w:type="paragraph" w:customStyle="1" w:styleId="178">
    <w:name w:val="EmailDiscussion"/>
    <w:basedOn w:val="1"/>
    <w:next w:val="127"/>
    <w:link w:val="180"/>
    <w:qFormat/>
    <w:uiPriority w:val="0"/>
    <w:pPr>
      <w:numPr>
        <w:ilvl w:val="0"/>
        <w:numId w:val="12"/>
      </w:numPr>
      <w:spacing w:before="40" w:after="0"/>
    </w:pPr>
    <w:rPr>
      <w:rFonts w:ascii="Arial" w:hAnsi="Arial" w:eastAsia="MS Mincho"/>
      <w:b/>
      <w:szCs w:val="24"/>
      <w:lang w:eastAsia="en-GB"/>
    </w:rPr>
  </w:style>
  <w:style w:type="paragraph" w:customStyle="1" w:styleId="179">
    <w:name w:val="EmailDiscussion2"/>
    <w:basedOn w:val="127"/>
    <w:qFormat/>
    <w:uiPriority w:val="0"/>
    <w:pPr>
      <w:ind w:left="1710" w:firstLine="0"/>
    </w:pPr>
    <w:rPr>
      <w:rFonts w:eastAsia="MS Mincho"/>
    </w:rPr>
  </w:style>
  <w:style w:type="character" w:customStyle="1" w:styleId="180">
    <w:name w:val="EmailDiscussion Char"/>
    <w:link w:val="178"/>
    <w:qFormat/>
    <w:uiPriority w:val="0"/>
    <w:rPr>
      <w:rFonts w:ascii="Arial" w:hAnsi="Arial" w:eastAsia="MS Mincho"/>
      <w:b/>
      <w:szCs w:val="24"/>
      <w:lang w:val="en-GB" w:eastAsia="en-GB"/>
    </w:rPr>
  </w:style>
  <w:style w:type="paragraph" w:customStyle="1" w:styleId="181">
    <w:name w:val="修订2"/>
    <w:hidden/>
    <w:semiHidden/>
    <w:qFormat/>
    <w:uiPriority w:val="99"/>
    <w:rPr>
      <w:rFonts w:ascii="Times New Roman" w:hAnsi="Times New Roman" w:eastAsia="宋体" w:cs="Times New Roman"/>
      <w:lang w:val="en-GB" w:eastAsia="en-US" w:bidi="ar-SA"/>
    </w:rPr>
  </w:style>
  <w:style w:type="character" w:customStyle="1" w:styleId="182">
    <w:name w:val="Reference Char"/>
    <w:link w:val="70"/>
    <w:qFormat/>
    <w:uiPriority w:val="0"/>
    <w:rPr>
      <w:rFonts w:eastAsia="宋体"/>
      <w:sz w:val="22"/>
      <w:lang w:val="en-GB"/>
    </w:rPr>
  </w:style>
  <w:style w:type="character" w:customStyle="1" w:styleId="183">
    <w:name w:val="Observation Char"/>
    <w:link w:val="141"/>
    <w:qFormat/>
    <w:uiPriority w:val="0"/>
    <w:rPr>
      <w:rFonts w:ascii="Arial" w:hAnsi="Arial" w:eastAsia="宋体"/>
      <w:b/>
      <w:bCs/>
      <w:lang w:val="en-GB" w:eastAsia="en-US"/>
    </w:rPr>
  </w:style>
  <w:style w:type="paragraph" w:customStyle="1" w:styleId="184">
    <w:name w:val="Revision"/>
    <w:hidden/>
    <w:unhideWhenUsed/>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795C5-3F8F-4ED2-AD55-E6055280E73D}">
  <ds:schemaRefs/>
</ds:datastoreItem>
</file>

<file path=customXml/itemProps2.xml><?xml version="1.0" encoding="utf-8"?>
<ds:datastoreItem xmlns:ds="http://schemas.openxmlformats.org/officeDocument/2006/customXml" ds:itemID="{6CEDE49F-4C5C-4D98-9D91-77A707BFF936}">
  <ds:schemaRefs/>
</ds:datastoreItem>
</file>

<file path=customXml/itemProps3.xml><?xml version="1.0" encoding="utf-8"?>
<ds:datastoreItem xmlns:ds="http://schemas.openxmlformats.org/officeDocument/2006/customXml" ds:itemID="{BFFD1786-C14B-4D49-8FCB-403435AD4433}">
  <ds:schemaRefs/>
</ds:datastoreItem>
</file>

<file path=customXml/itemProps4.xml><?xml version="1.0" encoding="utf-8"?>
<ds:datastoreItem xmlns:ds="http://schemas.openxmlformats.org/officeDocument/2006/customXml" ds:itemID="{C518F66E-A724-43F6-BC3F-B8DF80C6F7FC}">
  <ds:schemaRefs/>
</ds:datastoreItem>
</file>

<file path=docProps/app.xml><?xml version="1.0" encoding="utf-8"?>
<Properties xmlns="http://schemas.openxmlformats.org/officeDocument/2006/extended-properties" xmlns:vt="http://schemas.openxmlformats.org/officeDocument/2006/docPropsVTypes">
  <Template>C:\Users\cmcc\Documents\project\RAN2\min\文稿模板\</Template>
  <Company>Huawei Technologies Co.,Ltd.</Company>
  <Pages>16</Pages>
  <Words>3513</Words>
  <Characters>20025</Characters>
  <Lines>166</Lines>
  <Paragraphs>46</Paragraphs>
  <TotalTime>2</TotalTime>
  <ScaleCrop>false</ScaleCrop>
  <LinksUpToDate>false</LinksUpToDate>
  <CharactersWithSpaces>23492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2023-10-19T01:59:00Z</dcterms:created>
  <dc:creator>cmcc</dc:creator>
  <cp:lastModifiedBy>Chail</cp:lastModifiedBy>
  <cp:lastPrinted>2009-04-22T01:01:00Z</cp:lastPrinted>
  <dcterms:modified xsi:type="dcterms:W3CDTF">2023-10-19T14:59:49Z</dcterms:modified>
  <dc:title>3GPP TSG-RAN WG3</dc:title>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2052-12.1.0.15712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1DE584C0743B4569B553AA13389B4BB1_13</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y fmtid="{D5CDD505-2E9C-101B-9397-08002B2CF9AE}" pid="40" name="MSIP_Label_a7295cc1-d279-42ac-ab4d-3b0f4fece050_Enabled">
    <vt:lpwstr>true</vt:lpwstr>
  </property>
  <property fmtid="{D5CDD505-2E9C-101B-9397-08002B2CF9AE}" pid="41" name="MSIP_Label_a7295cc1-d279-42ac-ab4d-3b0f4fece050_SetDate">
    <vt:lpwstr>2023-07-13T06:40:26Z</vt:lpwstr>
  </property>
  <property fmtid="{D5CDD505-2E9C-101B-9397-08002B2CF9AE}" pid="42" name="MSIP_Label_a7295cc1-d279-42ac-ab4d-3b0f4fece050_Method">
    <vt:lpwstr>Standard</vt:lpwstr>
  </property>
  <property fmtid="{D5CDD505-2E9C-101B-9397-08002B2CF9AE}" pid="43" name="MSIP_Label_a7295cc1-d279-42ac-ab4d-3b0f4fece050_Name">
    <vt:lpwstr>FUJITSU-RESTRICTED​</vt:lpwstr>
  </property>
  <property fmtid="{D5CDD505-2E9C-101B-9397-08002B2CF9AE}" pid="44" name="MSIP_Label_a7295cc1-d279-42ac-ab4d-3b0f4fece050_SiteId">
    <vt:lpwstr>a19f121d-81e1-4858-a9d8-736e267fd4c7</vt:lpwstr>
  </property>
  <property fmtid="{D5CDD505-2E9C-101B-9397-08002B2CF9AE}" pid="45" name="MSIP_Label_a7295cc1-d279-42ac-ab4d-3b0f4fece050_ActionId">
    <vt:lpwstr>1688f91a-891a-40bb-9616-e772f6ee21b7</vt:lpwstr>
  </property>
  <property fmtid="{D5CDD505-2E9C-101B-9397-08002B2CF9AE}" pid="46" name="MSIP_Label_a7295cc1-d279-42ac-ab4d-3b0f4fece050_ContentBits">
    <vt:lpwstr>0</vt:lpwstr>
  </property>
</Properties>
</file>