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835E" w14:textId="36D4A08A" w:rsidR="00B01634" w:rsidRPr="00E56106" w:rsidRDefault="00E56106" w:rsidP="00B01634">
      <w:pPr>
        <w:pStyle w:val="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Malgun Gothic" w:hAnsi="Arial" w:cs="Arial"/>
          <w:lang w:eastAsia="ko-KR"/>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p w14:paraId="33BD5A6A" w14:textId="603427D8" w:rsidR="0027047F" w:rsidRDefault="0027047F" w:rsidP="00B01634">
      <w:pPr>
        <w:rPr>
          <w:rFonts w:ascii="Arial" w:eastAsia="Malgun Gothic" w:hAnsi="Arial" w:cs="Arial"/>
          <w:lang w:eastAsia="ko-KR"/>
        </w:rPr>
      </w:pPr>
      <w:r>
        <w:rPr>
          <w:rFonts w:ascii="Arial" w:eastAsia="Malgun Gothic" w:hAnsi="Arial" w:cs="Arial" w:hint="eastAsia"/>
          <w:lang w:eastAsia="ko-KR"/>
        </w:rPr>
        <w:t xml:space="preserve">Option 1: NOTE based </w:t>
      </w:r>
      <w:proofErr w:type="gramStart"/>
      <w:r>
        <w:rPr>
          <w:rFonts w:ascii="Arial" w:eastAsia="Malgun Gothic" w:hAnsi="Arial" w:cs="Arial" w:hint="eastAsia"/>
          <w:lang w:eastAsia="ko-KR"/>
        </w:rPr>
        <w:t>approach</w:t>
      </w:r>
      <w:proofErr w:type="gramEnd"/>
    </w:p>
    <w:p w14:paraId="4BE9778A" w14:textId="210C7015" w:rsidR="0027047F" w:rsidRPr="0027047F" w:rsidRDefault="0027047F" w:rsidP="00B01634">
      <w:pPr>
        <w:rPr>
          <w:rFonts w:ascii="Arial" w:eastAsia="Malgun Gothic" w:hAnsi="Arial" w:cs="Arial"/>
          <w:lang w:eastAsia="ko-KR"/>
        </w:rPr>
      </w:pPr>
      <w:r>
        <w:rPr>
          <w:rFonts w:ascii="Arial" w:eastAsia="Malgun Gothic" w:hAnsi="Arial" w:cs="Arial"/>
          <w:lang w:eastAsia="ko-KR"/>
        </w:rPr>
        <w:t xml:space="preserve">Option 2: Normative text based </w:t>
      </w:r>
      <w:proofErr w:type="gramStart"/>
      <w:r>
        <w:rPr>
          <w:rFonts w:ascii="Arial" w:eastAsia="Malgun Gothic" w:hAnsi="Arial" w:cs="Arial"/>
          <w:lang w:eastAsia="ko-KR"/>
        </w:rPr>
        <w:t>approach</w:t>
      </w:r>
      <w:proofErr w:type="gramEnd"/>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af6"/>
        <w:tblW w:w="9770" w:type="dxa"/>
        <w:tblLook w:val="04A0" w:firstRow="1" w:lastRow="0" w:firstColumn="1" w:lastColumn="0" w:noHBand="0" w:noVBand="1"/>
      </w:tblPr>
      <w:tblGrid>
        <w:gridCol w:w="2162"/>
        <w:gridCol w:w="2017"/>
        <w:gridCol w:w="5591"/>
      </w:tblGrid>
      <w:tr w:rsidR="00B01634" w:rsidRPr="00973F63" w14:paraId="48E68149" w14:textId="77777777" w:rsidTr="007153E8">
        <w:tc>
          <w:tcPr>
            <w:tcW w:w="2245"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Company</w:t>
            </w:r>
          </w:p>
        </w:tc>
        <w:tc>
          <w:tcPr>
            <w:tcW w:w="1633"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NOTE based approach/Normative </w:t>
            </w:r>
            <w:proofErr w:type="gramStart"/>
            <w:r>
              <w:rPr>
                <w:rFonts w:ascii="Arial" w:eastAsia="等线" w:hAnsi="Arial" w:cs="Arial"/>
                <w:lang w:eastAsia="zh-CN"/>
              </w:rPr>
              <w:t>text based</w:t>
            </w:r>
            <w:proofErr w:type="gramEnd"/>
            <w:r>
              <w:rPr>
                <w:rFonts w:ascii="Arial" w:eastAsia="等线" w:hAnsi="Arial" w:cs="Arial"/>
                <w:lang w:eastAsia="zh-CN"/>
              </w:rPr>
              <w:t xml:space="preserve"> approach</w:t>
            </w:r>
          </w:p>
        </w:tc>
        <w:tc>
          <w:tcPr>
            <w:tcW w:w="5892"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等线" w:hAnsi="Arial" w:cs="Arial"/>
                <w:lang w:val="sv-SE" w:eastAsia="zh-CN"/>
              </w:rPr>
            </w:pPr>
            <w:r w:rsidRPr="00973F63">
              <w:rPr>
                <w:rFonts w:ascii="Arial" w:eastAsia="等线" w:hAnsi="Arial" w:cs="Arial"/>
                <w:lang w:eastAsia="zh-CN"/>
              </w:rPr>
              <w:t>Further comments</w:t>
            </w:r>
          </w:p>
        </w:tc>
      </w:tr>
      <w:tr w:rsidR="00B01634" w:rsidRPr="00973F63" w14:paraId="1A1173CB" w14:textId="77777777" w:rsidTr="007153E8">
        <w:tc>
          <w:tcPr>
            <w:tcW w:w="2245"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LG</w:t>
            </w:r>
            <w:r w:rsidR="004767E5">
              <w:rPr>
                <w:rFonts w:ascii="Arial" w:eastAsia="等线" w:hAnsi="Arial" w:cs="Arial"/>
                <w:lang w:eastAsia="zh-CN"/>
              </w:rPr>
              <w:t xml:space="preserve"> </w:t>
            </w:r>
          </w:p>
        </w:tc>
        <w:tc>
          <w:tcPr>
            <w:tcW w:w="1633" w:type="dxa"/>
          </w:tcPr>
          <w:p w14:paraId="217AE28C" w14:textId="633C32FA" w:rsidR="00B01634" w:rsidRPr="00B01634" w:rsidRDefault="0027047F" w:rsidP="004767E5">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NOTE based approach</w:t>
            </w:r>
            <w:r w:rsidR="00E56106">
              <w:rPr>
                <w:rFonts w:ascii="Arial" w:eastAsia="Malgun Gothic" w:hAnsi="Arial" w:cs="Arial"/>
                <w:lang w:eastAsia="ko-KR"/>
              </w:rPr>
              <w:t xml:space="preserve"> (</w:t>
            </w:r>
            <w:r w:rsidR="00E56106">
              <w:rPr>
                <w:rFonts w:ascii="Arial" w:eastAsia="Malgun Gothic" w:hAnsi="Arial" w:cs="Arial" w:hint="eastAsia"/>
                <w:lang w:eastAsia="ko-KR"/>
              </w:rPr>
              <w:t>Rapp</w:t>
            </w:r>
            <w:r w:rsidR="00E56106">
              <w:rPr>
                <w:rFonts w:ascii="Arial" w:eastAsia="Malgun Gothic" w:hAnsi="Arial" w:cs="Arial"/>
                <w:lang w:eastAsia="ko-KR"/>
              </w:rPr>
              <w:t>)</w:t>
            </w:r>
          </w:p>
        </w:tc>
        <w:tc>
          <w:tcPr>
            <w:tcW w:w="5892"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等线" w:hAnsi="Arial" w:cs="Arial"/>
                <w:lang w:eastAsia="zh-CN"/>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tc>
      </w:tr>
      <w:tr w:rsidR="00B01634" w:rsidRPr="00973F63" w14:paraId="401DAD4E" w14:textId="77777777" w:rsidTr="007153E8">
        <w:tc>
          <w:tcPr>
            <w:tcW w:w="2245" w:type="dxa"/>
          </w:tcPr>
          <w:p w14:paraId="2A93DFA2"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05F70CC4"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71B1768B"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4D8E5816" w14:textId="22E118DD" w:rsidR="00B01634" w:rsidRDefault="00B01634" w:rsidP="00B01634">
      <w:pPr>
        <w:rPr>
          <w:rFonts w:ascii="Arial" w:hAnsi="Arial" w:cs="Arial"/>
          <w:b/>
          <w:lang w:eastAsia="zh-CN"/>
        </w:rPr>
      </w:pPr>
      <w:r w:rsidRPr="00973F63">
        <w:rPr>
          <w:rFonts w:ascii="Arial" w:hAnsi="Arial" w:cs="Arial"/>
          <w:b/>
          <w:lang w:eastAsia="zh-CN"/>
        </w:rPr>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w:t>
      </w:r>
      <w:proofErr w:type="spellStart"/>
      <w:r w:rsidRPr="00632707">
        <w:rPr>
          <w:sz w:val="24"/>
          <w:szCs w:val="24"/>
        </w:rPr>
        <w:t>behavior</w:t>
      </w:r>
      <w:proofErr w:type="spellEnd"/>
      <w:r w:rsidRPr="00632707">
        <w:rPr>
          <w:sz w:val="24"/>
          <w:szCs w:val="24"/>
        </w:rPr>
        <w:t xml:space="preserve"> in which only one resource pool is selected on each SL carrier frequency.</w:t>
      </w:r>
    </w:p>
    <w:p w14:paraId="2BCC4837" w14:textId="0C8EEE8E" w:rsidR="00432A0A" w:rsidRPr="00432A0A" w:rsidRDefault="00432A0A" w:rsidP="00432A0A">
      <w:pPr>
        <w:rPr>
          <w:rFonts w:ascii="Arial" w:eastAsia="Malgun Gothic" w:hAnsi="Arial" w:cs="Arial"/>
          <w:lang w:eastAsia="ko-KR"/>
        </w:rPr>
      </w:pPr>
      <w:r w:rsidRPr="00432A0A">
        <w:rPr>
          <w:rFonts w:ascii="Arial" w:eastAsia="Malgun Gothic" w:hAnsi="Arial" w:cs="Arial"/>
          <w:lang w:eastAsia="ko-KR"/>
        </w:rPr>
        <w:t>I</w:t>
      </w:r>
      <w:r w:rsidRPr="00432A0A">
        <w:rPr>
          <w:rFonts w:ascii="Arial" w:eastAsia="Malgun Gothic" w:hAnsi="Arial" w:cs="Arial" w:hint="eastAsia"/>
          <w:lang w:eastAsia="ko-KR"/>
        </w:rPr>
        <w:t xml:space="preserve">n </w:t>
      </w:r>
      <w:r w:rsidRPr="00432A0A">
        <w:rPr>
          <w:rFonts w:ascii="Arial" w:eastAsia="Malgun Gothic" w:hAnsi="Arial" w:cs="Arial"/>
          <w:lang w:eastAsia="ko-KR"/>
        </w:rPr>
        <w:t>LTE CA, the RRC will indicate the selected pool on each SL carrier configured to the MAC, so that from MAC perspective, there is only one selected pool on each SL carrier frequency</w:t>
      </w:r>
      <w:r>
        <w:rPr>
          <w:rFonts w:ascii="Arial" w:eastAsia="Malgun Gothic" w:hAnsi="Arial" w:cs="Arial"/>
          <w:lang w:eastAsia="ko-KR"/>
        </w:rPr>
        <w:t xml:space="preserve">. </w:t>
      </w:r>
    </w:p>
    <w:p w14:paraId="1510AF73" w14:textId="5F97C14A"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 xml:space="preserve">If the </w:t>
      </w:r>
      <w:proofErr w:type="gramStart"/>
      <w:r w:rsidRPr="00432A0A">
        <w:rPr>
          <w:rFonts w:ascii="Arial" w:eastAsia="Malgun Gothic" w:hAnsi="Arial" w:cs="Arial"/>
          <w:lang w:eastAsia="ko-KR"/>
        </w:rPr>
        <w:t>zone based</w:t>
      </w:r>
      <w:proofErr w:type="gramEnd"/>
      <w:r w:rsidRPr="00432A0A">
        <w:rPr>
          <w:rFonts w:ascii="Arial" w:eastAsia="Malgun Gothic" w:hAnsi="Arial" w:cs="Arial"/>
          <w:lang w:eastAsia="ko-KR"/>
        </w:rPr>
        <w:t xml:space="preserve">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 xml:space="preserve">If the </w:t>
      </w:r>
      <w:proofErr w:type="gramStart"/>
      <w:r w:rsidRPr="00432A0A">
        <w:rPr>
          <w:rFonts w:ascii="Arial" w:eastAsia="Malgun Gothic" w:hAnsi="Arial" w:cs="Arial"/>
          <w:lang w:eastAsia="ko-KR"/>
        </w:rPr>
        <w:t>zone based</w:t>
      </w:r>
      <w:proofErr w:type="gramEnd"/>
      <w:r w:rsidRPr="00432A0A">
        <w:rPr>
          <w:rFonts w:ascii="Arial" w:eastAsia="Malgun Gothic" w:hAnsi="Arial" w:cs="Arial"/>
          <w:lang w:eastAsia="ko-KR"/>
        </w:rPr>
        <w:t xml:space="preserve"> pool selection is not configured, the UE will select a pool on each SL carrier frequency configured based on UE implementation.</w:t>
      </w:r>
    </w:p>
    <w:p w14:paraId="0D855E5F" w14:textId="00A6D3C0" w:rsidR="00452D75" w:rsidRDefault="00452D75" w:rsidP="00432A0A">
      <w:pPr>
        <w:rPr>
          <w:rFonts w:ascii="Arial" w:eastAsia="Malgun Gothic" w:hAnsi="Arial" w:cs="Arial"/>
          <w:lang w:eastAsia="ko-KR"/>
        </w:rPr>
      </w:pPr>
      <w:r w:rsidRPr="00452D75">
        <w:rPr>
          <w:rFonts w:ascii="Arial" w:eastAsia="Malgun Gothic" w:hAnsi="Arial" w:cs="Arial"/>
          <w:lang w:eastAsia="ko-KR"/>
        </w:rPr>
        <w:lastRenderedPageBreak/>
        <w:t xml:space="preserve">According to Rapporteur's understanding of NR </w:t>
      </w:r>
      <w:proofErr w:type="spellStart"/>
      <w:r w:rsidRPr="00452D75">
        <w:rPr>
          <w:rFonts w:ascii="Arial" w:eastAsia="Malgun Gothic" w:hAnsi="Arial" w:cs="Arial"/>
          <w:lang w:eastAsia="ko-KR"/>
        </w:rPr>
        <w:t>sidelink</w:t>
      </w:r>
      <w:proofErr w:type="spellEnd"/>
      <w:r w:rsidRPr="00452D75">
        <w:rPr>
          <w:rFonts w:ascii="Arial" w:eastAsia="Malgun Gothic" w:hAnsi="Arial" w:cs="Arial"/>
          <w:lang w:eastAsia="ko-KR"/>
        </w:rPr>
        <w:t xml:space="preserve"> </w:t>
      </w:r>
      <w:r>
        <w:rPr>
          <w:rFonts w:ascii="Arial" w:eastAsia="Malgun Gothic" w:hAnsi="Arial" w:cs="Arial"/>
          <w:lang w:eastAsia="ko-KR"/>
        </w:rPr>
        <w:t>operation</w:t>
      </w:r>
      <w:r w:rsidRPr="00452D75">
        <w:rPr>
          <w:rFonts w:ascii="Arial" w:eastAsia="Malgun Gothic" w:hAnsi="Arial" w:cs="Arial"/>
          <w:lang w:eastAsia="ko-KR"/>
        </w:rPr>
        <w:t xml:space="preserve">, </w:t>
      </w:r>
      <w:proofErr w:type="gramStart"/>
      <w:r w:rsidRPr="00452D75">
        <w:rPr>
          <w:rFonts w:ascii="Arial" w:eastAsia="Malgun Gothic" w:hAnsi="Arial" w:cs="Arial"/>
          <w:lang w:eastAsia="ko-KR"/>
        </w:rPr>
        <w:t>zone based</w:t>
      </w:r>
      <w:proofErr w:type="gramEnd"/>
      <w:r w:rsidRPr="00452D75">
        <w:rPr>
          <w:rFonts w:ascii="Arial" w:eastAsia="Malgun Gothic" w:hAnsi="Arial" w:cs="Arial"/>
          <w:lang w:eastAsia="ko-KR"/>
        </w:rPr>
        <w:t xml:space="preserve"> pool selection is not supported in NR SL. Additionally, the MAC entity performs a pool selection procedure based on HARQ attribute while considering multiple resource pools </w:t>
      </w:r>
      <w:r>
        <w:rPr>
          <w:rFonts w:ascii="Arial" w:eastAsia="Malgun Gothic" w:hAnsi="Arial" w:cs="Arial"/>
          <w:lang w:eastAsia="ko-KR"/>
        </w:rPr>
        <w:t>configured</w:t>
      </w:r>
      <w:r w:rsidRPr="00452D75">
        <w:rPr>
          <w:rFonts w:ascii="Arial" w:eastAsia="Malgun Gothic" w:hAnsi="Arial" w:cs="Arial"/>
          <w:lang w:eastAsia="ko-KR"/>
        </w:rPr>
        <w:t xml:space="preserve"> in RRC. </w:t>
      </w:r>
      <w:r w:rsidR="00844F37" w:rsidRPr="00844F37">
        <w:rPr>
          <w:rFonts w:ascii="Arial" w:eastAsia="Malgun Gothic"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Malgun Gothic" w:hAnsi="Arial" w:cs="Arial"/>
          <w:lang w:eastAsia="ko-KR"/>
        </w:rPr>
        <w:t xml:space="preserve"> </w:t>
      </w:r>
      <w:proofErr w:type="gramStart"/>
      <w:r w:rsidR="00844F37">
        <w:rPr>
          <w:rFonts w:ascii="Arial" w:eastAsia="Malgun Gothic" w:hAnsi="Arial" w:cs="Arial"/>
          <w:lang w:eastAsia="ko-KR"/>
        </w:rPr>
        <w:t>Rapporteur</w:t>
      </w:r>
      <w:proofErr w:type="gramEnd"/>
      <w:r w:rsidR="00844F37">
        <w:rPr>
          <w:rFonts w:ascii="Arial" w:eastAsia="Malgun Gothic" w:hAnsi="Arial" w:cs="Arial"/>
          <w:lang w:eastAsia="ko-KR"/>
        </w:rPr>
        <w:t xml:space="preserve"> think that e</w:t>
      </w:r>
      <w:r w:rsidRPr="00452D75">
        <w:rPr>
          <w:rFonts w:ascii="Arial" w:eastAsia="Malgun Gothic" w:hAnsi="Arial" w:cs="Arial"/>
          <w:lang w:eastAsia="ko-KR"/>
        </w:rPr>
        <w:t xml:space="preserve">xcluding resource pools other than the selected resource pool in the carrier </w:t>
      </w:r>
      <w:r w:rsidR="00844F37">
        <w:rPr>
          <w:rFonts w:ascii="Arial" w:eastAsia="Malgun Gothic" w:hAnsi="Arial" w:cs="Arial"/>
          <w:lang w:eastAsia="ko-KR"/>
        </w:rPr>
        <w:t>(re-)</w:t>
      </w:r>
      <w:r w:rsidRPr="00452D75">
        <w:rPr>
          <w:rFonts w:ascii="Arial" w:eastAsia="Malgun Gothic" w:hAnsi="Arial" w:cs="Arial"/>
          <w:lang w:eastAsia="ko-KR"/>
        </w:rPr>
        <w:t xml:space="preserve">selection </w:t>
      </w:r>
      <w:r w:rsidR="00844F37">
        <w:rPr>
          <w:rFonts w:ascii="Arial" w:eastAsia="Malgun Gothic" w:hAnsi="Arial" w:cs="Arial"/>
          <w:lang w:eastAsia="ko-KR"/>
        </w:rPr>
        <w:t xml:space="preserve">procedure </w:t>
      </w:r>
      <w:r w:rsidRPr="00452D75">
        <w:rPr>
          <w:rFonts w:ascii="Arial" w:eastAsia="Malgun Gothic" w:hAnsi="Arial" w:cs="Arial"/>
          <w:lang w:eastAsia="ko-KR"/>
        </w:rPr>
        <w:t xml:space="preserve">is not a correct UE procedure in terms of performance. </w:t>
      </w:r>
      <w:r w:rsidR="00844F37" w:rsidRPr="00844F37">
        <w:rPr>
          <w:rFonts w:ascii="Arial" w:eastAsia="Malgun Gothic" w:hAnsi="Arial" w:cs="Arial"/>
          <w:lang w:eastAsia="ko-KR"/>
        </w:rPr>
        <w:t xml:space="preserve">From that perspective, </w:t>
      </w:r>
      <w:r w:rsidR="00844F37">
        <w:rPr>
          <w:rFonts w:ascii="Arial" w:eastAsia="Malgun Gothic" w:hAnsi="Arial" w:cs="Arial"/>
          <w:lang w:eastAsia="ko-KR"/>
        </w:rPr>
        <w:t>Rapporteur</w:t>
      </w:r>
      <w:r w:rsidR="00844F37" w:rsidRPr="00844F37">
        <w:rPr>
          <w:rFonts w:ascii="Arial" w:eastAsia="Malgun Gothic" w:hAnsi="Arial" w:cs="Arial"/>
          <w:lang w:eastAsia="ko-KR"/>
        </w:rPr>
        <w:t xml:space="preserve"> think a carrier CBR based carrier selection procedure that </w:t>
      </w:r>
      <w:r w:rsidR="00844F37">
        <w:rPr>
          <w:rFonts w:ascii="Arial" w:eastAsia="Malgun Gothic" w:hAnsi="Arial" w:cs="Arial"/>
          <w:lang w:eastAsia="ko-KR"/>
        </w:rPr>
        <w:t xml:space="preserve">including </w:t>
      </w:r>
      <w:r w:rsidR="00844F37" w:rsidRPr="00844F37">
        <w:rPr>
          <w:rFonts w:ascii="Arial" w:eastAsia="Malgun Gothic" w:hAnsi="Arial" w:cs="Arial"/>
          <w:lang w:eastAsia="ko-KR"/>
        </w:rPr>
        <w:t>[</w:t>
      </w:r>
      <w:r w:rsidR="00844F37">
        <w:rPr>
          <w:rFonts w:ascii="Arial" w:eastAsia="Malgun Gothic" w:hAnsi="Arial" w:cs="Arial"/>
          <w:lang w:eastAsia="ko-KR"/>
        </w:rPr>
        <w:t>at least</w:t>
      </w:r>
      <w:r w:rsidR="00844F37" w:rsidRPr="00844F37">
        <w:rPr>
          <w:rFonts w:ascii="Arial" w:eastAsia="Malgun Gothic" w:hAnsi="Arial" w:cs="Arial"/>
          <w:lang w:eastAsia="ko-KR"/>
        </w:rPr>
        <w:t xml:space="preserve">] in </w:t>
      </w:r>
      <w:r w:rsidR="00844F37">
        <w:rPr>
          <w:rFonts w:ascii="Arial" w:eastAsia="Malgun Gothic" w:hAnsi="Arial" w:cs="Arial"/>
          <w:lang w:eastAsia="ko-KR"/>
        </w:rPr>
        <w:t xml:space="preserve">current running </w:t>
      </w:r>
      <w:r w:rsidR="00844F37" w:rsidRPr="00844F37">
        <w:rPr>
          <w:rFonts w:ascii="Arial" w:eastAsia="Malgun Gothic" w:hAnsi="Arial" w:cs="Arial"/>
          <w:lang w:eastAsia="ko-KR"/>
        </w:rPr>
        <w:t xml:space="preserve">CR is </w:t>
      </w:r>
      <w:r w:rsidR="00844F37">
        <w:rPr>
          <w:rFonts w:ascii="Arial" w:eastAsia="Malgun Gothic" w:hAnsi="Arial" w:cs="Arial"/>
          <w:lang w:eastAsia="ko-KR"/>
        </w:rPr>
        <w:t>correct UE behaviour</w:t>
      </w:r>
      <w:r w:rsidR="00844F37" w:rsidRPr="00844F37">
        <w:rPr>
          <w:rFonts w:ascii="Arial" w:eastAsia="Malgun Gothic" w:hAnsi="Arial" w:cs="Arial"/>
          <w:lang w:eastAsia="ko-KR"/>
        </w:rPr>
        <w:t>.</w:t>
      </w:r>
    </w:p>
    <w:p w14:paraId="1B16106C" w14:textId="0E06B334" w:rsidR="00844F37" w:rsidRDefault="00844F37" w:rsidP="00432A0A">
      <w:pPr>
        <w:rPr>
          <w:rFonts w:ascii="Arial" w:eastAsia="Malgun Gothic" w:hAnsi="Arial" w:cs="Arial"/>
          <w:lang w:eastAsia="ko-KR"/>
        </w:rPr>
      </w:pPr>
      <w:r>
        <w:rPr>
          <w:rFonts w:ascii="Arial" w:eastAsia="Malgun Gothic" w:hAnsi="Arial" w:cs="Arial"/>
          <w:lang w:eastAsia="ko-KR"/>
        </w:rPr>
        <w:t xml:space="preserve">Current running CR text: </w:t>
      </w:r>
    </w:p>
    <w:p w14:paraId="321592C8" w14:textId="2E5BC93D" w:rsidR="00844F37" w:rsidRPr="00452D75" w:rsidRDefault="00844F37" w:rsidP="00844F37">
      <w:pPr>
        <w:rPr>
          <w:rFonts w:ascii="Arial" w:eastAsia="Malgun Gothic" w:hAnsi="Arial" w:cs="Arial"/>
          <w:lang w:eastAsia="ko-KR"/>
        </w:rPr>
      </w:pPr>
      <w:r>
        <w:rPr>
          <w:lang w:eastAsia="ko-KR"/>
        </w:rPr>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af6"/>
        <w:tblW w:w="9770" w:type="dxa"/>
        <w:tblLook w:val="04A0" w:firstRow="1" w:lastRow="0" w:firstColumn="1" w:lastColumn="0" w:noHBand="0" w:noVBand="1"/>
      </w:tblPr>
      <w:tblGrid>
        <w:gridCol w:w="2164"/>
        <w:gridCol w:w="2017"/>
        <w:gridCol w:w="5589"/>
      </w:tblGrid>
      <w:tr w:rsidR="00844F37" w:rsidRPr="00973F63" w14:paraId="1AAD21E3" w14:textId="77777777" w:rsidTr="009C750D">
        <w:tc>
          <w:tcPr>
            <w:tcW w:w="2245"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Company</w:t>
            </w:r>
          </w:p>
        </w:tc>
        <w:tc>
          <w:tcPr>
            <w:tcW w:w="1633" w:type="dxa"/>
          </w:tcPr>
          <w:p w14:paraId="6E7CD382"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NOTE based approach/Normative </w:t>
            </w:r>
            <w:proofErr w:type="gramStart"/>
            <w:r>
              <w:rPr>
                <w:rFonts w:ascii="Arial" w:eastAsia="等线" w:hAnsi="Arial" w:cs="Arial"/>
                <w:lang w:eastAsia="zh-CN"/>
              </w:rPr>
              <w:t>text based</w:t>
            </w:r>
            <w:proofErr w:type="gramEnd"/>
            <w:r>
              <w:rPr>
                <w:rFonts w:ascii="Arial" w:eastAsia="等线" w:hAnsi="Arial" w:cs="Arial"/>
                <w:lang w:eastAsia="zh-CN"/>
              </w:rPr>
              <w:t xml:space="preserve"> approach</w:t>
            </w:r>
          </w:p>
        </w:tc>
        <w:tc>
          <w:tcPr>
            <w:tcW w:w="5892"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val="sv-SE" w:eastAsia="zh-CN"/>
              </w:rPr>
            </w:pPr>
            <w:r w:rsidRPr="00973F63">
              <w:rPr>
                <w:rFonts w:ascii="Arial" w:eastAsia="等线" w:hAnsi="Arial" w:cs="Arial"/>
                <w:lang w:eastAsia="zh-CN"/>
              </w:rPr>
              <w:t>Further comments</w:t>
            </w:r>
          </w:p>
        </w:tc>
      </w:tr>
      <w:tr w:rsidR="00844F37" w:rsidRPr="00973F63" w14:paraId="13636EB5" w14:textId="77777777" w:rsidTr="009C750D">
        <w:tc>
          <w:tcPr>
            <w:tcW w:w="2245"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LG</w:t>
            </w:r>
            <w:r>
              <w:rPr>
                <w:rFonts w:ascii="Arial" w:eastAsia="等线" w:hAnsi="Arial" w:cs="Arial"/>
                <w:lang w:eastAsia="zh-CN"/>
              </w:rPr>
              <w:t xml:space="preserve"> </w:t>
            </w:r>
          </w:p>
        </w:tc>
        <w:tc>
          <w:tcPr>
            <w:tcW w:w="1633" w:type="dxa"/>
          </w:tcPr>
          <w:p w14:paraId="51313E96" w14:textId="39DB6811" w:rsidR="00844F37"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等线" w:hAnsi="Arial" w:cs="Arial"/>
                <w:lang w:eastAsia="zh-CN"/>
              </w:rPr>
              <w:t>Option 1/Option 2</w:t>
            </w:r>
          </w:p>
        </w:tc>
        <w:tc>
          <w:tcPr>
            <w:tcW w:w="5892"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844F37" w:rsidRPr="00973F63" w14:paraId="031492CA" w14:textId="77777777" w:rsidTr="009C750D">
        <w:tc>
          <w:tcPr>
            <w:tcW w:w="2245"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OPPO</w:t>
            </w:r>
          </w:p>
        </w:tc>
        <w:tc>
          <w:tcPr>
            <w:tcW w:w="1633"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1</w:t>
            </w:r>
          </w:p>
        </w:tc>
        <w:tc>
          <w:tcPr>
            <w:tcW w:w="5892"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Zon</w:t>
            </w:r>
            <w:r>
              <w:rPr>
                <w:rFonts w:ascii="Arial" w:eastAsia="等线" w:hAnsi="Arial" w:cs="Arial"/>
                <w:lang w:eastAsia="zh-CN"/>
              </w:rPr>
              <w:t>ing is still supported by SL (clause 5.8.11 in TS 38.331)</w:t>
            </w:r>
            <w:r>
              <w:rPr>
                <w:rFonts w:ascii="Arial" w:eastAsia="等线" w:hAnsi="Arial" w:cs="Arial" w:hint="eastAsia"/>
                <w:lang w:eastAsia="zh-CN"/>
              </w:rPr>
              <w:t>,</w:t>
            </w:r>
            <w:r>
              <w:rPr>
                <w:rFonts w:ascii="Arial" w:eastAsia="等线"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G</w:t>
            </w:r>
            <w:r>
              <w:rPr>
                <w:rFonts w:ascii="Arial" w:eastAsia="等线"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等线" w:hAnsi="Arial" w:cs="Arial"/>
                <w:i/>
                <w:iCs/>
                <w:lang w:eastAsia="zh-CN"/>
              </w:rPr>
            </w:pPr>
            <w:r w:rsidRPr="00190483">
              <w:rPr>
                <w:rFonts w:ascii="Arial" w:eastAsia="等线"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等线" w:hAnsi="Arial" w:cs="Arial"/>
                <w:i/>
                <w:iCs/>
                <w:lang w:eastAsia="zh-CN"/>
              </w:rPr>
            </w:pPr>
            <w:r w:rsidRPr="00190483">
              <w:rPr>
                <w:rFonts w:ascii="Arial" w:eastAsia="等线" w:hAnsi="Arial" w:cs="Arial"/>
                <w:i/>
                <w:iCs/>
                <w:lang w:eastAsia="zh-CN"/>
              </w:rPr>
              <w:t>1:</w:t>
            </w:r>
            <w:r w:rsidRPr="00190483">
              <w:rPr>
                <w:rFonts w:ascii="Arial" w:eastAsia="等线"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hint="eastAsia"/>
                <w:lang w:eastAsia="zh-CN"/>
              </w:rPr>
            </w:pPr>
            <w:r>
              <w:rPr>
                <w:rFonts w:ascii="Arial" w:eastAsia="等线" w:hAnsi="Arial" w:cs="Arial" w:hint="eastAsia"/>
                <w:lang w:eastAsia="zh-CN"/>
              </w:rPr>
              <w:t>F</w:t>
            </w:r>
            <w:r>
              <w:rPr>
                <w:rFonts w:ascii="Arial" w:eastAsia="等线"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 xml:space="preserve">TX resource pool selection </w:t>
      </w:r>
      <w:proofErr w:type="spellStart"/>
      <w:r w:rsidR="009F6171" w:rsidRPr="00632707">
        <w:rPr>
          <w:sz w:val="24"/>
          <w:szCs w:val="24"/>
        </w:rPr>
        <w:t>behaviors</w:t>
      </w:r>
      <w:proofErr w:type="spellEnd"/>
      <w:r w:rsidR="009F6171" w:rsidRPr="00632707">
        <w:rPr>
          <w:sz w:val="24"/>
          <w:szCs w:val="24"/>
        </w:rPr>
        <w:t xml:space="preserve">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before TX carrier </w:t>
      </w:r>
      <w:proofErr w:type="gramStart"/>
      <w:r w:rsidRPr="00D7465F">
        <w:rPr>
          <w:rFonts w:ascii="Arial" w:hAnsi="Arial" w:cs="Arial"/>
          <w:b/>
          <w:lang w:eastAsia="zh-CN"/>
        </w:rPr>
        <w:t>selection</w:t>
      </w:r>
      <w:proofErr w:type="gramEnd"/>
      <w:r>
        <w:rPr>
          <w:rFonts w:ascii="BatangChe" w:eastAsia="BatangChe" w:hAnsi="BatangChe" w:cs="BatangChe"/>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af6"/>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等线" w:hAnsi="Arial" w:cs="Arial"/>
                <w:lang w:val="sv-SE" w:eastAsia="zh-CN"/>
              </w:rPr>
            </w:pPr>
            <w:r w:rsidRPr="00973F63">
              <w:rPr>
                <w:rFonts w:ascii="Arial" w:eastAsia="等线"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sidRPr="00973F63">
              <w:rPr>
                <w:rFonts w:ascii="Arial" w:eastAsia="等线" w:hAnsi="Arial" w:cs="Arial"/>
                <w:lang w:eastAsia="zh-CN"/>
              </w:rPr>
              <w:t>LG</w:t>
            </w:r>
            <w:r>
              <w:rPr>
                <w:rFonts w:ascii="Arial" w:eastAsia="等线" w:hAnsi="Arial" w:cs="Arial"/>
                <w:lang w:eastAsia="zh-CN"/>
              </w:rPr>
              <w:t xml:space="preserve"> </w:t>
            </w:r>
          </w:p>
        </w:tc>
        <w:tc>
          <w:tcPr>
            <w:tcW w:w="1633" w:type="dxa"/>
          </w:tcPr>
          <w:p w14:paraId="36962900" w14:textId="77777777" w:rsidR="00D7465F"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Option 2 (</w:t>
            </w:r>
            <w:r>
              <w:rPr>
                <w:rFonts w:ascii="Arial" w:eastAsia="Malgun Gothic" w:hAnsi="Arial" w:cs="Arial" w:hint="eastAsia"/>
                <w:lang w:eastAsia="ko-KR"/>
              </w:rPr>
              <w:t>Rapp</w:t>
            </w:r>
            <w:r>
              <w:rPr>
                <w:rFonts w:ascii="Arial" w:eastAsia="Malgun Gothic" w:hAnsi="Arial" w:cs="Arial"/>
                <w:lang w:eastAsia="ko-KR"/>
              </w:rPr>
              <w:t>)</w:t>
            </w:r>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Not sure what the consequence is for option-1/2, seems literally both would ensure a pool is selected no later than carrier-selection decision? (or is the main diff </w:t>
            </w:r>
            <w:proofErr w:type="gramStart"/>
            <w:r>
              <w:rPr>
                <w:rFonts w:ascii="Arial" w:eastAsia="等线" w:hAnsi="Arial" w:cs="Arial"/>
                <w:lang w:eastAsia="zh-CN"/>
              </w:rPr>
              <w:t>is</w:t>
            </w:r>
            <w:proofErr w:type="gramEnd"/>
            <w:r>
              <w:rPr>
                <w:rFonts w:ascii="Arial" w:eastAsia="等线" w:hAnsi="Arial" w:cs="Arial"/>
                <w:lang w:eastAsia="zh-CN"/>
              </w:rPr>
              <w:t xml:space="preserve">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w:t>
            </w:r>
            <w:r w:rsidRPr="00190483">
              <w:rPr>
                <w:rFonts w:ascii="Arial" w:hAnsi="Arial" w:cs="Arial"/>
                <w:b/>
                <w:highlight w:val="green"/>
                <w:lang w:eastAsia="zh-CN"/>
              </w:rPr>
              <w:t xml:space="preserve">before TX carrier </w:t>
            </w:r>
            <w:proofErr w:type="gramStart"/>
            <w:r w:rsidRPr="00190483">
              <w:rPr>
                <w:rFonts w:ascii="Arial" w:hAnsi="Arial" w:cs="Arial"/>
                <w:b/>
                <w:highlight w:val="green"/>
                <w:lang w:eastAsia="zh-CN"/>
              </w:rPr>
              <w:t>selection</w:t>
            </w:r>
            <w:proofErr w:type="gramEnd"/>
            <w:r>
              <w:rPr>
                <w:rFonts w:ascii="BatangChe" w:eastAsia="BatangChe" w:hAnsi="BatangChe" w:cs="BatangChe"/>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等线" w:hAnsi="Arial" w:cs="Arial"/>
                <w:lang w:eastAsia="zh-CN"/>
              </w:rPr>
              <w:t xml:space="preserve">”, in order to align with agreement from </w:t>
            </w:r>
            <w:proofErr w:type="gramStart"/>
            <w:r>
              <w:rPr>
                <w:rFonts w:ascii="Arial" w:eastAsia="等线" w:hAnsi="Arial" w:cs="Arial"/>
                <w:lang w:eastAsia="zh-CN"/>
              </w:rPr>
              <w:t>123</w:t>
            </w:r>
            <w:proofErr w:type="gramEnd"/>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等线" w:hAnsi="Arial" w:cs="Arial"/>
                <w:i/>
                <w:iCs/>
                <w:lang w:eastAsia="zh-CN"/>
              </w:rPr>
            </w:pPr>
            <w:r w:rsidRPr="00190483">
              <w:rPr>
                <w:rFonts w:ascii="Arial" w:eastAsia="等线"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等线" w:hAnsi="Arial" w:cs="Arial"/>
                <w:i/>
                <w:iCs/>
                <w:lang w:eastAsia="zh-CN"/>
              </w:rPr>
            </w:pPr>
            <w:r w:rsidRPr="00190483">
              <w:rPr>
                <w:rFonts w:ascii="Arial" w:eastAsia="等线" w:hAnsi="Arial" w:cs="Arial"/>
                <w:i/>
                <w:iCs/>
                <w:lang w:eastAsia="zh-CN"/>
              </w:rPr>
              <w:t>1:</w:t>
            </w:r>
            <w:r w:rsidRPr="00190483">
              <w:rPr>
                <w:rFonts w:ascii="Arial" w:eastAsia="等线" w:hAnsi="Arial" w:cs="Arial"/>
                <w:i/>
                <w:iCs/>
                <w:lang w:eastAsia="zh-CN"/>
              </w:rPr>
              <w:tab/>
              <w:t>Confirms the working assumption “Same principle as LTE V2X CA is applied to determine per-carrier CBR” as an agreement.</w:t>
            </w:r>
          </w:p>
          <w:p w14:paraId="448443BD" w14:textId="5DDE8A52" w:rsidR="00190483" w:rsidRPr="00973F63" w:rsidRDefault="00190483" w:rsidP="009C750D">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Malgun Gothic" w:hAnsi="Arial" w:cs="Arial"/>
          <w:lang w:val="en-US" w:eastAsia="ko-KR"/>
        </w:rPr>
      </w:pPr>
    </w:p>
    <w:p w14:paraId="216B18AD" w14:textId="77777777" w:rsidR="00293750" w:rsidRPr="00293750" w:rsidRDefault="00293750" w:rsidP="0065735D">
      <w:pPr>
        <w:pStyle w:val="2"/>
        <w:ind w:left="425" w:firstLine="0"/>
        <w:rPr>
          <w:lang w:eastAsia="ja-JP"/>
        </w:rPr>
      </w:pPr>
      <w:r w:rsidRPr="00293750">
        <w:rPr>
          <w:lang w:eastAsia="ja-JP"/>
        </w:rPr>
        <w:lastRenderedPageBreak/>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等线"/>
          <w:sz w:val="22"/>
          <w:lang w:eastAsia="zh-CN"/>
        </w:rPr>
      </w:pPr>
    </w:p>
    <w:sectPr w:rsidR="00834B82" w:rsidSect="00A83D2B">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5415" w14:textId="77777777" w:rsidR="00254E73" w:rsidRDefault="00254E73">
      <w:pPr>
        <w:spacing w:after="0" w:line="240" w:lineRule="auto"/>
      </w:pPr>
      <w:r>
        <w:separator/>
      </w:r>
    </w:p>
  </w:endnote>
  <w:endnote w:type="continuationSeparator" w:id="0">
    <w:p w14:paraId="7A907D26" w14:textId="77777777" w:rsidR="00254E73" w:rsidRDefault="0025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Che">
    <w:altName w:val="바탕체"/>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76EE" w14:textId="77777777" w:rsidR="00254E73" w:rsidRDefault="00254E73">
      <w:pPr>
        <w:spacing w:after="0" w:line="240" w:lineRule="auto"/>
      </w:pPr>
      <w:r>
        <w:separator/>
      </w:r>
    </w:p>
  </w:footnote>
  <w:footnote w:type="continuationSeparator" w:id="0">
    <w:p w14:paraId="75DC1E1B" w14:textId="77777777" w:rsidR="00254E73" w:rsidRDefault="0025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58441917">
    <w:abstractNumId w:val="11"/>
  </w:num>
  <w:num w:numId="2" w16cid:durableId="719134918">
    <w:abstractNumId w:val="8"/>
  </w:num>
  <w:num w:numId="3" w16cid:durableId="1570068271">
    <w:abstractNumId w:val="2"/>
  </w:num>
  <w:num w:numId="4" w16cid:durableId="1798449397">
    <w:abstractNumId w:val="6"/>
  </w:num>
  <w:num w:numId="5" w16cid:durableId="577441214">
    <w:abstractNumId w:val="2"/>
  </w:num>
  <w:num w:numId="6" w16cid:durableId="1089615065">
    <w:abstractNumId w:val="0"/>
  </w:num>
  <w:num w:numId="7" w16cid:durableId="1086152794">
    <w:abstractNumId w:val="5"/>
  </w:num>
  <w:num w:numId="8" w16cid:durableId="1412120470">
    <w:abstractNumId w:val="1"/>
  </w:num>
  <w:num w:numId="9" w16cid:durableId="213397008">
    <w:abstractNumId w:val="3"/>
  </w:num>
  <w:num w:numId="10" w16cid:durableId="2076659716">
    <w:abstractNumId w:val="10"/>
  </w:num>
  <w:num w:numId="11" w16cid:durableId="352653660">
    <w:abstractNumId w:val="4"/>
  </w:num>
  <w:num w:numId="12" w16cid:durableId="1457524884">
    <w:abstractNumId w:val="9"/>
  </w:num>
  <w:num w:numId="13" w16cid:durableId="788620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A0BCE"/>
    <w:rsid w:val="000A14C1"/>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6DB"/>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77C2"/>
    <w:rsid w:val="001B7A65"/>
    <w:rsid w:val="001C15AC"/>
    <w:rsid w:val="001D3C5C"/>
    <w:rsid w:val="001E41F3"/>
    <w:rsid w:val="001E6617"/>
    <w:rsid w:val="001E6BF1"/>
    <w:rsid w:val="001F1A7B"/>
    <w:rsid w:val="001F4C76"/>
    <w:rsid w:val="002050DD"/>
    <w:rsid w:val="00205F71"/>
    <w:rsid w:val="00230742"/>
    <w:rsid w:val="002437FA"/>
    <w:rsid w:val="00246CDE"/>
    <w:rsid w:val="0025297E"/>
    <w:rsid w:val="00253F79"/>
    <w:rsid w:val="0025483F"/>
    <w:rsid w:val="00254E73"/>
    <w:rsid w:val="0026004D"/>
    <w:rsid w:val="00260DDD"/>
    <w:rsid w:val="002640DD"/>
    <w:rsid w:val="0026482C"/>
    <w:rsid w:val="00267225"/>
    <w:rsid w:val="0027047F"/>
    <w:rsid w:val="00271634"/>
    <w:rsid w:val="00275D12"/>
    <w:rsid w:val="00284FEB"/>
    <w:rsid w:val="002860C4"/>
    <w:rsid w:val="00293750"/>
    <w:rsid w:val="002A13C7"/>
    <w:rsid w:val="002B5741"/>
    <w:rsid w:val="002C17E0"/>
    <w:rsid w:val="002C1D27"/>
    <w:rsid w:val="002C6F6E"/>
    <w:rsid w:val="002D4FD1"/>
    <w:rsid w:val="002E37D8"/>
    <w:rsid w:val="002E472E"/>
    <w:rsid w:val="002E4EB7"/>
    <w:rsid w:val="002E5FFC"/>
    <w:rsid w:val="002E74AD"/>
    <w:rsid w:val="002F0380"/>
    <w:rsid w:val="002F4DE5"/>
    <w:rsid w:val="00305409"/>
    <w:rsid w:val="00313876"/>
    <w:rsid w:val="00315799"/>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A1674"/>
    <w:rsid w:val="003A5766"/>
    <w:rsid w:val="003A7142"/>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1B56"/>
    <w:rsid w:val="004439BF"/>
    <w:rsid w:val="00452D75"/>
    <w:rsid w:val="00460C77"/>
    <w:rsid w:val="0047317D"/>
    <w:rsid w:val="004767E5"/>
    <w:rsid w:val="0048147A"/>
    <w:rsid w:val="004871D6"/>
    <w:rsid w:val="00491E72"/>
    <w:rsid w:val="004A15B6"/>
    <w:rsid w:val="004A2D94"/>
    <w:rsid w:val="004B75B7"/>
    <w:rsid w:val="004D7B0F"/>
    <w:rsid w:val="004E44A4"/>
    <w:rsid w:val="004F5D15"/>
    <w:rsid w:val="004F671C"/>
    <w:rsid w:val="0050344C"/>
    <w:rsid w:val="00513C23"/>
    <w:rsid w:val="0051442E"/>
    <w:rsid w:val="0051580D"/>
    <w:rsid w:val="0052173E"/>
    <w:rsid w:val="00526D55"/>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4630"/>
    <w:rsid w:val="005B047E"/>
    <w:rsid w:val="005B14F1"/>
    <w:rsid w:val="005C21A8"/>
    <w:rsid w:val="005C572D"/>
    <w:rsid w:val="005E2C44"/>
    <w:rsid w:val="005E3D16"/>
    <w:rsid w:val="005F3F12"/>
    <w:rsid w:val="00607878"/>
    <w:rsid w:val="00610D76"/>
    <w:rsid w:val="00615FA8"/>
    <w:rsid w:val="00620784"/>
    <w:rsid w:val="00621188"/>
    <w:rsid w:val="006257ED"/>
    <w:rsid w:val="00626059"/>
    <w:rsid w:val="00632707"/>
    <w:rsid w:val="00636799"/>
    <w:rsid w:val="00637382"/>
    <w:rsid w:val="00651F4D"/>
    <w:rsid w:val="0065735D"/>
    <w:rsid w:val="00665C47"/>
    <w:rsid w:val="006679FB"/>
    <w:rsid w:val="00667E76"/>
    <w:rsid w:val="00672354"/>
    <w:rsid w:val="006744EB"/>
    <w:rsid w:val="00677EC0"/>
    <w:rsid w:val="00690782"/>
    <w:rsid w:val="00695808"/>
    <w:rsid w:val="006A314A"/>
    <w:rsid w:val="006B2734"/>
    <w:rsid w:val="006B46FB"/>
    <w:rsid w:val="006B4A2D"/>
    <w:rsid w:val="006B563D"/>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7364E"/>
    <w:rsid w:val="007772DF"/>
    <w:rsid w:val="0078108D"/>
    <w:rsid w:val="00782B4C"/>
    <w:rsid w:val="00792342"/>
    <w:rsid w:val="007977A8"/>
    <w:rsid w:val="007A37B8"/>
    <w:rsid w:val="007B0ACD"/>
    <w:rsid w:val="007B4446"/>
    <w:rsid w:val="007B512A"/>
    <w:rsid w:val="007B621B"/>
    <w:rsid w:val="007C159D"/>
    <w:rsid w:val="007C2097"/>
    <w:rsid w:val="007D0EDB"/>
    <w:rsid w:val="007D65BA"/>
    <w:rsid w:val="007D6A07"/>
    <w:rsid w:val="007E3336"/>
    <w:rsid w:val="007F3BEA"/>
    <w:rsid w:val="007F5BF2"/>
    <w:rsid w:val="007F7259"/>
    <w:rsid w:val="008004D4"/>
    <w:rsid w:val="008038FD"/>
    <w:rsid w:val="008040A8"/>
    <w:rsid w:val="0081459D"/>
    <w:rsid w:val="008149BB"/>
    <w:rsid w:val="00815FD3"/>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E3297"/>
    <w:rsid w:val="009E3849"/>
    <w:rsid w:val="009F2BD7"/>
    <w:rsid w:val="009F444B"/>
    <w:rsid w:val="009F6171"/>
    <w:rsid w:val="009F734F"/>
    <w:rsid w:val="009F7E77"/>
    <w:rsid w:val="00A03D38"/>
    <w:rsid w:val="00A1293B"/>
    <w:rsid w:val="00A14EC7"/>
    <w:rsid w:val="00A246B6"/>
    <w:rsid w:val="00A30517"/>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A2CBC"/>
    <w:rsid w:val="00AB0D04"/>
    <w:rsid w:val="00AB1A35"/>
    <w:rsid w:val="00AB4495"/>
    <w:rsid w:val="00AC5820"/>
    <w:rsid w:val="00AC704E"/>
    <w:rsid w:val="00AD1742"/>
    <w:rsid w:val="00AD17D7"/>
    <w:rsid w:val="00AD1CD8"/>
    <w:rsid w:val="00AD6F4E"/>
    <w:rsid w:val="00AE2C4A"/>
    <w:rsid w:val="00AE31E0"/>
    <w:rsid w:val="00AE4118"/>
    <w:rsid w:val="00AE572F"/>
    <w:rsid w:val="00AF12F3"/>
    <w:rsid w:val="00AF416C"/>
    <w:rsid w:val="00B00AF1"/>
    <w:rsid w:val="00B01634"/>
    <w:rsid w:val="00B04299"/>
    <w:rsid w:val="00B05B57"/>
    <w:rsid w:val="00B069D5"/>
    <w:rsid w:val="00B0742D"/>
    <w:rsid w:val="00B218F2"/>
    <w:rsid w:val="00B23E2B"/>
    <w:rsid w:val="00B245D5"/>
    <w:rsid w:val="00B258BB"/>
    <w:rsid w:val="00B347A9"/>
    <w:rsid w:val="00B40953"/>
    <w:rsid w:val="00B540AF"/>
    <w:rsid w:val="00B60F4E"/>
    <w:rsid w:val="00B62339"/>
    <w:rsid w:val="00B635BB"/>
    <w:rsid w:val="00B64563"/>
    <w:rsid w:val="00B65894"/>
    <w:rsid w:val="00B67B97"/>
    <w:rsid w:val="00B70268"/>
    <w:rsid w:val="00B705D3"/>
    <w:rsid w:val="00B7316E"/>
    <w:rsid w:val="00B75519"/>
    <w:rsid w:val="00B80BD7"/>
    <w:rsid w:val="00B81E70"/>
    <w:rsid w:val="00B8543C"/>
    <w:rsid w:val="00B872D8"/>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7450"/>
    <w:rsid w:val="00C87A34"/>
    <w:rsid w:val="00C90CB1"/>
    <w:rsid w:val="00C95985"/>
    <w:rsid w:val="00C965C5"/>
    <w:rsid w:val="00C97123"/>
    <w:rsid w:val="00CA098B"/>
    <w:rsid w:val="00CA314B"/>
    <w:rsid w:val="00CA677A"/>
    <w:rsid w:val="00CB0EA1"/>
    <w:rsid w:val="00CB72B3"/>
    <w:rsid w:val="00CB7694"/>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3812"/>
    <w:rsid w:val="00D7465F"/>
    <w:rsid w:val="00D801B7"/>
    <w:rsid w:val="00D82B7B"/>
    <w:rsid w:val="00D83C4F"/>
    <w:rsid w:val="00D90454"/>
    <w:rsid w:val="00D93FDC"/>
    <w:rsid w:val="00DA0D80"/>
    <w:rsid w:val="00DB097D"/>
    <w:rsid w:val="00DC132D"/>
    <w:rsid w:val="00DC1760"/>
    <w:rsid w:val="00DC3F74"/>
    <w:rsid w:val="00DC4046"/>
    <w:rsid w:val="00DD18F1"/>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79AE"/>
    <w:rsid w:val="00E92B09"/>
    <w:rsid w:val="00E9788B"/>
    <w:rsid w:val="00EA7F3C"/>
    <w:rsid w:val="00EB09B7"/>
    <w:rsid w:val="00EB402A"/>
    <w:rsid w:val="00EB6EE7"/>
    <w:rsid w:val="00EC2B73"/>
    <w:rsid w:val="00EC453A"/>
    <w:rsid w:val="00EC67A3"/>
    <w:rsid w:val="00ED11E8"/>
    <w:rsid w:val="00ED4450"/>
    <w:rsid w:val="00ED6E53"/>
    <w:rsid w:val="00EE08AA"/>
    <w:rsid w:val="00EE5D0A"/>
    <w:rsid w:val="00EE7D7C"/>
    <w:rsid w:val="00F06E2C"/>
    <w:rsid w:val="00F16D14"/>
    <w:rsid w:val="00F23DDE"/>
    <w:rsid w:val="00F25D98"/>
    <w:rsid w:val="00F26E3D"/>
    <w:rsid w:val="00F26E6C"/>
    <w:rsid w:val="00F27005"/>
    <w:rsid w:val="00F2700C"/>
    <w:rsid w:val="00F275C4"/>
    <w:rsid w:val="00F300FB"/>
    <w:rsid w:val="00F3035C"/>
    <w:rsid w:val="00F359AF"/>
    <w:rsid w:val="00F36E7C"/>
    <w:rsid w:val="00F4234D"/>
    <w:rsid w:val="00F4726A"/>
    <w:rsid w:val="00F55C6A"/>
    <w:rsid w:val="00F65115"/>
    <w:rsid w:val="00F72C72"/>
    <w:rsid w:val="00F73115"/>
    <w:rsid w:val="00F74754"/>
    <w:rsid w:val="00F7617C"/>
    <w:rsid w:val="00F76D26"/>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AD"/>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ac"/>
    <w:uiPriority w:val="99"/>
    <w:qFormat/>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e">
    <w:name w:val="Normal (Web)"/>
    <w:basedOn w:val="a"/>
    <w:semiHidden/>
    <w:unhideWhenUsed/>
    <w:pPr>
      <w:widowControl w:val="0"/>
      <w:spacing w:before="100" w:beforeAutospacing="1" w:after="100" w:afterAutospacing="1" w:line="240" w:lineRule="auto"/>
    </w:pPr>
    <w:rPr>
      <w:rFonts w:ascii="Calibri" w:eastAsia="宋体" w:hAnsi="Calibri"/>
      <w:sz w:val="24"/>
      <w:szCs w:val="24"/>
      <w:lang w:val="en-US" w:eastAsia="zh-CN"/>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
    <w:name w:val="annotation subject"/>
    <w:basedOn w:val="a7"/>
    <w:next w:val="a7"/>
    <w:semiHidden/>
    <w:qFormat/>
    <w:rPr>
      <w:b/>
      <w:bCs/>
    </w:r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4">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af5"/>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af5">
    <w:name w:val="列表段落 字符"/>
    <w:aliases w:val="- Bullets 字符,?? ?? 字符,????? 字符,???? 字符,Lista1 字符,列出段落1 字符,中等深浅网格 1 - 着色 21 字符,列出段落 字符,リスト段落 字符,¥¡¡¡¡ì¬º¥¹¥È¶ÎÂä 字符,ÁÐ³ö¶ÎÂä 字符,列表段落1 字符,—ño’i—Ž 字符,¥ê¥¹¥È¶ÎÂä 字符,1st level - Bullet List Paragraph 字符,Lettre d'introduction 字符,Paragrafo elenco 字符"/>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a"/>
    <w:qFormat/>
    <w:rsid w:val="00A75613"/>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table" w:styleId="af6">
    <w:name w:val="Table Grid"/>
    <w:basedOn w:val="a1"/>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1">
    <w:name w:val="网格型1"/>
    <w:basedOn w:val="a1"/>
    <w:next w:val="af6"/>
    <w:uiPriority w:val="59"/>
    <w:qFormat/>
    <w:rsid w:val="00293750"/>
    <w:pPr>
      <w:spacing w:after="0" w:line="24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a"/>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a"/>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af7">
    <w:name w:val="正文文本 字符"/>
    <w:link w:val="af8"/>
    <w:rsid w:val="00782B4C"/>
    <w:rPr>
      <w:szCs w:val="24"/>
      <w:lang w:eastAsia="en-US"/>
    </w:rPr>
  </w:style>
  <w:style w:type="character" w:customStyle="1" w:styleId="ac">
    <w:name w:val="页眉 字符"/>
    <w:link w:val="ab"/>
    <w:uiPriority w:val="99"/>
    <w:rsid w:val="00782B4C"/>
    <w:rPr>
      <w:rFonts w:ascii="Arial" w:hAnsi="Arial"/>
      <w:b/>
      <w:sz w:val="18"/>
      <w:lang w:val="en-GB" w:eastAsia="en-US"/>
    </w:rPr>
  </w:style>
  <w:style w:type="paragraph" w:styleId="af8">
    <w:name w:val="Body Text"/>
    <w:basedOn w:val="a"/>
    <w:link w:val="af7"/>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a0"/>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20">
    <w:name w:val="标题 2 字符"/>
    <w:basedOn w:val="a0"/>
    <w:link w:val="2"/>
    <w:rsid w:val="007F5BF2"/>
    <w:rPr>
      <w:rFonts w:ascii="Arial" w:hAnsi="Arial"/>
      <w:sz w:val="32"/>
      <w:lang w:val="en-GB" w:eastAsia="en-US"/>
    </w:rPr>
  </w:style>
  <w:style w:type="character" w:customStyle="1" w:styleId="30">
    <w:name w:val="标题 3 字符"/>
    <w:basedOn w:val="a0"/>
    <w:link w:val="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2">
    <w:name w:val="표 구분선1"/>
    <w:basedOn w:val="a1"/>
    <w:next w:val="af6"/>
    <w:rsid w:val="00B218F2"/>
    <w:pPr>
      <w:spacing w:after="0" w:line="240" w:lineRule="auto"/>
    </w:pPr>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a8">
    <w:name w:val="批注文字 字符"/>
    <w:link w:val="a7"/>
    <w:uiPriority w:val="99"/>
    <w:qFormat/>
    <w:rsid w:val="00844F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AAE42B-AEF8-4B49-ADC6-C76C026A23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854</Words>
  <Characters>4871</Characters>
  <Application>Microsoft Office Word</Application>
  <DocSecurity>0</DocSecurity>
  <Lines>40</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(Qianxi Lu)</cp:lastModifiedBy>
  <cp:revision>2</cp:revision>
  <cp:lastPrinted>2411-12-31T14:59:00Z</cp:lastPrinted>
  <dcterms:created xsi:type="dcterms:W3CDTF">2023-10-18T01:18:00Z</dcterms:created>
  <dcterms:modified xsi:type="dcterms:W3CDTF">2023-10-18T01:18:00Z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1660762641</vt:lpwstr>
  </property>
</Properties>
</file>