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40E8BA1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12777F">
        <w:rPr>
          <w:rFonts w:ascii="Arial" w:hAnsi="Arial" w:cs="Arial"/>
          <w:b/>
          <w:bCs/>
          <w:sz w:val="24"/>
          <w:lang w:eastAsia="en-US"/>
        </w:rPr>
        <w:t>Collect comments for running CR 38.304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Pr="00D17294">
        <w:rPr>
          <w:rFonts w:ascii="Arial" w:hAnsi="Arial" w:cs="Arial"/>
          <w:b/>
          <w:bCs/>
          <w:sz w:val="24"/>
          <w:lang w:eastAsia="en-US"/>
        </w:rPr>
        <w:t>Netw_Energy_NR</w:t>
      </w:r>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32C6EC0E" w14:textId="77777777" w:rsidR="0012777F" w:rsidRDefault="0012777F" w:rsidP="0012777F">
      <w:pPr>
        <w:pStyle w:val="EmailDiscussion"/>
      </w:pPr>
      <w:r>
        <w:t>[POST123][315][NES] Running CR 38.304 (Apple)</w:t>
      </w:r>
    </w:p>
    <w:p w14:paraId="145AAE54" w14:textId="77777777" w:rsidR="0012777F" w:rsidRDefault="0012777F" w:rsidP="0012777F">
      <w:pPr>
        <w:pStyle w:val="EmailDiscussion2"/>
        <w:ind w:left="1982"/>
        <w:rPr>
          <w:lang w:val="en-US"/>
        </w:rPr>
      </w:pPr>
      <w:r>
        <w:rPr>
          <w:lang w:val="en-US"/>
        </w:rPr>
        <w:t>Scope :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BodyText"/>
      </w:pPr>
    </w:p>
    <w:p w14:paraId="5529390B" w14:textId="5124E7AC" w:rsidR="002C747A" w:rsidRDefault="002C747A" w:rsidP="00B646B5">
      <w:r>
        <w:t xml:space="preserve">The running </w:t>
      </w:r>
      <w:r w:rsidR="00DD70B9">
        <w:t>38.304</w:t>
      </w:r>
      <w:r>
        <w:t xml:space="preserve"> CR for NES is provided in the discussion folder. </w:t>
      </w:r>
      <w:r w:rsidR="00B646B5" w:rsidRPr="00B646B5">
        <w:t xml:space="preserve">Please do not insert / make comments in the </w:t>
      </w:r>
      <w:r w:rsidR="00B646B5">
        <w:t>CR</w:t>
      </w:r>
      <w:r w:rsidR="00B646B5" w:rsidRPr="00B646B5">
        <w:t xml:space="preserve"> document, which will be hard for Rapporteur to track and respond your comments.</w:t>
      </w:r>
      <w:r w:rsidR="00B646B5">
        <w:t xml:space="preserve"> </w:t>
      </w:r>
      <w:r w:rsidR="001619D5">
        <w:t>If you have comments, p</w:t>
      </w:r>
      <w:r w:rsidR="00D45311">
        <w:t xml:space="preserve">lease </w:t>
      </w:r>
      <w:r w:rsidR="001619D5">
        <w:t xml:space="preserve">provide them in </w:t>
      </w:r>
      <w:r w:rsidR="00D45311">
        <w:t>the table below</w:t>
      </w:r>
      <w:r w:rsidR="001619D5">
        <w:t>.</w:t>
      </w:r>
      <w:r w:rsidR="00D45311">
        <w:t xml:space="preserve"> </w:t>
      </w:r>
      <w:r w:rsidR="00A17548">
        <w:t xml:space="preserve">Rapporteur will provide response and decide whether to update CR. </w:t>
      </w:r>
      <w:r w:rsidR="00D45311">
        <w:t xml:space="preserve">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1D0701" w:rsidRPr="00D45311" w14:paraId="160AEA82" w14:textId="77777777" w:rsidTr="00B84554">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t>Company</w:t>
            </w:r>
          </w:p>
        </w:tc>
        <w:tc>
          <w:tcPr>
            <w:tcW w:w="4394"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1D0701" w:rsidRPr="00D45311" w14:paraId="3D5571F0" w14:textId="77777777" w:rsidTr="00B84554">
        <w:trPr>
          <w:trHeight w:val="127"/>
        </w:trPr>
        <w:tc>
          <w:tcPr>
            <w:tcW w:w="1271" w:type="dxa"/>
            <w:shd w:val="clear" w:color="auto" w:fill="auto"/>
          </w:tcPr>
          <w:p w14:paraId="3BD32BD5" w14:textId="2D9C2039" w:rsidR="00D45311" w:rsidRPr="00D45311" w:rsidRDefault="001D0701" w:rsidP="00D45311">
            <w:pPr>
              <w:pStyle w:val="BodyText"/>
              <w:keepNext/>
              <w:rPr>
                <w:bCs/>
                <w:lang w:val="en-US"/>
              </w:rPr>
            </w:pPr>
            <w:r>
              <w:rPr>
                <w:bCs/>
                <w:lang w:val="en-US"/>
              </w:rPr>
              <w:t>Huawei</w:t>
            </w:r>
          </w:p>
        </w:tc>
        <w:tc>
          <w:tcPr>
            <w:tcW w:w="4394" w:type="dxa"/>
          </w:tcPr>
          <w:p w14:paraId="4A62F768" w14:textId="18AF3F2E" w:rsidR="001D0701" w:rsidRDefault="001D0701" w:rsidP="00D45311">
            <w:pPr>
              <w:pStyle w:val="BodyText"/>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D45311">
            <w:pPr>
              <w:pStyle w:val="BodyText"/>
              <w:keepNext/>
              <w:rPr>
                <w:bCs/>
                <w:lang w:val="en-US"/>
              </w:rPr>
            </w:pPr>
            <w:r>
              <w:rPr>
                <w:bCs/>
                <w:lang w:val="en-US"/>
              </w:rPr>
              <w:t>T</w:t>
            </w:r>
            <w:r w:rsidRPr="001D0701">
              <w:rPr>
                <w:bCs/>
                <w:lang w:val="en-US"/>
              </w:rPr>
              <w:t xml:space="preserve">he NES implementation is different than </w:t>
            </w:r>
            <w:proofErr w:type="spellStart"/>
            <w:r w:rsidRPr="001D0701">
              <w:rPr>
                <w:bCs/>
                <w:lang w:val="en-US"/>
              </w:rPr>
              <w:t>RedCap</w:t>
            </w:r>
            <w:proofErr w:type="spellEnd"/>
            <w:r w:rsidRPr="001D0701">
              <w:rPr>
                <w:bCs/>
                <w:lang w:val="en-US"/>
              </w:rPr>
              <w:t xml:space="preserve">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 xml:space="preserve">(which is not the case for NTN and </w:t>
            </w:r>
            <w:proofErr w:type="spellStart"/>
            <w:r w:rsidRPr="001D0701">
              <w:rPr>
                <w:bCs/>
                <w:lang w:val="en-US"/>
              </w:rPr>
              <w:t>RedCap</w:t>
            </w:r>
            <w:proofErr w:type="spellEnd"/>
            <w:r w:rsidRPr="001D0701">
              <w:rPr>
                <w:bCs/>
                <w:lang w:val="en-US"/>
              </w:rPr>
              <w:t>)</w:t>
            </w:r>
            <w:r>
              <w:rPr>
                <w:bCs/>
                <w:lang w:val="en-US"/>
              </w:rPr>
              <w:t>. One example of implementing it would be to add a condition below the current changes in the proposed CR:</w:t>
            </w:r>
          </w:p>
          <w:p w14:paraId="2F456378" w14:textId="50419F56" w:rsidR="00D45311" w:rsidRPr="00D45311" w:rsidRDefault="001D0701" w:rsidP="00D45311">
            <w:pPr>
              <w:pStyle w:val="BodyText"/>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D45311">
            <w:pPr>
              <w:pStyle w:val="BodyText"/>
              <w:keepNext/>
              <w:rPr>
                <w:bCs/>
                <w:lang w:val="en-US"/>
              </w:rPr>
            </w:pPr>
            <w:r>
              <w:rPr>
                <w:bCs/>
                <w:lang w:val="en-US"/>
              </w:rPr>
              <w:t xml:space="preserve">OK. </w:t>
            </w:r>
          </w:p>
          <w:p w14:paraId="1405CB50" w14:textId="68D39B1F" w:rsidR="00D45311" w:rsidRPr="00D45311" w:rsidRDefault="00C0357E" w:rsidP="00D45311">
            <w:pPr>
              <w:pStyle w:val="BodyText"/>
              <w:keepNext/>
              <w:rPr>
                <w:bCs/>
                <w:lang w:val="en-US"/>
              </w:rPr>
            </w:pPr>
            <w:r>
              <w:rPr>
                <w:bCs/>
                <w:lang w:val="en-US"/>
              </w:rPr>
              <w:t>I didn't add the suggested condition because I think 38.331 has captured it (so to avoid duplication). But it seems no harm to add it. So, I will implement this change.</w:t>
            </w:r>
          </w:p>
        </w:tc>
      </w:tr>
      <w:tr w:rsidR="001D0701" w:rsidRPr="00D45311" w14:paraId="0D4FD02C" w14:textId="77777777" w:rsidTr="00B84554">
        <w:trPr>
          <w:trHeight w:val="127"/>
        </w:trPr>
        <w:tc>
          <w:tcPr>
            <w:tcW w:w="1271" w:type="dxa"/>
            <w:shd w:val="clear" w:color="auto" w:fill="auto"/>
          </w:tcPr>
          <w:p w14:paraId="1200CEAB" w14:textId="65514B3C" w:rsidR="00D45311" w:rsidRPr="00D45311" w:rsidRDefault="005F1307" w:rsidP="00D45311">
            <w:pPr>
              <w:pStyle w:val="BodyText"/>
              <w:keepNext/>
              <w:rPr>
                <w:bCs/>
                <w:lang w:val="en-US"/>
              </w:rPr>
            </w:pPr>
            <w:r>
              <w:rPr>
                <w:bCs/>
                <w:lang w:val="en-US"/>
              </w:rPr>
              <w:t>Xiaomi</w:t>
            </w:r>
          </w:p>
        </w:tc>
        <w:tc>
          <w:tcPr>
            <w:tcW w:w="4394" w:type="dxa"/>
          </w:tcPr>
          <w:p w14:paraId="4139A1CD" w14:textId="77777777" w:rsidR="00D45311" w:rsidRDefault="00187F24" w:rsidP="00D45311">
            <w:pPr>
              <w:pStyle w:val="BodyText"/>
              <w:keepNext/>
            </w:pPr>
            <w:r>
              <w:t>"</w:t>
            </w:r>
            <w:r w:rsidRPr="00426903">
              <w:t xml:space="preserve">This field is ignored by UEs supporting NTN while </w:t>
            </w:r>
            <w:proofErr w:type="spellStart"/>
            <w:r w:rsidRPr="00426903">
              <w:rPr>
                <w:i/>
              </w:rPr>
              <w:t>cellBarredNTN</w:t>
            </w:r>
            <w:proofErr w:type="spellEnd"/>
            <w:r w:rsidRPr="00426903">
              <w:t xml:space="preserve"> is included in SIB1</w:t>
            </w:r>
            <w:r>
              <w:t>"</w:t>
            </w:r>
          </w:p>
          <w:p w14:paraId="44053EBA" w14:textId="33BAA20B" w:rsidR="00187F24" w:rsidRPr="00D45311" w:rsidRDefault="00187F24" w:rsidP="00D45311">
            <w:pPr>
              <w:pStyle w:val="BodyText"/>
              <w:keepNext/>
              <w:rPr>
                <w:bCs/>
                <w:lang w:val="en-US"/>
              </w:rPr>
            </w:pPr>
            <w:r>
              <w:rPr>
                <w:bCs/>
              </w:rPr>
              <w:t>=&gt;</w:t>
            </w:r>
            <w:r>
              <w:rPr>
                <w:rFonts w:ascii="Helvetica Neue" w:eastAsia="SimSun" w:hAnsi="Helvetica Neue" w:cs="Helvetica Neue"/>
                <w:color w:val="000000"/>
                <w:sz w:val="26"/>
                <w:szCs w:val="26"/>
                <w:lang w:val="en-US" w:eastAsia="en-US"/>
              </w:rPr>
              <w:t xml:space="preserve"> </w:t>
            </w:r>
            <w:r>
              <w:rPr>
                <w:rFonts w:ascii="Helvetica Neue" w:eastAsia="SimSun" w:hAnsi="Helvetica Neue" w:cs="Helvetica Neue"/>
                <w:color w:val="000000"/>
                <w:sz w:val="26"/>
                <w:szCs w:val="26"/>
                <w:lang w:val="en-US" w:eastAsia="en-US"/>
              </w:rPr>
              <w:t xml:space="preserve">The same wording is </w:t>
            </w:r>
            <w:proofErr w:type="spellStart"/>
            <w:r>
              <w:rPr>
                <w:rFonts w:ascii="Helvetica Neue" w:eastAsia="SimSun" w:hAnsi="Helvetica Neue" w:cs="Helvetica Neue"/>
                <w:color w:val="000000"/>
                <w:sz w:val="26"/>
                <w:szCs w:val="26"/>
                <w:lang w:val="en-US" w:eastAsia="en-US"/>
              </w:rPr>
              <w:t>neede</w:t>
            </w:r>
            <w:proofErr w:type="spellEnd"/>
            <w:r>
              <w:rPr>
                <w:rFonts w:ascii="Helvetica Neue" w:eastAsia="SimSun" w:hAnsi="Helvetica Neue" w:cs="Helvetica Neue"/>
                <w:color w:val="000000"/>
                <w:sz w:val="26"/>
                <w:szCs w:val="26"/>
                <w:lang w:val="en-US" w:eastAsia="en-US"/>
              </w:rPr>
              <w:t xml:space="preserve"> for NES UE.</w:t>
            </w:r>
          </w:p>
        </w:tc>
        <w:tc>
          <w:tcPr>
            <w:tcW w:w="4191" w:type="dxa"/>
          </w:tcPr>
          <w:p w14:paraId="6CF83BF2" w14:textId="77777777" w:rsidR="00D45311" w:rsidRDefault="00745DC1" w:rsidP="00D45311">
            <w:pPr>
              <w:pStyle w:val="BodyText"/>
              <w:keepNext/>
              <w:rPr>
                <w:bCs/>
                <w:lang w:val="en-US"/>
              </w:rPr>
            </w:pPr>
            <w:r w:rsidRPr="00745DC1">
              <w:rPr>
                <w:bCs/>
                <w:lang w:val="en-US"/>
              </w:rPr>
              <w:t>Disagree</w:t>
            </w:r>
            <w:r>
              <w:rPr>
                <w:bCs/>
                <w:lang w:val="en-US"/>
              </w:rPr>
              <w:t>.</w:t>
            </w:r>
          </w:p>
          <w:p w14:paraId="18443FC9" w14:textId="1D1C374B" w:rsidR="00745DC1" w:rsidRPr="00745DC1" w:rsidRDefault="00745DC1" w:rsidP="00D45311">
            <w:pPr>
              <w:pStyle w:val="BodyText"/>
              <w:keepNext/>
              <w:rPr>
                <w:bCs/>
                <w:lang w:val="en-US"/>
              </w:rPr>
            </w:pPr>
            <w:r>
              <w:rPr>
                <w:bCs/>
                <w:lang w:val="en-US"/>
              </w:rPr>
              <w:t>According to below agreement, the legacy bit in MIB can be ignored by NES capable UE only when new bit is present (i.e. the UE shall apply legacy bit if new bit is absent)</w:t>
            </w:r>
          </w:p>
        </w:tc>
      </w:tr>
      <w:tr w:rsidR="001D0701" w:rsidRPr="00D45311" w14:paraId="1F7913BF" w14:textId="77777777" w:rsidTr="00B84554">
        <w:trPr>
          <w:trHeight w:val="127"/>
        </w:trPr>
        <w:tc>
          <w:tcPr>
            <w:tcW w:w="1271" w:type="dxa"/>
            <w:shd w:val="clear" w:color="auto" w:fill="auto"/>
          </w:tcPr>
          <w:p w14:paraId="49F1ECC5" w14:textId="2B647F89" w:rsidR="00D45311" w:rsidRPr="00D45311" w:rsidRDefault="005F1307" w:rsidP="00D45311">
            <w:pPr>
              <w:pStyle w:val="BodyText"/>
              <w:keepNext/>
              <w:rPr>
                <w:bCs/>
                <w:lang w:val="en-US"/>
              </w:rPr>
            </w:pPr>
            <w:r>
              <w:rPr>
                <w:bCs/>
                <w:lang w:val="en-US"/>
              </w:rPr>
              <w:t>BT</w:t>
            </w:r>
            <w:r w:rsidR="00745DC1">
              <w:rPr>
                <w:bCs/>
                <w:lang w:val="en-US"/>
              </w:rPr>
              <w:t>1</w:t>
            </w:r>
          </w:p>
        </w:tc>
        <w:tc>
          <w:tcPr>
            <w:tcW w:w="4394" w:type="dxa"/>
          </w:tcPr>
          <w:p w14:paraId="0EDC751C" w14:textId="77777777" w:rsidR="00B14C27" w:rsidRDefault="00B14C27" w:rsidP="00B14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SimSun" w:hAnsi="Helvetica Neue" w:cs="Helvetica Neue"/>
                <w:color w:val="000000"/>
                <w:sz w:val="26"/>
                <w:szCs w:val="26"/>
                <w:lang w:val="en-US" w:eastAsia="en-US"/>
              </w:rPr>
            </w:pPr>
            <w:r>
              <w:rPr>
                <w:rFonts w:ascii="Helvetica Neue" w:eastAsia="SimSun" w:hAnsi="Helvetica Neue" w:cs="Helvetica Neue"/>
                <w:color w:val="000000"/>
                <w:sz w:val="26"/>
                <w:szCs w:val="26"/>
                <w:lang w:val="en-US" w:eastAsia="en-US"/>
              </w:rPr>
              <w:t>1. It looks easier to follow same approach as before "This field is only applicable to NES-capable UEs"</w:t>
            </w:r>
          </w:p>
          <w:p w14:paraId="611511AA" w14:textId="2D99BDE0" w:rsidR="00D45311" w:rsidRPr="00D45311" w:rsidRDefault="00D45311" w:rsidP="00B14C27">
            <w:pPr>
              <w:pStyle w:val="BodyText"/>
              <w:keepNext/>
              <w:rPr>
                <w:bCs/>
                <w:lang w:val="en-US"/>
              </w:rPr>
            </w:pPr>
          </w:p>
        </w:tc>
        <w:tc>
          <w:tcPr>
            <w:tcW w:w="4191" w:type="dxa"/>
          </w:tcPr>
          <w:p w14:paraId="4A547B02" w14:textId="77777777" w:rsidR="00745DC1" w:rsidRDefault="00745DC1" w:rsidP="00D45311">
            <w:pPr>
              <w:pStyle w:val="BodyText"/>
              <w:keepNext/>
              <w:rPr>
                <w:bCs/>
                <w:lang w:val="en-US"/>
              </w:rPr>
            </w:pPr>
            <w:r>
              <w:rPr>
                <w:bCs/>
                <w:lang w:val="en-US"/>
              </w:rPr>
              <w:t>OK.</w:t>
            </w:r>
          </w:p>
          <w:p w14:paraId="00538745" w14:textId="0614513D" w:rsidR="00D45311" w:rsidRPr="00D45311" w:rsidRDefault="00745DC1" w:rsidP="00D45311">
            <w:pPr>
              <w:pStyle w:val="BodyText"/>
              <w:keepNext/>
              <w:rPr>
                <w:bCs/>
                <w:lang w:val="en-US"/>
              </w:rPr>
            </w:pPr>
            <w:r>
              <w:rPr>
                <w:bCs/>
                <w:lang w:val="en-US"/>
              </w:rPr>
              <w:t xml:space="preserve">Rapporteur think the main issue is how to define "non NES capable UE", which should be avoided. So, I will implement this change.  </w:t>
            </w:r>
          </w:p>
        </w:tc>
      </w:tr>
      <w:tr w:rsidR="001D0701" w:rsidRPr="00D45311" w14:paraId="1E752356" w14:textId="77777777" w:rsidTr="00B84554">
        <w:trPr>
          <w:trHeight w:val="127"/>
        </w:trPr>
        <w:tc>
          <w:tcPr>
            <w:tcW w:w="1271" w:type="dxa"/>
            <w:shd w:val="clear" w:color="auto" w:fill="auto"/>
          </w:tcPr>
          <w:p w14:paraId="02F74A47" w14:textId="264013CB" w:rsidR="00D45311" w:rsidRPr="00D45311" w:rsidRDefault="00745DC1" w:rsidP="00D45311">
            <w:pPr>
              <w:pStyle w:val="BodyText"/>
              <w:keepNext/>
              <w:rPr>
                <w:bCs/>
                <w:lang w:val="en-US"/>
              </w:rPr>
            </w:pPr>
            <w:r>
              <w:rPr>
                <w:bCs/>
                <w:lang w:val="en-US"/>
              </w:rPr>
              <w:t>BT2</w:t>
            </w:r>
          </w:p>
        </w:tc>
        <w:tc>
          <w:tcPr>
            <w:tcW w:w="4394" w:type="dxa"/>
          </w:tcPr>
          <w:p w14:paraId="63E93705" w14:textId="58278307" w:rsidR="00D45311" w:rsidRPr="00D45311" w:rsidRDefault="00745DC1" w:rsidP="00D45311">
            <w:pPr>
              <w:pStyle w:val="BodyText"/>
              <w:keepNext/>
              <w:rPr>
                <w:bCs/>
                <w:lang w:val="en-US"/>
              </w:rPr>
            </w:pPr>
            <w:r>
              <w:rPr>
                <w:rFonts w:ascii="Helvetica Neue" w:eastAsia="SimSun" w:hAnsi="Helvetica Neue" w:cs="Helvetica Neue"/>
                <w:color w:val="000000"/>
                <w:sz w:val="26"/>
                <w:szCs w:val="26"/>
                <w:lang w:val="en-US" w:eastAsia="en-US"/>
              </w:rPr>
              <w:t xml:space="preserve">2. In addition, we need to capture "If not present the UE shall follow legacy barring". Proposal "If </w:t>
            </w:r>
            <w:proofErr w:type="spellStart"/>
            <w:r>
              <w:rPr>
                <w:rFonts w:ascii="Helvetica Neue" w:eastAsia="SimSun" w:hAnsi="Helvetica Neue" w:cs="Helvetica Neue"/>
                <w:i/>
                <w:iCs/>
                <w:color w:val="000000"/>
                <w:sz w:val="26"/>
                <w:szCs w:val="26"/>
                <w:lang w:val="en-US" w:eastAsia="en-US"/>
              </w:rPr>
              <w:t>cellBarredNES</w:t>
            </w:r>
            <w:proofErr w:type="spellEnd"/>
            <w:r>
              <w:rPr>
                <w:rFonts w:ascii="Helvetica Neue" w:eastAsia="SimSun" w:hAnsi="Helvetica Neue" w:cs="Helvetica Neue"/>
                <w:color w:val="000000"/>
                <w:sz w:val="26"/>
                <w:szCs w:val="26"/>
                <w:lang w:val="en-US" w:eastAsia="en-US"/>
              </w:rPr>
              <w:t xml:space="preserve"> is not present, NES-capable UEs will follow </w:t>
            </w:r>
            <w:proofErr w:type="spellStart"/>
            <w:r>
              <w:rPr>
                <w:rFonts w:ascii="Helvetica Neue" w:eastAsia="SimSun" w:hAnsi="Helvetica Neue" w:cs="Helvetica Neue"/>
                <w:i/>
                <w:iCs/>
                <w:color w:val="000000"/>
                <w:sz w:val="26"/>
                <w:szCs w:val="26"/>
                <w:lang w:val="en-US" w:eastAsia="en-US"/>
              </w:rPr>
              <w:t>cellBarred</w:t>
            </w:r>
            <w:proofErr w:type="spellEnd"/>
            <w:r>
              <w:rPr>
                <w:rFonts w:ascii="Helvetica Neue" w:eastAsia="SimSun"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D45311">
            <w:pPr>
              <w:pStyle w:val="BodyText"/>
              <w:keepNext/>
              <w:rPr>
                <w:bCs/>
                <w:lang w:val="en-US"/>
              </w:rPr>
            </w:pPr>
            <w:r>
              <w:rPr>
                <w:bCs/>
                <w:lang w:val="en-US"/>
              </w:rPr>
              <w:t>See response to Huawei's comments.</w:t>
            </w:r>
          </w:p>
        </w:tc>
      </w:tr>
      <w:tr w:rsidR="001D0701" w:rsidRPr="00D45311" w14:paraId="2F6E71A2" w14:textId="77777777" w:rsidTr="00B84554">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394" w:type="dxa"/>
          </w:tcPr>
          <w:p w14:paraId="427E9265" w14:textId="77777777" w:rsidR="00D45311" w:rsidRPr="00D45311" w:rsidRDefault="00D45311" w:rsidP="00D45311">
            <w:pPr>
              <w:pStyle w:val="BodyText"/>
              <w:keepNext/>
              <w:rPr>
                <w:bCs/>
                <w:lang w:val="en-US"/>
              </w:rPr>
            </w:pPr>
          </w:p>
        </w:tc>
        <w:tc>
          <w:tcPr>
            <w:tcW w:w="4191" w:type="dxa"/>
          </w:tcPr>
          <w:p w14:paraId="0CC2FCF1" w14:textId="77777777" w:rsidR="00D45311" w:rsidRPr="00D45311" w:rsidRDefault="00D45311" w:rsidP="00D45311">
            <w:pPr>
              <w:pStyle w:val="BodyText"/>
              <w:keepNext/>
              <w:rPr>
                <w:bCs/>
                <w:i/>
                <w:lang w:val="en-US"/>
              </w:rPr>
            </w:pPr>
          </w:p>
        </w:tc>
      </w:tr>
      <w:tr w:rsidR="001D0701" w:rsidRPr="00D45311" w14:paraId="2C036CE3" w14:textId="77777777" w:rsidTr="00B84554">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394" w:type="dxa"/>
          </w:tcPr>
          <w:p w14:paraId="0F06824E" w14:textId="77777777" w:rsidR="00D45311" w:rsidRPr="00D45311" w:rsidRDefault="00D45311" w:rsidP="00D45311">
            <w:pPr>
              <w:pStyle w:val="BodyText"/>
              <w:keepNext/>
              <w:rPr>
                <w:bCs/>
                <w:lang w:val="en-US"/>
              </w:rPr>
            </w:pPr>
          </w:p>
        </w:tc>
        <w:tc>
          <w:tcPr>
            <w:tcW w:w="4191" w:type="dxa"/>
          </w:tcPr>
          <w:p w14:paraId="07C1AC80" w14:textId="77777777" w:rsidR="00D45311" w:rsidRPr="00D45311" w:rsidRDefault="00D45311" w:rsidP="00D45311">
            <w:pPr>
              <w:pStyle w:val="BodyText"/>
              <w:keepNext/>
              <w:rPr>
                <w:bCs/>
                <w:lang w:val="en-US"/>
              </w:rPr>
            </w:pPr>
          </w:p>
        </w:tc>
      </w:tr>
      <w:tr w:rsidR="001D0701" w:rsidRPr="00D45311" w14:paraId="3D2B083B" w14:textId="77777777" w:rsidTr="00B84554">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394" w:type="dxa"/>
          </w:tcPr>
          <w:p w14:paraId="191D3868" w14:textId="77777777" w:rsidR="00D45311" w:rsidRPr="00D45311" w:rsidRDefault="00D45311" w:rsidP="00D45311">
            <w:pPr>
              <w:pStyle w:val="BodyText"/>
              <w:keepNext/>
              <w:rPr>
                <w:bCs/>
                <w:lang w:val="en-US"/>
              </w:rPr>
            </w:pPr>
          </w:p>
        </w:tc>
        <w:tc>
          <w:tcPr>
            <w:tcW w:w="4191" w:type="dxa"/>
          </w:tcPr>
          <w:p w14:paraId="1109B9D6" w14:textId="77777777" w:rsidR="00D45311" w:rsidRPr="00D45311" w:rsidRDefault="00D45311" w:rsidP="00D45311">
            <w:pPr>
              <w:pStyle w:val="BodyText"/>
              <w:keepNext/>
              <w:rPr>
                <w:bCs/>
                <w:lang w:val="en-US"/>
              </w:rPr>
            </w:pPr>
          </w:p>
        </w:tc>
      </w:tr>
      <w:tr w:rsidR="001D0701" w:rsidRPr="00D45311" w14:paraId="5594707E" w14:textId="77777777" w:rsidTr="00B84554">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394" w:type="dxa"/>
          </w:tcPr>
          <w:p w14:paraId="6C85B465" w14:textId="77777777" w:rsidR="00D45311" w:rsidRPr="00D45311" w:rsidRDefault="00D45311" w:rsidP="00D45311">
            <w:pPr>
              <w:pStyle w:val="BodyText"/>
              <w:keepNext/>
              <w:rPr>
                <w:lang w:val="en-US"/>
              </w:rPr>
            </w:pPr>
          </w:p>
        </w:tc>
        <w:tc>
          <w:tcPr>
            <w:tcW w:w="4191" w:type="dxa"/>
          </w:tcPr>
          <w:p w14:paraId="6066749C" w14:textId="77777777" w:rsidR="00D45311" w:rsidRPr="00D45311" w:rsidRDefault="00D45311" w:rsidP="00D45311">
            <w:pPr>
              <w:pStyle w:val="BodyText"/>
              <w:keepNext/>
              <w:rPr>
                <w:bCs/>
                <w:i/>
                <w:lang w:val="en-US"/>
              </w:rPr>
            </w:pPr>
          </w:p>
        </w:tc>
      </w:tr>
      <w:tr w:rsidR="001D0701" w:rsidRPr="00D45311" w14:paraId="41261535" w14:textId="77777777" w:rsidTr="00B84554">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394" w:type="dxa"/>
          </w:tcPr>
          <w:p w14:paraId="05D9BE7E" w14:textId="77777777" w:rsidR="00D45311" w:rsidRPr="00D45311" w:rsidRDefault="00D45311" w:rsidP="00D45311">
            <w:pPr>
              <w:pStyle w:val="BodyText"/>
              <w:keepNext/>
              <w:rPr>
                <w:bCs/>
                <w:lang w:val="en-US"/>
              </w:rPr>
            </w:pPr>
          </w:p>
        </w:tc>
        <w:tc>
          <w:tcPr>
            <w:tcW w:w="4191" w:type="dxa"/>
          </w:tcPr>
          <w:p w14:paraId="0D6D9CD3" w14:textId="77777777" w:rsidR="00D45311" w:rsidRPr="00D45311" w:rsidRDefault="00D45311" w:rsidP="00D45311">
            <w:pPr>
              <w:pStyle w:val="BodyText"/>
              <w:keepNext/>
              <w:rPr>
                <w:bCs/>
                <w:lang w:val="en-US"/>
              </w:rPr>
            </w:pPr>
          </w:p>
        </w:tc>
      </w:tr>
    </w:tbl>
    <w:p w14:paraId="3200DDF7" w14:textId="66502BBD" w:rsidR="00D45311" w:rsidRDefault="00D45311" w:rsidP="00BB4C68">
      <w:pPr>
        <w:pStyle w:val="BodyText"/>
        <w:keepNext/>
      </w:pPr>
    </w:p>
    <w:p w14:paraId="533E32BE" w14:textId="77777777" w:rsidR="007564E5" w:rsidRPr="00C147C3" w:rsidRDefault="007564E5" w:rsidP="00073E3F">
      <w:pPr>
        <w:pStyle w:val="BodyText"/>
      </w:pPr>
    </w:p>
    <w:p w14:paraId="7C16F1F1" w14:textId="5E44CED2" w:rsidR="00A070D0" w:rsidRPr="00C147C3" w:rsidRDefault="00A070D0" w:rsidP="003A4684">
      <w:pPr>
        <w:pStyle w:val="Reference"/>
        <w:numPr>
          <w:ilvl w:val="0"/>
          <w:numId w:val="0"/>
        </w:numPr>
        <w:ind w:left="567"/>
      </w:pPr>
      <w:bookmarkStart w:id="1" w:name="_Toc109400796"/>
      <w:bookmarkStart w:id="2" w:name="_Toc109400797"/>
      <w:bookmarkStart w:id="3" w:name="_Toc109400798"/>
      <w:bookmarkStart w:id="4" w:name="_Toc109400799"/>
      <w:bookmarkStart w:id="5" w:name="_Toc109400800"/>
      <w:bookmarkStart w:id="6" w:name="_Toc109400801"/>
      <w:bookmarkStart w:id="7" w:name="_Toc109400802"/>
      <w:bookmarkStart w:id="8" w:name="_Toc109400803"/>
      <w:bookmarkStart w:id="9" w:name="_Toc109400804"/>
      <w:bookmarkStart w:id="10" w:name="_Toc109400805"/>
      <w:bookmarkStart w:id="11" w:name="_Toc109400806"/>
      <w:bookmarkStart w:id="12" w:name="_Toc109400807"/>
      <w:bookmarkStart w:id="13" w:name="_Toc109400808"/>
      <w:bookmarkStart w:id="14" w:name="_Toc109400809"/>
      <w:bookmarkStart w:id="15" w:name="_Toc109400810"/>
      <w:bookmarkStart w:id="16" w:name="_Toc109400811"/>
      <w:bookmarkStart w:id="17" w:name="_Toc109400812"/>
      <w:bookmarkStart w:id="18" w:name="_Toc109400813"/>
      <w:bookmarkStart w:id="19" w:name="_Toc109400814"/>
      <w:bookmarkStart w:id="20" w:name="_Toc109400815"/>
      <w:bookmarkStart w:id="21" w:name="_Toc109400816"/>
      <w:bookmarkStart w:id="22" w:name="_Toc109400817"/>
      <w:bookmarkStart w:id="23" w:name="_Toc10940081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1F1E" w14:textId="77777777" w:rsidR="007A0C4B" w:rsidRDefault="007A0C4B">
      <w:pPr>
        <w:spacing w:after="0"/>
      </w:pPr>
      <w:r>
        <w:separator/>
      </w:r>
    </w:p>
  </w:endnote>
  <w:endnote w:type="continuationSeparator" w:id="0">
    <w:p w14:paraId="313DFB09" w14:textId="77777777" w:rsidR="007A0C4B" w:rsidRDefault="007A0C4B">
      <w:pPr>
        <w:spacing w:after="0"/>
      </w:pPr>
      <w:r>
        <w:continuationSeparator/>
      </w:r>
    </w:p>
  </w:endnote>
  <w:endnote w:type="continuationNotice" w:id="1">
    <w:p w14:paraId="3B93C00B" w14:textId="77777777" w:rsidR="007A0C4B" w:rsidRDefault="007A0C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451C" w14:textId="77777777" w:rsidR="007A0C4B" w:rsidRDefault="007A0C4B">
      <w:pPr>
        <w:spacing w:after="0"/>
      </w:pPr>
      <w:r>
        <w:separator/>
      </w:r>
    </w:p>
  </w:footnote>
  <w:footnote w:type="continuationSeparator" w:id="0">
    <w:p w14:paraId="705EF521" w14:textId="77777777" w:rsidR="007A0C4B" w:rsidRDefault="007A0C4B">
      <w:pPr>
        <w:spacing w:after="0"/>
      </w:pPr>
      <w:r>
        <w:continuationSeparator/>
      </w:r>
    </w:p>
  </w:footnote>
  <w:footnote w:type="continuationNotice" w:id="1">
    <w:p w14:paraId="3B98491A" w14:textId="77777777" w:rsidR="007A0C4B" w:rsidRDefault="007A0C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135320910">
    <w:abstractNumId w:val="9"/>
  </w:num>
  <w:num w:numId="2" w16cid:durableId="1276063425">
    <w:abstractNumId w:val="6"/>
  </w:num>
  <w:num w:numId="3" w16cid:durableId="2018999826">
    <w:abstractNumId w:val="10"/>
  </w:num>
  <w:num w:numId="4" w16cid:durableId="213539516">
    <w:abstractNumId w:val="16"/>
  </w:num>
  <w:num w:numId="5" w16cid:durableId="528374972">
    <w:abstractNumId w:val="11"/>
  </w:num>
  <w:num w:numId="6" w16cid:durableId="390620930">
    <w:abstractNumId w:val="1"/>
  </w:num>
  <w:num w:numId="7" w16cid:durableId="478496051">
    <w:abstractNumId w:val="14"/>
  </w:num>
  <w:num w:numId="8" w16cid:durableId="645204283">
    <w:abstractNumId w:val="15"/>
  </w:num>
  <w:num w:numId="9" w16cid:durableId="713240725">
    <w:abstractNumId w:val="2"/>
  </w:num>
  <w:num w:numId="10" w16cid:durableId="69085881">
    <w:abstractNumId w:val="7"/>
  </w:num>
  <w:num w:numId="11" w16cid:durableId="367801572">
    <w:abstractNumId w:val="3"/>
  </w:num>
  <w:num w:numId="12" w16cid:durableId="47650290">
    <w:abstractNumId w:val="0"/>
  </w:num>
  <w:num w:numId="13" w16cid:durableId="1103649856">
    <w:abstractNumId w:val="17"/>
  </w:num>
  <w:num w:numId="14" w16cid:durableId="1314064160">
    <w:abstractNumId w:val="13"/>
  </w:num>
  <w:num w:numId="15" w16cid:durableId="613251307">
    <w:abstractNumId w:val="4"/>
  </w:num>
  <w:num w:numId="16" w16cid:durableId="1076323048">
    <w:abstractNumId w:val="8"/>
  </w:num>
  <w:num w:numId="17" w16cid:durableId="885872445">
    <w:abstractNumId w:val="5"/>
  </w:num>
  <w:num w:numId="18" w16cid:durableId="42893538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1307"/>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2295</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160</cp:revision>
  <dcterms:created xsi:type="dcterms:W3CDTF">2023-03-09T06:32:00Z</dcterms:created>
  <dcterms:modified xsi:type="dcterms:W3CDTF">2023-09-14T01:09:00Z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