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bCs/>
          <w:sz w:val="24"/>
        </w:rPr>
        <w:t>3GPP TSG-RAN WG2 Meeting #123</w:t>
      </w:r>
      <w:r>
        <w:rPr>
          <w:b/>
          <w:i/>
          <w:sz w:val="28"/>
        </w:rPr>
        <w:tab/>
      </w:r>
      <w:r>
        <w:rPr>
          <w:rFonts w:hint="eastAsia"/>
          <w:b/>
          <w:bCs/>
          <w:i/>
          <w:sz w:val="28"/>
          <w:highlight w:val="yellow"/>
        </w:rPr>
        <w:t>R</w:t>
      </w:r>
      <w:r>
        <w:rPr>
          <w:b/>
          <w:bCs/>
          <w:i/>
          <w:sz w:val="28"/>
          <w:highlight w:val="yellow"/>
        </w:rPr>
        <w:t>2</w:t>
      </w:r>
      <w:r>
        <w:rPr>
          <w:rFonts w:hint="eastAsia"/>
          <w:b/>
          <w:bCs/>
          <w:i/>
          <w:sz w:val="28"/>
          <w:highlight w:val="yellow"/>
        </w:rPr>
        <w:t>-</w:t>
      </w:r>
      <w:r>
        <w:rPr>
          <w:b/>
          <w:bCs/>
          <w:i/>
          <w:sz w:val="28"/>
          <w:highlight w:val="yellow"/>
        </w:rPr>
        <w:t>230xxxx</w:t>
      </w:r>
    </w:p>
    <w:p>
      <w:pPr>
        <w:pStyle w:val="81"/>
        <w:outlineLvl w:val="0"/>
        <w:rPr>
          <w:b/>
          <w:sz w:val="24"/>
          <w:lang w:val="en-US"/>
        </w:rPr>
      </w:pPr>
      <w:r>
        <w:rPr>
          <w:b/>
          <w:sz w:val="24"/>
        </w:rPr>
        <w:t>Toulouse, France, 21– 25 August 2023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draft</w:t>
            </w:r>
          </w:p>
        </w:tc>
        <w:tc>
          <w:tcPr>
            <w:tcW w:w="709" w:type="dxa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38.306 running CR for mobile IAB capabilities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Nokia, Nokia Shanghai Bell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R2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NR_mobile_IAB-Core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highlight w:val="yellow"/>
              </w:rPr>
              <w:t>2023-09-22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Rel-18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before="20" w:after="80"/>
              <w:ind w:left="102"/>
            </w:pPr>
            <w:r>
              <w:t>Introducing Rel-18 mobile IAB feature to 38.306.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i/>
                <w:iCs/>
              </w:rPr>
            </w:pPr>
            <w:r>
              <w:rPr>
                <w:i/>
                <w:iCs/>
              </w:rPr>
              <w:t>mobile-IAB-r18</w:t>
            </w:r>
            <w:r>
              <w:t xml:space="preserve"> capability added to 4.2.15.2</w:t>
            </w:r>
            <w:r>
              <w:rPr>
                <w:i/>
                <w:iCs/>
              </w:rPr>
              <w:t xml:space="preserve"> </w:t>
            </w:r>
          </w:p>
          <w:p>
            <w:pPr>
              <w:pStyle w:val="81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</w:pPr>
            <w:r>
              <w:t xml:space="preserve">Add note to 4.2.15.9 and 4.2.15.10 to indicate that MR-DC and NR-DC related parameters shall be ignored by an IAB node indicating </w:t>
            </w:r>
            <w:r>
              <w:rPr>
                <w:i/>
                <w:iCs/>
              </w:rPr>
              <w:t>mobile-IAB-r18</w:t>
            </w:r>
            <w: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Mobile IAB feature cannot be supported.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4.2.15.2</w:t>
            </w:r>
          </w:p>
          <w:p>
            <w:pPr>
              <w:pStyle w:val="81"/>
              <w:spacing w:after="0"/>
              <w:ind w:left="100"/>
            </w:pPr>
            <w:r>
              <w:t>4.2.15.8</w:t>
            </w:r>
          </w:p>
          <w:p>
            <w:pPr>
              <w:pStyle w:val="81"/>
              <w:spacing w:after="0"/>
              <w:ind w:left="100"/>
            </w:pPr>
            <w:r>
              <w:t>4.2.15.9</w:t>
            </w:r>
          </w:p>
          <w:p>
            <w:pPr>
              <w:pStyle w:val="81"/>
              <w:spacing w:after="0"/>
              <w:ind w:left="100"/>
            </w:pPr>
            <w:r>
              <w:t>4.2.15.10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38.331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6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First Modified Subclause</w:t>
      </w:r>
    </w:p>
    <w:p>
      <w:pPr>
        <w:pStyle w:val="5"/>
      </w:pPr>
      <w:bookmarkStart w:id="1" w:name="_Toc46488685"/>
      <w:bookmarkStart w:id="2" w:name="_Toc52574192"/>
      <w:bookmarkStart w:id="3" w:name="_Toc139146818"/>
      <w:bookmarkStart w:id="4" w:name="_Toc52574106"/>
      <w:r>
        <w:t>4.2.15.2</w:t>
      </w:r>
      <w:r>
        <w:tab/>
      </w:r>
      <w:r>
        <w:t>General Parameters</w:t>
      </w:r>
      <w:bookmarkEnd w:id="1"/>
      <w:bookmarkEnd w:id="2"/>
      <w:bookmarkEnd w:id="3"/>
      <w:bookmarkEnd w:id="4"/>
    </w:p>
    <w:tbl>
      <w:tblPr>
        <w:tblStyle w:val="42"/>
        <w:tblW w:w="9630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  <w:gridCol w:w="680"/>
        <w:gridCol w:w="567"/>
        <w:gridCol w:w="807"/>
        <w:gridCol w:w="630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46" w:type="dxa"/>
          </w:tcPr>
          <w:p>
            <w:pPr>
              <w:pStyle w:val="51"/>
            </w:pPr>
            <w:r>
              <w:t>Definitions for parameters</w:t>
            </w:r>
          </w:p>
        </w:tc>
        <w:tc>
          <w:tcPr>
            <w:tcW w:w="680" w:type="dxa"/>
          </w:tcPr>
          <w:p>
            <w:pPr>
              <w:pStyle w:val="51"/>
            </w:pPr>
            <w:r>
              <w:t>Per</w:t>
            </w:r>
          </w:p>
        </w:tc>
        <w:tc>
          <w:tcPr>
            <w:tcW w:w="567" w:type="dxa"/>
          </w:tcPr>
          <w:p>
            <w:pPr>
              <w:pStyle w:val="51"/>
            </w:pPr>
            <w:r>
              <w:t>M</w:t>
            </w:r>
          </w:p>
        </w:tc>
        <w:tc>
          <w:tcPr>
            <w:tcW w:w="807" w:type="dxa"/>
          </w:tcPr>
          <w:p>
            <w:pPr>
              <w:pStyle w:val="51"/>
            </w:pPr>
            <w:r>
              <w:t>FDD-TDD</w:t>
            </w:r>
          </w:p>
          <w:p>
            <w:pPr>
              <w:pStyle w:val="51"/>
            </w:pPr>
            <w:r>
              <w:t>DIFF</w:t>
            </w:r>
          </w:p>
        </w:tc>
        <w:tc>
          <w:tcPr>
            <w:tcW w:w="630" w:type="dxa"/>
          </w:tcPr>
          <w:p>
            <w:pPr>
              <w:pStyle w:val="51"/>
            </w:pPr>
            <w:r>
              <w:t>FR1-FR2</w:t>
            </w:r>
          </w:p>
          <w:p>
            <w:pPr>
              <w:pStyle w:val="51"/>
            </w:pPr>
            <w:r>
              <w:t>DIFF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46" w:type="dxa"/>
          </w:tcPr>
          <w:p>
            <w:pPr>
              <w:pStyle w:val="5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bh-RLF-DetectionRecovery-Indication-r17</w:t>
            </w:r>
          </w:p>
          <w:p>
            <w:pPr>
              <w:pStyle w:val="53"/>
            </w:pPr>
            <w:r>
              <w:t>Indicates whether the IAB-MT supports BH RLF detection indication and BH RLF recovery indication handling as specified in TS 38.340 [23]</w:t>
            </w:r>
          </w:p>
        </w:tc>
        <w:tc>
          <w:tcPr>
            <w:tcW w:w="680" w:type="dxa"/>
          </w:tcPr>
          <w:p>
            <w:pPr>
              <w:pStyle w:val="53"/>
              <w:jc w:val="center"/>
            </w:pPr>
            <w:r>
              <w:rPr>
                <w:bCs/>
              </w:rPr>
              <w:t>IAB-MT</w:t>
            </w:r>
          </w:p>
        </w:tc>
        <w:tc>
          <w:tcPr>
            <w:tcW w:w="567" w:type="dxa"/>
          </w:tcPr>
          <w:p>
            <w:pPr>
              <w:pStyle w:val="53"/>
              <w:jc w:val="center"/>
            </w:pPr>
            <w:r>
              <w:rPr>
                <w:bCs/>
              </w:rPr>
              <w:t>No</w:t>
            </w:r>
          </w:p>
        </w:tc>
        <w:tc>
          <w:tcPr>
            <w:tcW w:w="807" w:type="dxa"/>
          </w:tcPr>
          <w:p>
            <w:pPr>
              <w:pStyle w:val="53"/>
              <w:jc w:val="center"/>
            </w:pPr>
            <w:r>
              <w:rPr>
                <w:bCs/>
              </w:rPr>
              <w:t>No</w:t>
            </w:r>
          </w:p>
        </w:tc>
        <w:tc>
          <w:tcPr>
            <w:tcW w:w="630" w:type="dxa"/>
          </w:tcPr>
          <w:p>
            <w:pPr>
              <w:pStyle w:val="53"/>
              <w:jc w:val="center"/>
            </w:pPr>
            <w:r>
              <w:rPr>
                <w:bCs/>
              </w:rPr>
              <w:t>No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46" w:type="dxa"/>
          </w:tcPr>
          <w:p>
            <w:pPr>
              <w:pStyle w:val="53"/>
              <w:rPr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bh-RLF-Indication-r16</w:t>
            </w:r>
          </w:p>
          <w:p>
            <w:pPr>
              <w:pStyle w:val="53"/>
              <w:rPr>
                <w:bCs/>
              </w:rPr>
            </w:pPr>
            <w:r>
              <w:rPr>
                <w:bCs/>
              </w:rPr>
              <w:t>Indicates whether the IAB-MT supports BH RLF indication handling as specified in TS 38.331 [9] and in TS 38.340 [23]</w:t>
            </w:r>
          </w:p>
        </w:tc>
        <w:tc>
          <w:tcPr>
            <w:tcW w:w="680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IAB-MT</w:t>
            </w:r>
          </w:p>
        </w:tc>
        <w:tc>
          <w:tcPr>
            <w:tcW w:w="567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807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630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cantSplit/>
          <w:tblHeader/>
        </w:trPr>
        <w:tc>
          <w:tcPr>
            <w:tcW w:w="6946" w:type="dxa"/>
          </w:tcPr>
          <w:p>
            <w:pPr>
              <w:pStyle w:val="5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directSN-AdditionFirstRRC-IAB-r16</w:t>
            </w:r>
          </w:p>
          <w:p>
            <w:pPr>
              <w:pStyle w:val="53"/>
              <w:rPr>
                <w:b/>
                <w:bCs/>
                <w:i/>
                <w:iCs/>
              </w:rPr>
            </w:pPr>
            <w:r>
              <w:rPr>
                <w:bCs/>
              </w:rPr>
              <w:t>Indicates whether the IAB-MT supports direct SN addition in the first RRC connection reconfiguration after RRC connection establishment.</w:t>
            </w:r>
          </w:p>
        </w:tc>
        <w:tc>
          <w:tcPr>
            <w:tcW w:w="680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IAB-MT</w:t>
            </w:r>
          </w:p>
        </w:tc>
        <w:tc>
          <w:tcPr>
            <w:tcW w:w="567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807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630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ins w:id="0" w:author="Before RAN2#123" w:date="2023-08-11T00:29:00Z"/>
        </w:trPr>
        <w:tc>
          <w:tcPr>
            <w:tcW w:w="6946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" w:author="Before RAN2#123" w:date="2023-08-11T00:30:00Z"/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ins w:id="2" w:author="Before RAN2#123" w:date="2023-08-11T00:30:00Z">
              <w:r>
                <w:rPr>
                  <w:rFonts w:ascii="Arial" w:hAnsi="Arial"/>
                  <w:b/>
                  <w:bCs/>
                  <w:i/>
                  <w:iCs/>
                  <w:sz w:val="18"/>
                  <w:lang w:eastAsia="ja-JP"/>
                </w:rPr>
                <w:t>mobile-IAB-r18</w:t>
              </w:r>
            </w:ins>
          </w:p>
          <w:p>
            <w:pPr>
              <w:pStyle w:val="53"/>
              <w:rPr>
                <w:ins w:id="3" w:author="Before RAN2#123" w:date="2023-08-11T00:29:00Z"/>
                <w:b/>
                <w:i w:val="0"/>
                <w:lang w:val="en-US"/>
                <w:rPrChange w:id="4" w:author="Intel-Ziyi" w:date="2023-09-19T14:10:00Z">
                  <w:rPr>
                    <w:ins w:id="5" w:author="Before RAN2#123" w:date="2023-08-11T00:29:00Z"/>
                    <w:b/>
                    <w:i/>
                  </w:rPr>
                </w:rPrChange>
              </w:rPr>
            </w:pPr>
            <w:ins w:id="6" w:author="Before RAN2#123" w:date="2023-08-11T00:30:00Z">
              <w:r>
                <w:rPr>
                  <w:lang w:eastAsia="ja-JP"/>
                </w:rPr>
                <w:t>Indicates whether the IAB-MT supports mobile IAB functionality as specified in TS 38.300 [</w:t>
              </w:r>
            </w:ins>
            <w:ins w:id="7" w:author="Before RAN2#123" w:date="2023-08-11T00:32:00Z">
              <w:r>
                <w:rPr>
                  <w:lang w:eastAsia="ja-JP"/>
                </w:rPr>
                <w:t>28</w:t>
              </w:r>
            </w:ins>
            <w:ins w:id="8" w:author="Before RAN2#123" w:date="2023-08-11T00:30:00Z">
              <w:r>
                <w:rPr>
                  <w:lang w:eastAsia="ja-JP"/>
                </w:rPr>
                <w:t xml:space="preserve">]. </w:t>
              </w:r>
            </w:ins>
            <w:ins w:id="9" w:author="Intel" w:date="2023-09-18T15:19:00Z">
              <w:commentRangeStart w:id="0"/>
              <w:commentRangeStart w:id="1"/>
              <w:commentRangeStart w:id="2"/>
              <w:r>
                <w:rPr>
                  <w:rFonts w:cs="Arial"/>
                  <w:szCs w:val="18"/>
                </w:rPr>
                <w:t>A</w:t>
              </w:r>
            </w:ins>
            <w:ins w:id="10" w:author="Intel" w:date="2023-09-18T15:19:00Z">
              <w:r>
                <w:rPr>
                  <w:rFonts w:cs="Arial"/>
                  <w:szCs w:val="18"/>
                  <w:lang w:val="en-US"/>
                </w:rPr>
                <w:t xml:space="preserve"> mobile IAB-MT</w:t>
              </w:r>
            </w:ins>
            <w:ins w:id="11" w:author="Intel" w:date="2023-09-18T15:19:00Z">
              <w:r>
                <w:rPr>
                  <w:rFonts w:cs="Arial"/>
                  <w:szCs w:val="18"/>
                </w:rPr>
                <w:t xml:space="preserve"> </w:t>
              </w:r>
            </w:ins>
            <w:ins w:id="12" w:author="Intel" w:date="2023-09-18T15:19:00Z">
              <w:r>
                <w:rPr/>
                <w:t xml:space="preserve">set this field to </w:t>
              </w:r>
            </w:ins>
            <w:ins w:id="13" w:author="Intel" w:date="2023-09-18T15:19:00Z">
              <w:r>
                <w:rPr>
                  <w:i/>
                  <w:iCs/>
                </w:rPr>
                <w:t>supported</w:t>
              </w:r>
            </w:ins>
            <w:ins w:id="14" w:author="Intel" w:date="2023-09-18T15:19:00Z">
              <w:r>
                <w:rPr/>
                <w:t xml:space="preserve"> but shall not indicate support of</w:t>
              </w:r>
            </w:ins>
            <w:ins w:id="15" w:author="Intel" w:date="2023-09-18T15:20:00Z">
              <w:r>
                <w:rPr/>
                <w:t xml:space="preserve"> </w:t>
              </w:r>
            </w:ins>
            <w:ins w:id="16" w:author="Intel" w:date="2023-09-18T15:20:00Z">
              <w:r>
                <w:rPr>
                  <w:i/>
                  <w:iCs/>
                </w:rPr>
                <w:t>f1c-OverEUTRA-r16, scg-DRB-NR-IAB-r16, interNR-MeasEUTRA-IAB-r16, f1c-OverNR-RRC-r17,</w:t>
              </w:r>
            </w:ins>
            <w:ins w:id="17" w:author="Intel" w:date="2023-09-18T15:21:00Z">
              <w:r>
                <w:rPr/>
                <w:t xml:space="preserve"> and</w:t>
              </w:r>
            </w:ins>
            <w:ins w:id="18" w:author="Intel" w:date="2023-09-18T15:20:00Z">
              <w:r>
                <w:rPr>
                  <w:i/>
                  <w:iCs/>
                </w:rPr>
                <w:t xml:space="preserve"> </w:t>
              </w:r>
            </w:ins>
            <w:ins w:id="19" w:author="Intel" w:date="2023-09-18T15:20:00Z">
              <w:r>
                <w:rPr>
                  <w:b w:val="0"/>
                  <w:i/>
                  <w:iCs/>
                  <w:rPrChange w:id="20" w:author="Intel" w:date="2023-09-18T15:21:00Z">
                    <w:rPr>
                      <w:b/>
                      <w:i/>
                    </w:rPr>
                  </w:rPrChange>
                </w:rPr>
                <w:t>simultaneousRxTx-IAB-MultipleParents-r17</w:t>
              </w:r>
            </w:ins>
            <w:ins w:id="21" w:author="Intel" w:date="2023-09-18T15:21:00Z">
              <w:r>
                <w:rPr/>
                <w:t>c</w:t>
              </w:r>
            </w:ins>
            <w:ins w:id="22" w:author="Intel" w:date="2023-09-18T15:23:00Z">
              <w:r>
                <w:rPr/>
                <w:t>.</w:t>
              </w:r>
              <w:commentRangeEnd w:id="0"/>
            </w:ins>
            <w:r>
              <w:rPr>
                <w:rStyle w:val="46"/>
                <w:rFonts w:ascii="Times New Roman" w:hAnsi="Times New Roman"/>
              </w:rPr>
              <w:commentReference w:id="0"/>
            </w:r>
            <w:commentRangeEnd w:id="1"/>
            <w:r>
              <w:rPr>
                <w:rStyle w:val="46"/>
                <w:rFonts w:ascii="Times New Roman" w:hAnsi="Times New Roman"/>
              </w:rPr>
              <w:commentReference w:id="1"/>
            </w:r>
            <w:commentRangeEnd w:id="2"/>
            <w:r>
              <w:commentReference w:id="2"/>
            </w:r>
          </w:p>
        </w:tc>
        <w:tc>
          <w:tcPr>
            <w:tcW w:w="680" w:type="dxa"/>
          </w:tcPr>
          <w:p>
            <w:pPr>
              <w:pStyle w:val="53"/>
              <w:jc w:val="center"/>
              <w:rPr>
                <w:ins w:id="23" w:author="Before RAN2#123" w:date="2023-08-11T00:29:00Z"/>
                <w:bCs/>
              </w:rPr>
            </w:pPr>
            <w:ins w:id="24" w:author="Before RAN2#123" w:date="2023-08-11T00:30:00Z">
              <w:r>
                <w:rPr>
                  <w:bCs/>
                  <w:lang w:eastAsia="ja-JP"/>
                </w:rPr>
                <w:t>IAB-MT</w:t>
              </w:r>
            </w:ins>
          </w:p>
        </w:tc>
        <w:tc>
          <w:tcPr>
            <w:tcW w:w="567" w:type="dxa"/>
          </w:tcPr>
          <w:p>
            <w:pPr>
              <w:pStyle w:val="53"/>
              <w:jc w:val="center"/>
              <w:rPr>
                <w:ins w:id="25" w:author="Before RAN2#123" w:date="2023-08-11T00:29:00Z"/>
                <w:bCs/>
              </w:rPr>
            </w:pPr>
            <w:ins w:id="26" w:author="Before RAN2#123" w:date="2023-08-11T00:30:00Z">
              <w:r>
                <w:rPr>
                  <w:bCs/>
                  <w:lang w:eastAsia="ja-JP"/>
                </w:rPr>
                <w:t>No</w:t>
              </w:r>
            </w:ins>
          </w:p>
        </w:tc>
        <w:tc>
          <w:tcPr>
            <w:tcW w:w="807" w:type="dxa"/>
          </w:tcPr>
          <w:p>
            <w:pPr>
              <w:pStyle w:val="53"/>
              <w:jc w:val="center"/>
              <w:rPr>
                <w:ins w:id="27" w:author="Before RAN2#123" w:date="2023-08-11T00:29:00Z"/>
                <w:bCs/>
              </w:rPr>
            </w:pPr>
            <w:ins w:id="28" w:author="Before RAN2#123" w:date="2023-08-11T00:30:00Z">
              <w:r>
                <w:rPr>
                  <w:bCs/>
                  <w:lang w:eastAsia="ja-JP"/>
                </w:rPr>
                <w:t>No</w:t>
              </w:r>
            </w:ins>
          </w:p>
        </w:tc>
        <w:tc>
          <w:tcPr>
            <w:tcW w:w="630" w:type="dxa"/>
          </w:tcPr>
          <w:p>
            <w:pPr>
              <w:pStyle w:val="53"/>
              <w:jc w:val="center"/>
              <w:rPr>
                <w:ins w:id="29" w:author="Before RAN2#123" w:date="2023-08-11T00:29:00Z"/>
                <w:bCs/>
              </w:rPr>
            </w:pPr>
            <w:ins w:id="30" w:author="Before RAN2#123" w:date="2023-08-11T00:30:00Z">
              <w:r>
                <w:rPr>
                  <w:bCs/>
                  <w:lang w:eastAsia="ja-JP"/>
                </w:rPr>
                <w:t>No</w:t>
              </w:r>
            </w:ins>
          </w:p>
        </w:tc>
      </w:tr>
    </w:tbl>
    <w:p>
      <w:pPr>
        <w:pStyle w:val="74"/>
        <w:rPr>
          <w:ins w:id="31" w:author="After RAN2#123" w:date="2023-09-15T15:01:00Z"/>
        </w:rPr>
      </w:pPr>
      <w:ins w:id="32" w:author="After RAN2#123" w:date="2023-09-15T15:02:00Z">
        <w:r>
          <w:rPr/>
          <w:t xml:space="preserve">Editor's Note: FFS whether to keep mobile-IAB-r18 capability, e.g. based on RAN3 Xn signalling design. </w:t>
        </w:r>
      </w:ins>
      <w:ins w:id="33" w:author="After RAN2#123" w:date="2023-09-15T15:02:00Z">
        <w:del w:id="34" w:author="Andrew Lappalainen (Nokia)" w:date="2023-09-19T16:51:00Z">
          <w:r>
            <w:rPr/>
            <w:delText>If capability is not needed based on RAN3 agreements, RAN2 should also</w:delText>
          </w:r>
        </w:del>
      </w:ins>
      <w:ins w:id="35" w:author="Andrew Lappalainen (Nokia)" w:date="2023-09-19T16:51:00Z">
        <w:r>
          <w:rPr/>
          <w:t>FFS whether to</w:t>
        </w:r>
      </w:ins>
      <w:ins w:id="36" w:author="After RAN2#123" w:date="2023-09-15T15:02:00Z">
        <w:r>
          <w:rPr/>
          <w:t xml:space="preserve"> clarify with SA2 the intention of “for a MBSR node to operate as a MBSR” from clause 5.35A.1 of TS 23.501.</w:t>
        </w:r>
      </w:ins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Next Modified Subclause</w:t>
      </w:r>
    </w:p>
    <w:p>
      <w:pPr>
        <w:pStyle w:val="5"/>
      </w:pPr>
      <w:bookmarkStart w:id="5" w:name="_Toc46488693"/>
      <w:bookmarkStart w:id="6" w:name="_Toc139146826"/>
      <w:bookmarkStart w:id="7" w:name="_Toc52574114"/>
      <w:bookmarkStart w:id="8" w:name="_Toc52574200"/>
      <w:bookmarkStart w:id="9" w:name="_Toc46488694"/>
      <w:bookmarkStart w:id="10" w:name="_Toc52574201"/>
      <w:bookmarkStart w:id="11" w:name="_Toc52574115"/>
      <w:bookmarkStart w:id="12" w:name="_Toc139146827"/>
      <w:r>
        <w:t>4.2.15.8</w:t>
      </w:r>
      <w:r>
        <w:tab/>
      </w:r>
      <w:r>
        <w:t>MeasAndMobParameters Parameters</w:t>
      </w:r>
      <w:bookmarkEnd w:id="5"/>
      <w:bookmarkEnd w:id="6"/>
      <w:bookmarkEnd w:id="7"/>
      <w:bookmarkEnd w:id="8"/>
    </w:p>
    <w:tbl>
      <w:tblPr>
        <w:tblStyle w:val="42"/>
        <w:tblW w:w="9630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  <w:gridCol w:w="680"/>
        <w:gridCol w:w="567"/>
        <w:gridCol w:w="807"/>
        <w:gridCol w:w="630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46" w:type="dxa"/>
          </w:tcPr>
          <w:p>
            <w:pPr>
              <w:pStyle w:val="51"/>
            </w:pPr>
            <w:r>
              <w:t>Definitions for parameters</w:t>
            </w:r>
          </w:p>
        </w:tc>
        <w:tc>
          <w:tcPr>
            <w:tcW w:w="680" w:type="dxa"/>
          </w:tcPr>
          <w:p>
            <w:pPr>
              <w:pStyle w:val="51"/>
            </w:pPr>
            <w:r>
              <w:t>Per</w:t>
            </w:r>
          </w:p>
        </w:tc>
        <w:tc>
          <w:tcPr>
            <w:tcW w:w="567" w:type="dxa"/>
          </w:tcPr>
          <w:p>
            <w:pPr>
              <w:pStyle w:val="51"/>
            </w:pPr>
            <w:r>
              <w:t>M</w:t>
            </w:r>
          </w:p>
        </w:tc>
        <w:tc>
          <w:tcPr>
            <w:tcW w:w="807" w:type="dxa"/>
          </w:tcPr>
          <w:p>
            <w:pPr>
              <w:pStyle w:val="51"/>
            </w:pPr>
            <w:r>
              <w:t>FDD-TDD</w:t>
            </w:r>
          </w:p>
          <w:p>
            <w:pPr>
              <w:pStyle w:val="51"/>
            </w:pPr>
            <w:r>
              <w:t>DIFF</w:t>
            </w:r>
          </w:p>
        </w:tc>
        <w:tc>
          <w:tcPr>
            <w:tcW w:w="630" w:type="dxa"/>
          </w:tcPr>
          <w:p>
            <w:pPr>
              <w:pStyle w:val="51"/>
            </w:pPr>
            <w:r>
              <w:t>FR1-FR2</w:t>
            </w:r>
          </w:p>
          <w:p>
            <w:pPr>
              <w:pStyle w:val="51"/>
            </w:pPr>
            <w:r>
              <w:t>DIFF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46" w:type="dxa"/>
          </w:tcPr>
          <w:p>
            <w:pPr>
              <w:pStyle w:val="51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eventA-MeasAndReport</w:t>
            </w:r>
          </w:p>
          <w:p>
            <w:pPr>
              <w:pStyle w:val="53"/>
            </w:pPr>
            <w:r>
              <w:rPr>
                <w:bCs/>
              </w:rPr>
              <w:t>Indicates whether the IAB-MT supports NR measurements and events A triggered reporting as specified in TS 38.331 [9].</w:t>
            </w:r>
          </w:p>
        </w:tc>
        <w:tc>
          <w:tcPr>
            <w:tcW w:w="680" w:type="dxa"/>
          </w:tcPr>
          <w:p>
            <w:pPr>
              <w:pStyle w:val="53"/>
              <w:jc w:val="center"/>
            </w:pPr>
            <w:r>
              <w:rPr>
                <w:bCs/>
              </w:rPr>
              <w:t>IAB-MT</w:t>
            </w:r>
          </w:p>
        </w:tc>
        <w:tc>
          <w:tcPr>
            <w:tcW w:w="567" w:type="dxa"/>
          </w:tcPr>
          <w:p>
            <w:pPr>
              <w:pStyle w:val="53"/>
              <w:jc w:val="center"/>
            </w:pPr>
            <w:r>
              <w:rPr>
                <w:bCs/>
              </w:rPr>
              <w:t>Yes</w:t>
            </w:r>
          </w:p>
        </w:tc>
        <w:tc>
          <w:tcPr>
            <w:tcW w:w="807" w:type="dxa"/>
          </w:tcPr>
          <w:p>
            <w:pPr>
              <w:pStyle w:val="53"/>
              <w:jc w:val="center"/>
            </w:pPr>
            <w:r>
              <w:rPr>
                <w:bCs/>
              </w:rPr>
              <w:t>Yes</w:t>
            </w:r>
          </w:p>
        </w:tc>
        <w:tc>
          <w:tcPr>
            <w:tcW w:w="630" w:type="dxa"/>
          </w:tcPr>
          <w:p>
            <w:pPr>
              <w:pStyle w:val="53"/>
              <w:jc w:val="center"/>
            </w:pPr>
            <w:r>
              <w:rPr>
                <w:bCs/>
              </w:rPr>
              <w:t>No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46" w:type="dxa"/>
          </w:tcPr>
          <w:p>
            <w:pPr>
              <w:pStyle w:val="5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handoverInterF</w:t>
            </w:r>
          </w:p>
          <w:p>
            <w:pPr>
              <w:pStyle w:val="53"/>
              <w:rPr>
                <w:b/>
                <w:bCs/>
                <w:i/>
                <w:iCs/>
              </w:rPr>
            </w:pPr>
            <w:r>
              <w:t>Indicates whether the IAB-MT supports inter-frequency HO. It indicates the support for inter-frequency HO from the corresponding duplex mode if this capability is included in fdd-Add-UE-NR-Capabilities or tdd-Add-UE-NR-Capabilities. It indicates the support for inter-frequency HO from the corresponding frequency range if this capability is included in fr1-Add-UE-NR-Capabilities or fr2-Add-UE-NR-Capabilities.</w:t>
            </w:r>
          </w:p>
        </w:tc>
        <w:tc>
          <w:tcPr>
            <w:tcW w:w="680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IAB-MT</w:t>
            </w:r>
          </w:p>
        </w:tc>
        <w:tc>
          <w:tcPr>
            <w:tcW w:w="567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807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Yes</w:t>
            </w:r>
          </w:p>
        </w:tc>
        <w:tc>
          <w:tcPr>
            <w:tcW w:w="630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Yes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cantSplit/>
          <w:tblHeader/>
        </w:trPr>
        <w:tc>
          <w:tcPr>
            <w:tcW w:w="6946" w:type="dxa"/>
          </w:tcPr>
          <w:p>
            <w:pPr>
              <w:pStyle w:val="53"/>
              <w:rPr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mfbi-IAB-r16</w:t>
            </w:r>
          </w:p>
          <w:p>
            <w:pPr>
              <w:pStyle w:val="53"/>
            </w:pPr>
            <w:r>
              <w:t>Indicates whether the IAB-MT supports multiple frequency band indication.</w:t>
            </w:r>
          </w:p>
        </w:tc>
        <w:tc>
          <w:tcPr>
            <w:tcW w:w="680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IAB-MT</w:t>
            </w:r>
          </w:p>
        </w:tc>
        <w:tc>
          <w:tcPr>
            <w:tcW w:w="567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807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630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4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intraAndInterF-MeasAndReport</w:t>
            </w:r>
          </w:p>
          <w:p>
            <w:pPr>
              <w:pStyle w:val="53"/>
            </w:pPr>
            <w:r>
              <w:t>Indicates whether the IAB-MT supports NR intra-frequency and inter-frequency measurements and at least periodical reporting.</w:t>
            </w:r>
          </w:p>
        </w:tc>
        <w:tc>
          <w:tcPr>
            <w:tcW w:w="6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IAB-MT</w:t>
            </w:r>
          </w:p>
        </w:tc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Yes</w:t>
            </w:r>
          </w:p>
        </w:tc>
        <w:tc>
          <w:tcPr>
            <w:tcW w:w="80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Yes</w:t>
            </w:r>
          </w:p>
        </w:tc>
        <w:tc>
          <w:tcPr>
            <w:tcW w:w="63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</w:tr>
    </w:tbl>
    <w:p>
      <w:pPr>
        <w:pStyle w:val="74"/>
      </w:pPr>
      <w:ins w:id="37" w:author="After RAN2#123" w:date="2023-09-15T15:03:00Z">
        <w:r>
          <w:rPr/>
          <w:t>Editor's Note: MeasAndMobParameters may be updated later, e.g. based on input from RAN4.</w:t>
        </w:r>
      </w:ins>
    </w:p>
    <w:p>
      <w:pPr>
        <w:pStyle w:val="5"/>
      </w:pPr>
      <w:r>
        <w:t>4.2.15.9</w:t>
      </w:r>
      <w:r>
        <w:tab/>
      </w:r>
      <w:r>
        <w:t>MR-DC Parameters</w:t>
      </w:r>
      <w:bookmarkEnd w:id="9"/>
      <w:bookmarkEnd w:id="10"/>
      <w:bookmarkEnd w:id="11"/>
      <w:bookmarkEnd w:id="12"/>
    </w:p>
    <w:tbl>
      <w:tblPr>
        <w:tblStyle w:val="42"/>
        <w:tblW w:w="9630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  <w:gridCol w:w="680"/>
        <w:gridCol w:w="567"/>
        <w:gridCol w:w="807"/>
        <w:gridCol w:w="630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46" w:type="dxa"/>
          </w:tcPr>
          <w:p>
            <w:pPr>
              <w:pStyle w:val="51"/>
            </w:pPr>
            <w:r>
              <w:t>Definitions for parameters</w:t>
            </w:r>
          </w:p>
        </w:tc>
        <w:tc>
          <w:tcPr>
            <w:tcW w:w="680" w:type="dxa"/>
          </w:tcPr>
          <w:p>
            <w:pPr>
              <w:pStyle w:val="51"/>
            </w:pPr>
            <w:r>
              <w:t>Per</w:t>
            </w:r>
          </w:p>
        </w:tc>
        <w:tc>
          <w:tcPr>
            <w:tcW w:w="567" w:type="dxa"/>
          </w:tcPr>
          <w:p>
            <w:pPr>
              <w:pStyle w:val="51"/>
            </w:pPr>
            <w:r>
              <w:t>M</w:t>
            </w:r>
          </w:p>
        </w:tc>
        <w:tc>
          <w:tcPr>
            <w:tcW w:w="807" w:type="dxa"/>
          </w:tcPr>
          <w:p>
            <w:pPr>
              <w:pStyle w:val="51"/>
            </w:pPr>
            <w:r>
              <w:t>FDD-TDD</w:t>
            </w:r>
          </w:p>
          <w:p>
            <w:pPr>
              <w:pStyle w:val="51"/>
            </w:pPr>
            <w:r>
              <w:t>DIFF</w:t>
            </w:r>
          </w:p>
        </w:tc>
        <w:tc>
          <w:tcPr>
            <w:tcW w:w="630" w:type="dxa"/>
          </w:tcPr>
          <w:p>
            <w:pPr>
              <w:pStyle w:val="51"/>
            </w:pPr>
            <w:r>
              <w:t>FR1-FR2</w:t>
            </w:r>
          </w:p>
          <w:p>
            <w:pPr>
              <w:pStyle w:val="51"/>
            </w:pPr>
            <w:r>
              <w:t>DIFF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46" w:type="dxa"/>
          </w:tcPr>
          <w:p>
            <w:pPr>
              <w:pStyle w:val="53"/>
              <w:rPr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f1c-OverEUTRA-r16</w:t>
            </w:r>
          </w:p>
          <w:p>
            <w:pPr>
              <w:pStyle w:val="53"/>
              <w:rPr>
                <w:bCs/>
              </w:rPr>
            </w:pPr>
            <w:r>
              <w:rPr>
                <w:bCs/>
              </w:rPr>
              <w:t xml:space="preserve">Indicates whether the IAB-MT supports F1-C signalling over </w:t>
            </w:r>
            <w:r>
              <w:rPr>
                <w:bCs/>
                <w:i/>
                <w:iCs/>
              </w:rPr>
              <w:t>DLInformationTransfer</w:t>
            </w:r>
            <w:r>
              <w:rPr>
                <w:bCs/>
              </w:rPr>
              <w:t xml:space="preserve"> and </w:t>
            </w:r>
            <w:r>
              <w:rPr>
                <w:bCs/>
                <w:i/>
                <w:iCs/>
              </w:rPr>
              <w:t>ULInformationTransfer</w:t>
            </w:r>
            <w:r>
              <w:rPr>
                <w:bCs/>
              </w:rPr>
              <w:t xml:space="preserve"> messages via MN when IAB-MT operates in EN-DC mode, as specified in TS 36.331 [17].</w:t>
            </w:r>
          </w:p>
        </w:tc>
        <w:tc>
          <w:tcPr>
            <w:tcW w:w="680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IAB-MT</w:t>
            </w:r>
          </w:p>
        </w:tc>
        <w:tc>
          <w:tcPr>
            <w:tcW w:w="567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807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630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46" w:type="dxa"/>
          </w:tcPr>
          <w:p>
            <w:pPr>
              <w:pStyle w:val="5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scg-DRB-NR-IAB-r16</w:t>
            </w:r>
          </w:p>
          <w:p>
            <w:pPr>
              <w:pStyle w:val="53"/>
            </w:pPr>
            <w:r>
              <w:t>Indicates whether the IAB-MT supports SCG DRB with NR PDCP when IAB-MT operates in EN-DC mode.</w:t>
            </w:r>
          </w:p>
        </w:tc>
        <w:tc>
          <w:tcPr>
            <w:tcW w:w="680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IAB-MT</w:t>
            </w:r>
          </w:p>
        </w:tc>
        <w:tc>
          <w:tcPr>
            <w:tcW w:w="567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807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630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cantSplit/>
          <w:tblHeader/>
        </w:trPr>
        <w:tc>
          <w:tcPr>
            <w:tcW w:w="6946" w:type="dxa"/>
          </w:tcPr>
          <w:p>
            <w:pPr>
              <w:pStyle w:val="5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interNR-MeasEUTRA-IAB-r16</w:t>
            </w:r>
          </w:p>
          <w:p>
            <w:pPr>
              <w:pStyle w:val="53"/>
              <w:rPr>
                <w:b/>
                <w:bCs/>
                <w:i/>
                <w:iCs/>
              </w:rPr>
            </w:pPr>
            <w:r>
              <w:t>Indicates whether the IAB-MT supports NR measurement and reports while in EUTRA connected and event B1-based measurement and reports while in EUTRA connected.</w:t>
            </w:r>
          </w:p>
        </w:tc>
        <w:tc>
          <w:tcPr>
            <w:tcW w:w="680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IAB-MT</w:t>
            </w:r>
          </w:p>
        </w:tc>
        <w:tc>
          <w:tcPr>
            <w:tcW w:w="567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807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630" w:type="dxa"/>
          </w:tcPr>
          <w:p>
            <w:pPr>
              <w:pStyle w:val="53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</w:tr>
    </w:tbl>
    <w:p>
      <w:ins w:id="38" w:author="Before RAN2#123" w:date="2023-08-11T00:35:00Z">
        <w:commentRangeStart w:id="3"/>
        <w:commentRangeStart w:id="4"/>
        <w:r>
          <w:rPr>
            <w:lang w:eastAsia="ja-JP"/>
          </w:rPr>
          <w:t>NOTE:</w:t>
        </w:r>
      </w:ins>
      <w:ins w:id="39" w:author="Before RAN2#123" w:date="2023-08-11T00:35:00Z">
        <w:r>
          <w:rPr>
            <w:lang w:eastAsia="ja-JP"/>
          </w:rPr>
          <w:tab/>
        </w:r>
      </w:ins>
      <w:ins w:id="40" w:author="Before RAN2#123" w:date="2023-08-11T00:35:00Z">
        <w:r>
          <w:rPr>
            <w:lang w:eastAsia="ja-JP"/>
          </w:rPr>
          <w:t xml:space="preserve">In this release of the specification, </w:t>
        </w:r>
      </w:ins>
      <w:ins w:id="41" w:author="Before RAN2#123" w:date="2023-08-11T00:36:00Z">
        <w:r>
          <w:rPr>
            <w:lang w:eastAsia="ja-JP"/>
          </w:rPr>
          <w:t xml:space="preserve">if an IAB-node indicates </w:t>
        </w:r>
      </w:ins>
      <w:ins w:id="42" w:author="Before RAN2#123" w:date="2023-08-11T00:37:00Z">
        <w:r>
          <w:rPr>
            <w:lang w:eastAsia="ja-JP"/>
          </w:rPr>
          <w:t xml:space="preserve">support for </w:t>
        </w:r>
      </w:ins>
      <w:ins w:id="43" w:author="Before RAN2#123" w:date="2023-08-11T00:37:00Z">
        <w:r>
          <w:rPr>
            <w:i/>
            <w:iCs/>
            <w:lang w:eastAsia="ja-JP"/>
          </w:rPr>
          <w:t>mobile-IAB-r18</w:t>
        </w:r>
      </w:ins>
      <w:ins w:id="44" w:author="Before RAN2#123" w:date="2023-08-11T00:37:00Z">
        <w:r>
          <w:rPr>
            <w:lang w:eastAsia="ja-JP"/>
          </w:rPr>
          <w:t xml:space="preserve">, </w:t>
        </w:r>
      </w:ins>
      <w:ins w:id="45" w:author="Before RAN2#123" w:date="2023-08-11T00:35:00Z">
        <w:r>
          <w:rPr>
            <w:lang w:eastAsia="ja-JP"/>
          </w:rPr>
          <w:t>MR-DC</w:t>
        </w:r>
      </w:ins>
      <w:ins w:id="46" w:author="Before RAN2#123" w:date="2023-08-11T00:36:00Z">
        <w:r>
          <w:rPr>
            <w:lang w:eastAsia="ja-JP"/>
          </w:rPr>
          <w:t xml:space="preserve"> parameters </w:t>
        </w:r>
      </w:ins>
      <w:ins w:id="47" w:author="Before RAN2#123" w:date="2023-08-11T00:37:00Z">
        <w:r>
          <w:rPr>
            <w:lang w:eastAsia="ja-JP"/>
          </w:rPr>
          <w:t>shall be ignored.</w:t>
        </w:r>
        <w:commentRangeEnd w:id="3"/>
      </w:ins>
      <w:r>
        <w:rPr>
          <w:rStyle w:val="46"/>
        </w:rPr>
        <w:commentReference w:id="3"/>
      </w:r>
      <w:commentRangeEnd w:id="4"/>
      <w:r>
        <w:rPr>
          <w:rStyle w:val="46"/>
        </w:rPr>
        <w:commentReference w:id="4"/>
      </w:r>
    </w:p>
    <w:p>
      <w:pPr>
        <w:pStyle w:val="5"/>
      </w:pPr>
      <w:bookmarkStart w:id="13" w:name="_Toc139146828"/>
      <w:r>
        <w:t>4.2.15.10</w:t>
      </w:r>
      <w:r>
        <w:tab/>
      </w:r>
      <w:r>
        <w:t>NRDC Parameters</w:t>
      </w:r>
      <w:bookmarkEnd w:id="13"/>
    </w:p>
    <w:tbl>
      <w:tblPr>
        <w:tblStyle w:val="42"/>
        <w:tblW w:w="9630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7"/>
        <w:gridCol w:w="709"/>
        <w:gridCol w:w="567"/>
        <w:gridCol w:w="709"/>
        <w:gridCol w:w="72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1"/>
            </w:pPr>
            <w:bookmarkStart w:id="14" w:name="_Hlk97286055"/>
            <w:r>
              <w:t>Definitions for parameters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1"/>
            </w:pPr>
            <w:r>
              <w:t>Per</w:t>
            </w:r>
          </w:p>
        </w:tc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1"/>
            </w:pPr>
            <w:r>
              <w:t>M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1"/>
            </w:pPr>
            <w:r>
              <w:t>FDD-TDD</w:t>
            </w:r>
          </w:p>
          <w:p>
            <w:pPr>
              <w:pStyle w:val="51"/>
            </w:pPr>
            <w:r>
              <w:t>DIFF</w:t>
            </w:r>
          </w:p>
        </w:tc>
        <w:tc>
          <w:tcPr>
            <w:tcW w:w="72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1"/>
            </w:pPr>
            <w:r>
              <w:t>FR1-FR2</w:t>
            </w:r>
          </w:p>
          <w:p>
            <w:pPr>
              <w:pStyle w:val="51"/>
            </w:pPr>
            <w:r>
              <w:t>DIFF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3"/>
              <w:rPr>
                <w:b/>
                <w:i/>
              </w:rPr>
            </w:pPr>
            <w:r>
              <w:rPr>
                <w:b/>
                <w:i/>
              </w:rPr>
              <w:t>f1c-OverNR-RRC-r17</w:t>
            </w:r>
          </w:p>
          <w:p>
            <w:pPr>
              <w:pStyle w:val="53"/>
              <w:rPr>
                <w:bCs/>
                <w:iCs/>
              </w:rPr>
            </w:pPr>
            <w:r>
              <w:rPr>
                <w:bCs/>
                <w:iCs/>
              </w:rPr>
              <w:t>Indicates whether the IAB-MT supports F1-C signalling over DLInformationTransfer and ULInformationTransfer messages via MN when IAB-MT operates in NR-DC and MN is the non-F1-termination node or via SN when IAB-MT operates in NR-DC and SN is the non-F1-termination node, as specified in TS 38.401 [33] and TS 37.340 [7].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3"/>
              <w:jc w:val="center"/>
            </w:pPr>
            <w:r>
              <w:t>IAB-MT</w:t>
            </w:r>
          </w:p>
        </w:tc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3"/>
              <w:jc w:val="center"/>
            </w:pPr>
            <w:r>
              <w:t>No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3"/>
              <w:jc w:val="center"/>
            </w:pPr>
            <w:r>
              <w:t>No</w:t>
            </w:r>
          </w:p>
        </w:tc>
        <w:tc>
          <w:tcPr>
            <w:tcW w:w="72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3"/>
              <w:jc w:val="center"/>
            </w:pPr>
            <w:r>
              <w:t>No</w:t>
            </w:r>
          </w:p>
        </w:tc>
      </w:tr>
      <w:bookmarkEnd w:id="14"/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3"/>
              <w:rPr>
                <w:b/>
                <w:i/>
              </w:rPr>
            </w:pPr>
            <w:r>
              <w:rPr>
                <w:b/>
                <w:i/>
              </w:rPr>
              <w:t>simultaneousRxTx-IAB-MultipleParents-r17</w:t>
            </w:r>
          </w:p>
          <w:p>
            <w:pPr>
              <w:pStyle w:val="53"/>
              <w:rPr>
                <w:b/>
                <w:i/>
              </w:rPr>
            </w:pPr>
            <w:r>
              <w:rPr>
                <w:bCs/>
                <w:iCs/>
              </w:rPr>
              <w:t>Indicates the support of simultaneous transmission and reception of an IAB-node from multiple parent nodes.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3"/>
              <w:jc w:val="center"/>
            </w:pPr>
            <w:r>
              <w:t>BC</w:t>
            </w:r>
          </w:p>
        </w:tc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3"/>
              <w:jc w:val="center"/>
            </w:pPr>
            <w:r>
              <w:t>No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3"/>
              <w:jc w:val="center"/>
            </w:pPr>
            <w:r>
              <w:t>No</w:t>
            </w:r>
          </w:p>
        </w:tc>
        <w:tc>
          <w:tcPr>
            <w:tcW w:w="72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3"/>
              <w:jc w:val="center"/>
            </w:pPr>
            <w:r>
              <w:t>No</w:t>
            </w:r>
          </w:p>
        </w:tc>
      </w:tr>
    </w:tbl>
    <w:p>
      <w:ins w:id="48" w:author="Before RAN2#123" w:date="2023-08-11T00:38:00Z">
        <w:r>
          <w:rPr>
            <w:lang w:eastAsia="ja-JP"/>
          </w:rPr>
          <w:t>NOTE:</w:t>
        </w:r>
      </w:ins>
      <w:ins w:id="49" w:author="Before RAN2#123" w:date="2023-08-11T00:38:00Z">
        <w:r>
          <w:rPr>
            <w:lang w:eastAsia="ja-JP"/>
          </w:rPr>
          <w:tab/>
        </w:r>
      </w:ins>
      <w:ins w:id="50" w:author="Before RAN2#123" w:date="2023-08-11T00:38:00Z">
        <w:r>
          <w:rPr>
            <w:lang w:eastAsia="ja-JP"/>
          </w:rPr>
          <w:t xml:space="preserve">In this release of the specification, if an IAB-node indicates support for </w:t>
        </w:r>
      </w:ins>
      <w:ins w:id="51" w:author="Before RAN2#123" w:date="2023-08-11T00:38:00Z">
        <w:r>
          <w:rPr>
            <w:i/>
            <w:iCs/>
            <w:lang w:eastAsia="ja-JP"/>
          </w:rPr>
          <w:t>mobile-IAB-r18</w:t>
        </w:r>
      </w:ins>
      <w:ins w:id="52" w:author="Before RAN2#123" w:date="2023-08-11T00:38:00Z">
        <w:r>
          <w:rPr>
            <w:lang w:eastAsia="ja-JP"/>
          </w:rPr>
          <w:t>, NR-DC parameters shall be ignored.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/>
    <w:p>
      <w:pPr>
        <w:pStyle w:val="2"/>
      </w:pPr>
      <w:bookmarkStart w:id="15" w:name="_Toc29376164"/>
      <w:bookmarkStart w:id="16" w:name="_Toc37232087"/>
      <w:bookmarkStart w:id="17" w:name="_Toc52551504"/>
      <w:bookmarkStart w:id="18" w:name="_Toc46502173"/>
      <w:bookmarkStart w:id="19" w:name="_Toc20388082"/>
      <w:bookmarkStart w:id="20" w:name="_Toc124536383"/>
      <w:bookmarkStart w:id="21" w:name="_Toc51971521"/>
      <w:r>
        <w:t>Annex:</w:t>
      </w:r>
      <w:bookmarkEnd w:id="15"/>
      <w:bookmarkEnd w:id="16"/>
      <w:bookmarkEnd w:id="17"/>
      <w:bookmarkEnd w:id="18"/>
      <w:bookmarkEnd w:id="19"/>
      <w:bookmarkEnd w:id="20"/>
      <w:bookmarkEnd w:id="21"/>
      <w:r>
        <w:t xml:space="preserve"> Relevant agreements</w:t>
      </w:r>
    </w:p>
    <w:p>
      <w:pPr>
        <w:spacing w:after="120"/>
        <w:rPr>
          <w:lang w:eastAsia="ja-JP"/>
        </w:rPr>
      </w:pPr>
      <w:r>
        <w:rPr>
          <w:lang w:eastAsia="ja-JP"/>
        </w:rPr>
        <w:t>Relevant agreements are shown below.</w:t>
      </w:r>
    </w:p>
    <w:p>
      <w:pPr>
        <w:spacing w:before="120" w:after="120"/>
        <w:rPr>
          <w:lang w:eastAsia="ja-JP"/>
        </w:rPr>
      </w:pPr>
      <w:r>
        <w:rPr>
          <w:lang w:eastAsia="ja-JP"/>
        </w:rPr>
        <w:t xml:space="preserve">Rel-18 mobile IAB WI </w:t>
      </w:r>
      <w:r>
        <w:fldChar w:fldCharType="begin"/>
      </w:r>
      <w:r>
        <w:instrText xml:space="preserve"> HYPERLINK "https://www.3gpp.org/ftp/tsg_ran/TSG_RAN/TSGR_97e/Docs/RP-222671.zip" </w:instrText>
      </w:r>
      <w:r>
        <w:fldChar w:fldCharType="separate"/>
      </w:r>
      <w:r>
        <w:rPr>
          <w:rStyle w:val="45"/>
          <w:lang w:eastAsia="ja-JP"/>
        </w:rPr>
        <w:t>RP-222671</w:t>
      </w:r>
      <w:r>
        <w:rPr>
          <w:rStyle w:val="45"/>
          <w:lang w:eastAsia="ja-JP"/>
        </w:rPr>
        <w:fldChar w:fldCharType="end"/>
      </w:r>
      <w:r>
        <w:rPr>
          <w:lang w:eastAsia="ja-JP"/>
        </w:rPr>
        <w:t>:</w:t>
      </w:r>
    </w:p>
    <w:p>
      <w:pPr>
        <w:pStyle w:val="92"/>
        <w:numPr>
          <w:ilvl w:val="1"/>
          <w:numId w:val="3"/>
        </w:numPr>
        <w:spacing w:line="240" w:lineRule="auto"/>
        <w:ind w:left="1616" w:hanging="357" w:firstLineChars="0"/>
        <w:rPr>
          <w:rFonts w:ascii="Times New Roman" w:hAnsi="Times New Roman" w:eastAsia="Times New Roman" w:cs="Times New Roman"/>
          <w:lang w:eastAsia="en-US"/>
        </w:rPr>
      </w:pPr>
      <w:r>
        <w:rPr>
          <w:rFonts w:ascii="Times New Roman" w:hAnsi="Times New Roman" w:eastAsia="Times New Roman" w:cs="Times New Roman"/>
          <w:lang w:eastAsia="en-US"/>
        </w:rPr>
        <w:t>The mobility of dual-connected IAB-nodes is down-prioritized.</w:t>
      </w:r>
    </w:p>
    <w:p>
      <w:pPr>
        <w:spacing w:before="120" w:after="120"/>
        <w:rPr>
          <w:lang w:eastAsia="ja-JP"/>
        </w:rPr>
      </w:pPr>
      <w:r>
        <w:rPr>
          <w:lang w:eastAsia="ja-JP"/>
        </w:rPr>
        <w:t>RAN2#119bis:</w:t>
      </w:r>
    </w:p>
    <w:p>
      <w:pPr>
        <w:pStyle w:val="88"/>
        <w:overflowPunct/>
        <w:autoSpaceDE/>
        <w:adjustRightInd/>
        <w:spacing w:after="6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UE capability signalling is the baseline to let CU know that the MT is a “mobile-IAB” type. FFS early mobile-IAB indication, e.g. in Msg5.</w:t>
      </w:r>
    </w:p>
    <w:p>
      <w:pPr>
        <w:spacing w:before="120" w:after="120"/>
        <w:rPr>
          <w:lang w:eastAsia="ja-JP"/>
        </w:rPr>
      </w:pPr>
      <w:r>
        <w:rPr>
          <w:lang w:eastAsia="ja-JP"/>
        </w:rPr>
        <w:t>RAN2#121bis:</w:t>
      </w:r>
    </w:p>
    <w:p>
      <w:pPr>
        <w:pStyle w:val="88"/>
        <w:tabs>
          <w:tab w:val="clear" w:pos="9990"/>
        </w:tabs>
        <w:overflowPunct/>
        <w:autoSpaceDE/>
        <w:autoSpaceDN/>
        <w:adjustRightInd/>
        <w:ind w:left="1619" w:hanging="36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R2 clarifies that A donor broadcasting the “supporting mobile-IAB” indication first checks the UE capability of an IAB node before configuring child nodes for the IAB node or sending a handover request for the node, no impact to RAN2 TS. </w:t>
      </w:r>
    </w:p>
    <w:sectPr>
      <w:headerReference r:id="rId9" w:type="first"/>
      <w:headerReference r:id="rId7" w:type="default"/>
      <w:headerReference r:id="rId8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Intel-Ziyi" w:date="2023-09-19T14:11:00Z" w:initials="">
    <w:p w14:paraId="5A842352">
      <w:pPr>
        <w:pStyle w:val="29"/>
      </w:pPr>
      <w:r>
        <w:t>Instead of adding Notes in section 4.2.15.9 and 4.2.15.10, we think it's better to specify those features are not supported by mIAB in its capability.</w:t>
      </w:r>
    </w:p>
  </w:comment>
  <w:comment w:id="1" w:author="Andrew Lappalainen (Nokia)" w:date="2023-09-19T17:19:00Z" w:initials="AL(">
    <w:p w14:paraId="5A9907C9">
      <w:pPr>
        <w:pStyle w:val="29"/>
      </w:pPr>
      <w:r>
        <w:t>As commented over RAN2 reflector, a several options could be considered. Another possibility is to capture this as normative text under 4.2.15.1.</w:t>
      </w:r>
    </w:p>
  </w:comment>
  <w:comment w:id="2" w:author="ZTE" w:date="2023-09-21T16:50:21Z" w:initials="ZTE">
    <w:p w14:paraId="274718BD">
      <w:pPr>
        <w:pStyle w:val="29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Among the listed options over RAN2 reflector, we slightly prefer the last one</w:t>
      </w:r>
      <w:bookmarkStart w:id="22" w:name="_GoBack"/>
      <w:bookmarkEnd w:id="22"/>
      <w:r>
        <w:rPr>
          <w:rFonts w:hint="eastAsia"/>
          <w:lang w:val="en-US" w:eastAsia="zh-CN"/>
        </w:rPr>
        <w:t xml:space="preserve">, i.e. do </w:t>
      </w: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not capture this in 38.306 since it is clarified in 38.300 already</w:t>
      </w:r>
      <w:r>
        <w:rPr>
          <w:rFonts w:hint="eastAsia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 xml:space="preserve">. </w:t>
      </w:r>
    </w:p>
  </w:comment>
  <w:comment w:id="3" w:author="Intel-Ziyi" w:date="2023-09-19T14:11:00Z" w:initials="">
    <w:p w14:paraId="35691AB8">
      <w:pPr>
        <w:pStyle w:val="29"/>
      </w:pPr>
      <w:r>
        <w:t>We think it's better to capture it in capability definition. Please see our comment above.</w:t>
      </w:r>
    </w:p>
  </w:comment>
  <w:comment w:id="4" w:author="Andrew Lappalainen (Nokia)" w:date="2023-09-19T16:52:00Z" w:initials="AL(">
    <w:p w14:paraId="25464FBB">
      <w:pPr>
        <w:pStyle w:val="29"/>
      </w:pPr>
      <w:r>
        <w:t>As commented over RAN2 reflector, a several options could be considered. Another possibility is to capture this as normative text under 4.2.15.1.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A842352" w15:done="0"/>
  <w15:commentEx w15:paraId="5A9907C9" w15:done="0" w15:paraIdParent="5A842352"/>
  <w15:commentEx w15:paraId="274718BD" w15:done="0" w15:paraIdParent="5A842352"/>
  <w15:commentEx w15:paraId="35691AB8" w15:done="0"/>
  <w15:commentEx w15:paraId="25464FBB" w15:done="0" w15:paraIdParent="35691AB8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LineDraw">
    <w:altName w:val="微软雅黑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411AF3"/>
    <w:multiLevelType w:val="multilevel"/>
    <w:tmpl w:val="3D411AF3"/>
    <w:lvl w:ilvl="0" w:tentative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40" w:hanging="360"/>
      </w:pPr>
    </w:lvl>
    <w:lvl w:ilvl="2" w:tentative="0">
      <w:start w:val="1"/>
      <w:numFmt w:val="lowerRoman"/>
      <w:lvlText w:val="%3."/>
      <w:lvlJc w:val="right"/>
      <w:pPr>
        <w:ind w:left="2260" w:hanging="180"/>
      </w:pPr>
    </w:lvl>
    <w:lvl w:ilvl="3" w:tentative="0">
      <w:start w:val="1"/>
      <w:numFmt w:val="decimal"/>
      <w:lvlText w:val="%4."/>
      <w:lvlJc w:val="left"/>
      <w:pPr>
        <w:ind w:left="2980" w:hanging="360"/>
      </w:pPr>
    </w:lvl>
    <w:lvl w:ilvl="4" w:tentative="0">
      <w:start w:val="1"/>
      <w:numFmt w:val="lowerLetter"/>
      <w:lvlText w:val="%5."/>
      <w:lvlJc w:val="left"/>
      <w:pPr>
        <w:ind w:left="3700" w:hanging="360"/>
      </w:pPr>
    </w:lvl>
    <w:lvl w:ilvl="5" w:tentative="0">
      <w:start w:val="1"/>
      <w:numFmt w:val="lowerRoman"/>
      <w:lvlText w:val="%6."/>
      <w:lvlJc w:val="right"/>
      <w:pPr>
        <w:ind w:left="4420" w:hanging="180"/>
      </w:pPr>
    </w:lvl>
    <w:lvl w:ilvl="6" w:tentative="0">
      <w:start w:val="1"/>
      <w:numFmt w:val="decimal"/>
      <w:lvlText w:val="%7."/>
      <w:lvlJc w:val="left"/>
      <w:pPr>
        <w:ind w:left="5140" w:hanging="360"/>
      </w:pPr>
    </w:lvl>
    <w:lvl w:ilvl="7" w:tentative="0">
      <w:start w:val="1"/>
      <w:numFmt w:val="lowerLetter"/>
      <w:lvlText w:val="%8."/>
      <w:lvlJc w:val="left"/>
      <w:pPr>
        <w:ind w:left="5860" w:hanging="360"/>
      </w:pPr>
    </w:lvl>
    <w:lvl w:ilvl="8" w:tentative="0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658908B0"/>
    <w:multiLevelType w:val="multilevel"/>
    <w:tmpl w:val="658908B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0146DC0"/>
    <w:multiLevelType w:val="multilevel"/>
    <w:tmpl w:val="70146DC0"/>
    <w:lvl w:ilvl="0" w:tentative="0">
      <w:start w:val="1"/>
      <w:numFmt w:val="bullet"/>
      <w:pStyle w:val="88"/>
      <w:lvlText w:val=""/>
      <w:lvlJc w:val="left"/>
      <w:pPr>
        <w:tabs>
          <w:tab w:val="left" w:pos="9990"/>
        </w:tabs>
        <w:ind w:left="999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efore RAN2#123">
    <w15:presenceInfo w15:providerId="None" w15:userId="Before RAN2#123"/>
  </w15:person>
  <w15:person w15:author="Intel-Ziyi">
    <w15:presenceInfo w15:providerId="None" w15:userId="Intel-Ziyi"/>
  </w15:person>
  <w15:person w15:author="Intel">
    <w15:presenceInfo w15:providerId="None" w15:userId="Intel"/>
  </w15:person>
  <w15:person w15:author="Andrew Lappalainen (Nokia)">
    <w15:presenceInfo w15:providerId="AD" w15:userId="S::andrew.lappalainen@nokia.com::7658e6b1-e38b-46db-859d-7982a14018df"/>
  </w15:person>
  <w15:person w15:author="After RAN2#123">
    <w15:presenceInfo w15:providerId="None" w15:userId="After RAN2#123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70AD"/>
    <w:rsid w:val="0008476A"/>
    <w:rsid w:val="00090508"/>
    <w:rsid w:val="000A2AF2"/>
    <w:rsid w:val="000A6394"/>
    <w:rsid w:val="000B766F"/>
    <w:rsid w:val="000B7FED"/>
    <w:rsid w:val="000C038A"/>
    <w:rsid w:val="000C1120"/>
    <w:rsid w:val="000C6598"/>
    <w:rsid w:val="000D008C"/>
    <w:rsid w:val="000D44B3"/>
    <w:rsid w:val="000F2899"/>
    <w:rsid w:val="000F34A7"/>
    <w:rsid w:val="001263BF"/>
    <w:rsid w:val="001364AA"/>
    <w:rsid w:val="00142FC0"/>
    <w:rsid w:val="00145D43"/>
    <w:rsid w:val="00165F3A"/>
    <w:rsid w:val="00185BD3"/>
    <w:rsid w:val="001877D9"/>
    <w:rsid w:val="00192C46"/>
    <w:rsid w:val="001A08B3"/>
    <w:rsid w:val="001A2519"/>
    <w:rsid w:val="001A7B54"/>
    <w:rsid w:val="001A7B60"/>
    <w:rsid w:val="001B52F0"/>
    <w:rsid w:val="001B7A65"/>
    <w:rsid w:val="001E41F3"/>
    <w:rsid w:val="001E67A2"/>
    <w:rsid w:val="001F4CA1"/>
    <w:rsid w:val="00230F3F"/>
    <w:rsid w:val="002507D6"/>
    <w:rsid w:val="0025640C"/>
    <w:rsid w:val="0026004D"/>
    <w:rsid w:val="002640DD"/>
    <w:rsid w:val="00275D12"/>
    <w:rsid w:val="00280687"/>
    <w:rsid w:val="00284FEB"/>
    <w:rsid w:val="00285EA0"/>
    <w:rsid w:val="002860C4"/>
    <w:rsid w:val="002B5741"/>
    <w:rsid w:val="002C2EBA"/>
    <w:rsid w:val="002C4628"/>
    <w:rsid w:val="002C532E"/>
    <w:rsid w:val="002E472E"/>
    <w:rsid w:val="002F4C42"/>
    <w:rsid w:val="002F56FB"/>
    <w:rsid w:val="00305409"/>
    <w:rsid w:val="00315EA2"/>
    <w:rsid w:val="00326B74"/>
    <w:rsid w:val="003528E7"/>
    <w:rsid w:val="003609EF"/>
    <w:rsid w:val="0036231A"/>
    <w:rsid w:val="003662DE"/>
    <w:rsid w:val="00371EC1"/>
    <w:rsid w:val="00374DD4"/>
    <w:rsid w:val="003E1A36"/>
    <w:rsid w:val="00400766"/>
    <w:rsid w:val="00410371"/>
    <w:rsid w:val="004242F1"/>
    <w:rsid w:val="004540DD"/>
    <w:rsid w:val="00464849"/>
    <w:rsid w:val="00485506"/>
    <w:rsid w:val="004B2E00"/>
    <w:rsid w:val="004B75B7"/>
    <w:rsid w:val="004E26BA"/>
    <w:rsid w:val="004E2A3B"/>
    <w:rsid w:val="005141D9"/>
    <w:rsid w:val="0051580D"/>
    <w:rsid w:val="00542B4C"/>
    <w:rsid w:val="00547111"/>
    <w:rsid w:val="00574BE5"/>
    <w:rsid w:val="00576280"/>
    <w:rsid w:val="00592328"/>
    <w:rsid w:val="00592D74"/>
    <w:rsid w:val="005A46F2"/>
    <w:rsid w:val="005A68B8"/>
    <w:rsid w:val="005D33D8"/>
    <w:rsid w:val="005E2C44"/>
    <w:rsid w:val="00601EC8"/>
    <w:rsid w:val="006031C5"/>
    <w:rsid w:val="006174AC"/>
    <w:rsid w:val="00621188"/>
    <w:rsid w:val="006257ED"/>
    <w:rsid w:val="00635460"/>
    <w:rsid w:val="006412B2"/>
    <w:rsid w:val="00644293"/>
    <w:rsid w:val="006525B2"/>
    <w:rsid w:val="00653DE4"/>
    <w:rsid w:val="00665C47"/>
    <w:rsid w:val="00667699"/>
    <w:rsid w:val="00673A29"/>
    <w:rsid w:val="006777E5"/>
    <w:rsid w:val="00695808"/>
    <w:rsid w:val="006A3042"/>
    <w:rsid w:val="006B46FB"/>
    <w:rsid w:val="006E21FB"/>
    <w:rsid w:val="007150DC"/>
    <w:rsid w:val="00726011"/>
    <w:rsid w:val="0073569F"/>
    <w:rsid w:val="00741A65"/>
    <w:rsid w:val="00756795"/>
    <w:rsid w:val="007636D4"/>
    <w:rsid w:val="00763F43"/>
    <w:rsid w:val="00775866"/>
    <w:rsid w:val="00780FF8"/>
    <w:rsid w:val="00792342"/>
    <w:rsid w:val="007977A8"/>
    <w:rsid w:val="007B512A"/>
    <w:rsid w:val="007C2097"/>
    <w:rsid w:val="007D6A07"/>
    <w:rsid w:val="007E1E2E"/>
    <w:rsid w:val="007F7259"/>
    <w:rsid w:val="008006F8"/>
    <w:rsid w:val="008032FD"/>
    <w:rsid w:val="008040A8"/>
    <w:rsid w:val="008279FA"/>
    <w:rsid w:val="008308DC"/>
    <w:rsid w:val="00852AC6"/>
    <w:rsid w:val="00856DB3"/>
    <w:rsid w:val="008626E7"/>
    <w:rsid w:val="00870EE7"/>
    <w:rsid w:val="008772F4"/>
    <w:rsid w:val="008863B9"/>
    <w:rsid w:val="008A45A6"/>
    <w:rsid w:val="008D3CCC"/>
    <w:rsid w:val="008F3789"/>
    <w:rsid w:val="008F686C"/>
    <w:rsid w:val="008F6C2F"/>
    <w:rsid w:val="00902820"/>
    <w:rsid w:val="009148DE"/>
    <w:rsid w:val="009223B7"/>
    <w:rsid w:val="00923CA8"/>
    <w:rsid w:val="00941E30"/>
    <w:rsid w:val="00955EA4"/>
    <w:rsid w:val="009777D9"/>
    <w:rsid w:val="00991B88"/>
    <w:rsid w:val="00991F07"/>
    <w:rsid w:val="009A5753"/>
    <w:rsid w:val="009A579D"/>
    <w:rsid w:val="009D21D3"/>
    <w:rsid w:val="009D362A"/>
    <w:rsid w:val="009E3297"/>
    <w:rsid w:val="009F734F"/>
    <w:rsid w:val="00A246B6"/>
    <w:rsid w:val="00A33F98"/>
    <w:rsid w:val="00A47E70"/>
    <w:rsid w:val="00A50CF0"/>
    <w:rsid w:val="00A61DD9"/>
    <w:rsid w:val="00A7671C"/>
    <w:rsid w:val="00A8701F"/>
    <w:rsid w:val="00AA0EAF"/>
    <w:rsid w:val="00AA2CBC"/>
    <w:rsid w:val="00AC1812"/>
    <w:rsid w:val="00AC5820"/>
    <w:rsid w:val="00AD1CD8"/>
    <w:rsid w:val="00AD65DB"/>
    <w:rsid w:val="00AF732B"/>
    <w:rsid w:val="00B169EA"/>
    <w:rsid w:val="00B258BB"/>
    <w:rsid w:val="00B4735E"/>
    <w:rsid w:val="00B47763"/>
    <w:rsid w:val="00B51E3C"/>
    <w:rsid w:val="00B66044"/>
    <w:rsid w:val="00B6692C"/>
    <w:rsid w:val="00B67B97"/>
    <w:rsid w:val="00B831B4"/>
    <w:rsid w:val="00B968C8"/>
    <w:rsid w:val="00BA3EC5"/>
    <w:rsid w:val="00BA51D9"/>
    <w:rsid w:val="00BB5DFC"/>
    <w:rsid w:val="00BD279D"/>
    <w:rsid w:val="00BD6BB8"/>
    <w:rsid w:val="00C11FD5"/>
    <w:rsid w:val="00C37BCD"/>
    <w:rsid w:val="00C452FC"/>
    <w:rsid w:val="00C66BA2"/>
    <w:rsid w:val="00C7274F"/>
    <w:rsid w:val="00C81E42"/>
    <w:rsid w:val="00C870F6"/>
    <w:rsid w:val="00C95985"/>
    <w:rsid w:val="00CA7743"/>
    <w:rsid w:val="00CB3356"/>
    <w:rsid w:val="00CC296B"/>
    <w:rsid w:val="00CC5026"/>
    <w:rsid w:val="00CC68D0"/>
    <w:rsid w:val="00CE3079"/>
    <w:rsid w:val="00CF00DE"/>
    <w:rsid w:val="00CF71BB"/>
    <w:rsid w:val="00D0382B"/>
    <w:rsid w:val="00D03F9A"/>
    <w:rsid w:val="00D06D51"/>
    <w:rsid w:val="00D24991"/>
    <w:rsid w:val="00D30BB3"/>
    <w:rsid w:val="00D42530"/>
    <w:rsid w:val="00D50255"/>
    <w:rsid w:val="00D66520"/>
    <w:rsid w:val="00D7689A"/>
    <w:rsid w:val="00D83D02"/>
    <w:rsid w:val="00D84AE9"/>
    <w:rsid w:val="00DC50CE"/>
    <w:rsid w:val="00DD57C0"/>
    <w:rsid w:val="00DE34CF"/>
    <w:rsid w:val="00DE65E1"/>
    <w:rsid w:val="00E029BF"/>
    <w:rsid w:val="00E13F3D"/>
    <w:rsid w:val="00E26375"/>
    <w:rsid w:val="00E32CEC"/>
    <w:rsid w:val="00E34898"/>
    <w:rsid w:val="00E41BB8"/>
    <w:rsid w:val="00E51386"/>
    <w:rsid w:val="00E879DB"/>
    <w:rsid w:val="00E907EF"/>
    <w:rsid w:val="00EA45CF"/>
    <w:rsid w:val="00EB09B7"/>
    <w:rsid w:val="00ED00B1"/>
    <w:rsid w:val="00ED3F35"/>
    <w:rsid w:val="00EE6FFA"/>
    <w:rsid w:val="00EE7D7C"/>
    <w:rsid w:val="00EF6363"/>
    <w:rsid w:val="00F023F6"/>
    <w:rsid w:val="00F25D98"/>
    <w:rsid w:val="00F300FB"/>
    <w:rsid w:val="00F4773A"/>
    <w:rsid w:val="00F7042B"/>
    <w:rsid w:val="00F77DA0"/>
    <w:rsid w:val="00F879AD"/>
    <w:rsid w:val="00FB3FBB"/>
    <w:rsid w:val="00FB6386"/>
    <w:rsid w:val="5019366F"/>
    <w:rsid w:val="6057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qFormat="1" w:unhideWhenUsed="0" w:uiPriority="0" w:name="toc 4"/>
    <w:lsdException w:unhideWhenUsed="0" w:uiPriority="0" w:name="toc 5"/>
    <w:lsdException w:qFormat="1" w:unhideWhenUsed="0" w:uiPriority="0" w:name="toc 6"/>
    <w:lsdException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unhideWhenUsed="0" w:uiPriority="0" w:name="footnote text"/>
    <w:lsdException w:qFormat="1" w:unhideWhenUsed="0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86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87"/>
    <w:qFormat/>
    <w:uiPriority w:val="99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99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4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uiPriority w:val="0"/>
    <w:pPr>
      <w:keepNext w:val="0"/>
      <w:spacing w:before="0" w:after="240"/>
    </w:pPr>
  </w:style>
  <w:style w:type="paragraph" w:customStyle="1" w:styleId="55">
    <w:name w:val="TH"/>
    <w:basedOn w:val="1"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0">
    <w:name w:val="NW"/>
    <w:basedOn w:val="56"/>
    <w:uiPriority w:val="0"/>
    <w:pPr>
      <w:spacing w:after="0"/>
    </w:pPr>
  </w:style>
  <w:style w:type="paragraph" w:customStyle="1" w:styleId="61">
    <w:name w:val="EW"/>
    <w:basedOn w:val="57"/>
    <w:uiPriority w:val="0"/>
    <w:pPr>
      <w:spacing w:after="0"/>
    </w:pPr>
  </w:style>
  <w:style w:type="paragraph" w:customStyle="1" w:styleId="62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6"/>
    <w:link w:val="89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3">
    <w:name w:val="TAL Car"/>
    <w:link w:val="53"/>
    <w:qFormat/>
    <w:uiPriority w:val="0"/>
    <w:rPr>
      <w:rFonts w:ascii="Arial" w:hAnsi="Arial"/>
      <w:sz w:val="18"/>
      <w:lang w:val="en-GB" w:eastAsia="en-US"/>
    </w:rPr>
  </w:style>
  <w:style w:type="character" w:customStyle="1" w:styleId="84">
    <w:name w:val="TAH Car"/>
    <w:link w:val="51"/>
    <w:qFormat/>
    <w:locked/>
    <w:uiPriority w:val="0"/>
    <w:rPr>
      <w:rFonts w:ascii="Arial" w:hAnsi="Arial"/>
      <w:b/>
      <w:sz w:val="18"/>
      <w:lang w:val="en-GB" w:eastAsia="en-US"/>
    </w:rPr>
  </w:style>
  <w:style w:type="paragraph" w:customStyle="1" w:styleId="85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86">
    <w:name w:val="Heading 1 Char"/>
    <w:basedOn w:val="43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87">
    <w:name w:val="Comment Text Char"/>
    <w:basedOn w:val="43"/>
    <w:link w:val="29"/>
    <w:qFormat/>
    <w:uiPriority w:val="99"/>
    <w:rPr>
      <w:rFonts w:ascii="Times New Roman" w:hAnsi="Times New Roman"/>
      <w:lang w:val="en-GB" w:eastAsia="en-US"/>
    </w:rPr>
  </w:style>
  <w:style w:type="paragraph" w:customStyle="1" w:styleId="88">
    <w:name w:val="Agreement"/>
    <w:basedOn w:val="1"/>
    <w:next w:val="1"/>
    <w:qFormat/>
    <w:uiPriority w:val="99"/>
    <w:pPr>
      <w:numPr>
        <w:ilvl w:val="0"/>
        <w:numId w:val="1"/>
      </w:numPr>
      <w:tabs>
        <w:tab w:val="left" w:pos="1619"/>
      </w:tabs>
      <w:overflowPunct w:val="0"/>
      <w:autoSpaceDE w:val="0"/>
      <w:autoSpaceDN w:val="0"/>
      <w:adjustRightInd w:val="0"/>
      <w:spacing w:before="60" w:after="0"/>
      <w:ind w:left="1616" w:hanging="357"/>
    </w:pPr>
    <w:rPr>
      <w:rFonts w:ascii="Arial" w:hAnsi="Arial"/>
      <w:b/>
      <w:lang w:eastAsia="ja-JP"/>
    </w:rPr>
  </w:style>
  <w:style w:type="character" w:customStyle="1" w:styleId="89">
    <w:name w:val="Editor's Note Char"/>
    <w:link w:val="74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90">
    <w:name w:val="Unresolved Mention"/>
    <w:basedOn w:val="4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1">
    <w:name w:val="main text Char"/>
    <w:link w:val="92"/>
    <w:qFormat/>
    <w:locked/>
    <w:uiPriority w:val="0"/>
    <w:rPr>
      <w:rFonts w:ascii="Malgun Gothic" w:hAnsi="Malgun Gothic" w:eastAsia="Malgun Gothic" w:cs="Batang"/>
      <w:lang w:val="en-GB" w:eastAsia="ko-KR"/>
    </w:rPr>
  </w:style>
  <w:style w:type="paragraph" w:customStyle="1" w:styleId="92">
    <w:name w:val="main text"/>
    <w:basedOn w:val="1"/>
    <w:link w:val="91"/>
    <w:qFormat/>
    <w:uiPriority w:val="0"/>
    <w:pPr>
      <w:spacing w:before="60" w:after="60" w:line="288" w:lineRule="auto"/>
      <w:ind w:firstLine="200" w:firstLineChars="200"/>
      <w:jc w:val="both"/>
    </w:pPr>
    <w:rPr>
      <w:rFonts w:ascii="Malgun Gothic" w:hAnsi="Malgun Gothic" w:eastAsia="Malgun Gothic" w:cs="Batang"/>
      <w:lang w:eastAsia="ko-KR"/>
    </w:rPr>
  </w:style>
  <w:style w:type="character" w:customStyle="1" w:styleId="93">
    <w:name w:val="Mention"/>
    <w:basedOn w:val="43"/>
    <w:unhideWhenUsed/>
    <w:qFormat/>
    <w:uiPriority w:val="99"/>
    <w:rPr>
      <w:color w:val="2B579A"/>
      <w:shd w:val="clear" w:color="auto" w:fill="E1DFDD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8" Type="http://schemas.microsoft.com/office/2011/relationships/people" Target="people.xml"/><Relationship Id="rId17" Type="http://schemas.openxmlformats.org/officeDocument/2006/relationships/fontTable" Target="fontTable.xml"/><Relationship Id="rId16" Type="http://schemas.microsoft.com/office/2006/relationships/keyMapCustomizations" Target="customizations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c6c04-a6f3-4b85-abcc-278c78dc556b" xsi:nil="true"/>
    <lcf76f155ced4ddcb4097134ff3c332f xmlns="042397af-7977-45ef-9118-11c18c8623b6">
      <Terms xmlns="http://schemas.microsoft.com/office/infopath/2007/PartnerControls"/>
    </lcf76f155ced4ddcb4097134ff3c332f>
    <_Flow_SignoffStatus xmlns="042397af-7977-45ef-9118-11c18c8623b6" xsi:nil="true"/>
    <Notes xmlns="042397af-7977-45ef-9118-11c18c862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DF7A-A5B4-4C36-9E95-21F4F0C1E190}">
  <ds:schemaRefs/>
</ds:datastoreItem>
</file>

<file path=customXml/itemProps2.xml><?xml version="1.0" encoding="utf-8"?>
<ds:datastoreItem xmlns:ds="http://schemas.openxmlformats.org/officeDocument/2006/customXml" ds:itemID="{09D1884F-99A8-4B49-9F5B-7F621E63F1E7}">
  <ds:schemaRefs/>
</ds:datastoreItem>
</file>

<file path=customXml/itemProps3.xml><?xml version="1.0" encoding="utf-8"?>
<ds:datastoreItem xmlns:ds="http://schemas.openxmlformats.org/officeDocument/2006/customXml" ds:itemID="{289B76FE-3E95-4753-80DD-96CADCFFB9F4}">
  <ds:schemaRefs/>
</ds:datastoreItem>
</file>

<file path=customXml/itemProps4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</Pages>
  <Words>963</Words>
  <Characters>5492</Characters>
  <Lines>45</Lines>
  <Paragraphs>12</Paragraphs>
  <TotalTime>57</TotalTime>
  <ScaleCrop>false</ScaleCrop>
  <LinksUpToDate>false</LinksUpToDate>
  <CharactersWithSpaces>6443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2023-09-18T07:22:00Z</dcterms:created>
  <dc:creator>Michael Sanders, John M Meredith</dc:creator>
  <cp:lastModifiedBy>ZTE</cp:lastModifiedBy>
  <cp:lastPrinted>1899-12-31T05:00:00Z</cp:lastPrinted>
  <dcterms:modified xsi:type="dcterms:W3CDTF">2023-09-21T08:55:06Z</dcterms:modified>
  <dc:title>MTG_TITLE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_dlc_DocIdItemGuid">
    <vt:lpwstr>2bdeb70f-24db-4142-a4d1-24f02ce05f73</vt:lpwstr>
  </property>
  <property fmtid="{D5CDD505-2E9C-101B-9397-08002B2CF9AE}" pid="23" name="MediaServiceImageTags">
    <vt:lpwstr/>
  </property>
  <property fmtid="{D5CDD505-2E9C-101B-9397-08002B2CF9AE}" pid="24" name="KSOProductBuildVer">
    <vt:lpwstr>2052-11.8.2.12085</vt:lpwstr>
  </property>
  <property fmtid="{D5CDD505-2E9C-101B-9397-08002B2CF9AE}" pid="25" name="ICV">
    <vt:lpwstr>39B31A1FFD684992AEF25F2525187DA0</vt:lpwstr>
  </property>
</Properties>
</file>