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w:t>
      </w:r>
      <w:proofErr w:type="gramStart"/>
      <w:r w:rsidR="00CF777C" w:rsidRPr="00CF777C">
        <w:rPr>
          <w:sz w:val="22"/>
        </w:rPr>
        <w:t>][</w:t>
      </w:r>
      <w:proofErr w:type="gramEnd"/>
      <w:r w:rsidR="00CF777C" w:rsidRPr="00CF777C">
        <w:rPr>
          <w:sz w:val="22"/>
        </w:rPr>
        <w:t>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8D3E66" w:rsidP="005A0B47">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 xml:space="preserve">ZTE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8D3E66" w:rsidP="005A0B47">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firstly selects resources from resources indicated by the physical layer and within the shared COT upon resource (re-)selection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8D3E66" w:rsidP="005A0B47">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proofErr w:type="spellStart"/>
            <w:r w:rsidRPr="00CF777C">
              <w:rPr>
                <w:rFonts w:ascii="Calibri" w:eastAsia="等线" w:hAnsi="Calibri" w:cs="Calibri"/>
                <w:sz w:val="22"/>
                <w:highlight w:val="yellow"/>
              </w:rPr>
              <w:t>QoS</w:t>
            </w:r>
            <w:proofErr w:type="spellEnd"/>
            <w:r w:rsidRPr="00CF777C">
              <w:rPr>
                <w:rFonts w:ascii="Calibri" w:eastAsia="等线" w:hAnsi="Calibri" w:cs="Calibri"/>
                <w:sz w:val="22"/>
                <w:highlight w:val="yellow"/>
              </w:rPr>
              <w:t xml:space="preserve">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8D3E66" w:rsidP="005A0B47">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8D3E66" w:rsidP="005A0B47">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94EAE9D"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8D759A"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f4"/>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f4"/>
        <w:numPr>
          <w:ilvl w:val="0"/>
          <w:numId w:val="21"/>
        </w:numPr>
        <w:spacing w:beforeLines="50" w:before="120"/>
        <w:rPr>
          <w:b/>
          <w:bCs/>
        </w:rPr>
      </w:pPr>
      <w:r w:rsidRPr="00CF777C">
        <w:rPr>
          <w:b/>
          <w:bCs/>
        </w:rPr>
        <w:t xml:space="preserve">Condition-3: based on </w:t>
      </w:r>
      <w:proofErr w:type="spellStart"/>
      <w:r w:rsidRPr="00CF777C">
        <w:rPr>
          <w:b/>
          <w:bCs/>
        </w:rPr>
        <w:t>QoS</w:t>
      </w:r>
      <w:proofErr w:type="spellEnd"/>
      <w:r w:rsidRPr="00CF777C">
        <w:rPr>
          <w:b/>
          <w:bCs/>
        </w:rPr>
        <w:t xml:space="preserve">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w:t>
            </w:r>
            <w:proofErr w:type="spellStart"/>
            <w:r>
              <w:t>QoS</w:t>
            </w:r>
            <w:proofErr w:type="spellEnd"/>
            <w:r>
              <w:t xml:space="preserve">, </w:t>
            </w:r>
            <w:proofErr w:type="gramStart"/>
            <w:r>
              <w:t>number</w:t>
            </w:r>
            <w:proofErr w:type="gramEnd"/>
            <w:r>
              <w:t xml:space="preserve">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CF777C" w14:paraId="28C55DA0" w14:textId="77777777" w:rsidTr="005A0B47">
        <w:tc>
          <w:tcPr>
            <w:tcW w:w="1769" w:type="dxa"/>
          </w:tcPr>
          <w:p w14:paraId="4ED18B7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7E05A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0B2C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FF9045F" w14:textId="77777777" w:rsidTr="005A0B47">
        <w:tc>
          <w:tcPr>
            <w:tcW w:w="1769" w:type="dxa"/>
          </w:tcPr>
          <w:p w14:paraId="36A58B3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7DA40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D81DB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CF777C" w14:paraId="681A0A1F" w14:textId="77777777" w:rsidTr="005A0B47">
        <w:tc>
          <w:tcPr>
            <w:tcW w:w="1769" w:type="dxa"/>
          </w:tcPr>
          <w:p w14:paraId="25359277"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340AB4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2F7D102" w14:textId="77777777" w:rsidR="00CF777C" w:rsidRPr="0000067D"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AF39EBC" w14:textId="77777777" w:rsidTr="005A0B47">
        <w:tc>
          <w:tcPr>
            <w:tcW w:w="1769" w:type="dxa"/>
          </w:tcPr>
          <w:p w14:paraId="4A0343A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A46D87F"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AEC6BE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8D3E66" w:rsidP="005A0B47">
            <w:pPr>
              <w:jc w:val="left"/>
              <w:rPr>
                <w:rFonts w:ascii="Calibri" w:eastAsia="等线" w:hAnsi="Calibri" w:cs="Calibri"/>
                <w:b/>
                <w:bCs/>
                <w:color w:val="0000FF"/>
                <w:sz w:val="22"/>
                <w:u w:val="single"/>
              </w:rPr>
            </w:pPr>
            <w:hyperlink r:id="rId13"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8D3E66" w:rsidP="005A0B47">
            <w:pPr>
              <w:jc w:val="left"/>
            </w:pPr>
            <w:hyperlink r:id="rId14"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t>Option-2: Set based on both PDB and remaining COT duration</w:t>
      </w:r>
    </w:p>
    <w:tbl>
      <w:tblPr>
        <w:tblStyle w:val="aff9"/>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CF777C" w14:paraId="51FC74E2" w14:textId="77777777" w:rsidTr="005A0B47">
        <w:tc>
          <w:tcPr>
            <w:tcW w:w="1769" w:type="dxa"/>
          </w:tcPr>
          <w:p w14:paraId="251C68F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DF2734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93C866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035DE388" w14:textId="77777777" w:rsidTr="005A0B47">
        <w:tc>
          <w:tcPr>
            <w:tcW w:w="1769" w:type="dxa"/>
          </w:tcPr>
          <w:p w14:paraId="5D1CD1A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5A4AFF1"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9FE7F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lastRenderedPageBreak/>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8D3E66" w:rsidP="005A0B47">
            <w:pPr>
              <w:jc w:val="left"/>
              <w:rPr>
                <w:rFonts w:ascii="Calibri" w:eastAsia="等线" w:hAnsi="Calibri" w:cs="Calibri"/>
                <w:b/>
                <w:bCs/>
                <w:color w:val="0000FF"/>
                <w:sz w:val="22"/>
                <w:u w:val="single"/>
              </w:rPr>
            </w:pPr>
            <w:hyperlink r:id="rId15"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8D3E66" w:rsidP="005A0B47">
            <w:pPr>
              <w:jc w:val="left"/>
              <w:rPr>
                <w:rFonts w:ascii="Calibri" w:eastAsia="等线" w:hAnsi="Calibri" w:cs="Calibri"/>
                <w:b/>
                <w:bCs/>
                <w:color w:val="0000FF"/>
                <w:sz w:val="22"/>
                <w:u w:val="single"/>
              </w:rPr>
            </w:pPr>
            <w:hyperlink r:id="rId16"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ABCE0C"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0C70E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C1B5692" w14:textId="77777777" w:rsidTr="005A0B47">
        <w:tc>
          <w:tcPr>
            <w:tcW w:w="1769" w:type="dxa"/>
          </w:tcPr>
          <w:p w14:paraId="47FBCA7F"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1944BEC"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13151C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46920FAF" w14:textId="77777777" w:rsidTr="005A0B47">
        <w:tc>
          <w:tcPr>
            <w:tcW w:w="1769" w:type="dxa"/>
          </w:tcPr>
          <w:p w14:paraId="6FD514F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C92911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DD3EF5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71DA7863" w14:textId="77777777" w:rsidTr="005A0B47">
        <w:tc>
          <w:tcPr>
            <w:tcW w:w="1769" w:type="dxa"/>
          </w:tcPr>
          <w:p w14:paraId="6C708B3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4CB0BC74" w14:textId="77777777" w:rsidTr="005A0B47">
        <w:tc>
          <w:tcPr>
            <w:tcW w:w="1769" w:type="dxa"/>
          </w:tcPr>
          <w:p w14:paraId="109C5F6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A05375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52878D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1D5F376A" w14:textId="77777777" w:rsidTr="005A0B47">
        <w:tc>
          <w:tcPr>
            <w:tcW w:w="1769" w:type="dxa"/>
          </w:tcPr>
          <w:p w14:paraId="333A7AA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57FD0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37CFF6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3E62E17" w14:textId="77777777" w:rsidTr="005A0B47">
        <w:tc>
          <w:tcPr>
            <w:tcW w:w="1769" w:type="dxa"/>
          </w:tcPr>
          <w:p w14:paraId="68DD90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8D3E6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17"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8D3E6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8"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8D3E6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9"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A94800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E01AC8C"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lastRenderedPageBreak/>
        <w:t>Q</w:t>
      </w:r>
      <w:r w:rsidRPr="00752B6A">
        <w:rPr>
          <w:b/>
          <w:bCs/>
        </w:rPr>
        <w:t>2-1b</w:t>
      </w:r>
      <w:r w:rsidR="009304DF">
        <w:rPr>
          <w:b/>
          <w:bCs/>
        </w:rPr>
        <w:t>-1</w:t>
      </w:r>
      <w:r w:rsidRPr="00752B6A">
        <w:rPr>
          <w:b/>
          <w:bCs/>
        </w:rPr>
        <w:t xml:space="preserve">, </w:t>
      </w:r>
      <w:proofErr w:type="gramStart"/>
      <w:r w:rsidRPr="00752B6A">
        <w:rPr>
          <w:b/>
          <w:bCs/>
        </w:rPr>
        <w:t>In</w:t>
      </w:r>
      <w:proofErr w:type="gramEnd"/>
      <w:r w:rsidRPr="00752B6A">
        <w:rPr>
          <w:b/>
          <w:bCs/>
        </w:rPr>
        <w:t xml:space="preserve">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9"/>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w:t>
            </w:r>
            <w:proofErr w:type="gramStart"/>
            <w:r w:rsidR="005321F9">
              <w:t>a</w:t>
            </w:r>
            <w:proofErr w:type="gramEnd"/>
            <w:r w:rsidR="005321F9">
              <w:t xml:space="preserve">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CE32333"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f4"/>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f4"/>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bookmarkStart w:id="6" w:name="_GoBack"/>
            <w:bookmarkEnd w:id="6"/>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proofErr w:type="gramStart"/>
      <w:r w:rsidRPr="00280E56">
        <w:rPr>
          <w:rFonts w:ascii="Times New Roman" w:eastAsia="Times New Roman" w:hAnsi="Times New Roman"/>
          <w:color w:val="000000"/>
          <w:szCs w:val="20"/>
          <w:lang w:val="en-US" w:eastAsia="en-US"/>
        </w:rPr>
        <w:lastRenderedPageBreak/>
        <w:t>whether</w:t>
      </w:r>
      <w:proofErr w:type="gramEnd"/>
      <w:r w:rsidRPr="00280E56">
        <w:rPr>
          <w:rFonts w:ascii="Times New Roman" w:eastAsia="Times New Roman" w:hAnsi="Times New Roman"/>
          <w:color w:val="000000"/>
          <w:szCs w:val="20"/>
          <w:lang w:val="en-US" w:eastAsia="en-US"/>
        </w:rPr>
        <w:t xml:space="preserve">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proofErr w:type="gramStart"/>
      <w:r>
        <w:t>ias</w:t>
      </w:r>
      <w:proofErr w:type="spellEnd"/>
      <w:proofErr w:type="gram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8D3E66" w:rsidP="005A0B47">
            <w:pPr>
              <w:jc w:val="left"/>
            </w:pPr>
            <w:hyperlink r:id="rId21"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7"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40FBDB86" w:rsidR="00280E56" w:rsidRDefault="00110760"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5138ECB" w14:textId="6BB6F8B6" w:rsidR="00110760" w:rsidRDefault="00DD5E5B" w:rsidP="009A7709">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p>
        </w:tc>
      </w:tr>
      <w:tr w:rsidR="00280E56" w14:paraId="27A5B951" w14:textId="77777777" w:rsidTr="005A0B47">
        <w:tc>
          <w:tcPr>
            <w:tcW w:w="1769" w:type="dxa"/>
          </w:tcPr>
          <w:p w14:paraId="743B7BCF"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909A232"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1A0248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tc>
      </w:tr>
      <w:bookmarkEnd w:id="7"/>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8D3E66" w:rsidP="005A0B47">
            <w:pPr>
              <w:jc w:val="left"/>
              <w:rPr>
                <w:rFonts w:ascii="Calibri" w:eastAsia="等线" w:hAnsi="Calibri" w:cs="Calibri"/>
                <w:b/>
                <w:bCs/>
                <w:color w:val="0000FF"/>
                <w:sz w:val="22"/>
                <w:u w:val="single"/>
              </w:rPr>
            </w:pPr>
            <w:hyperlink r:id="rId22" w:history="1">
              <w:r w:rsidR="00280E56" w:rsidRPr="003C3E4A">
                <w:rPr>
                  <w:rStyle w:val="af3"/>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roofErr w:type="gramStart"/>
            <w:r w:rsidRPr="00E87D15">
              <w:t>according</w:t>
            </w:r>
            <w:proofErr w:type="gramEnd"/>
            <w:r w:rsidRPr="00E87D15">
              <w:t xml:space="preserve">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0988020"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57803A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8" w:name="_Toc144133462"/>
      <w:r>
        <w:t>Xxx</w:t>
      </w:r>
      <w:r w:rsidR="0036165C" w:rsidRPr="0095353E">
        <w:t>.</w:t>
      </w:r>
      <w:bookmarkEnd w:id="8"/>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16"/>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9" w:name="_In-sequence_SDU_delivery"/>
      <w:bookmarkEnd w:id="9"/>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lastRenderedPageBreak/>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0"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1" w:name="OLE_LINK59"/>
      <w:bookmarkStart w:id="12" w:name="OLE_LINK60"/>
      <w:bookmarkStart w:id="13" w:name="OLE_LINK61"/>
      <w:r w:rsidRPr="004E3939">
        <w:rPr>
          <w:rFonts w:cs="Arial"/>
          <w:b/>
          <w:sz w:val="22"/>
        </w:rPr>
        <w:t>Release:</w:t>
      </w:r>
      <w:r w:rsidRPr="004E3939">
        <w:rPr>
          <w:rFonts w:cs="Arial"/>
          <w:b/>
          <w:bCs/>
          <w:sz w:val="22"/>
        </w:rPr>
        <w:tab/>
      </w:r>
      <w:r>
        <w:rPr>
          <w:rFonts w:cs="Arial"/>
          <w:b/>
          <w:bCs/>
          <w:sz w:val="22"/>
        </w:rPr>
        <w:t>Rel-18</w:t>
      </w:r>
    </w:p>
    <w:bookmarkEnd w:id="11"/>
    <w:bookmarkEnd w:id="12"/>
    <w:bookmarkEnd w:id="13"/>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4" w:name="OLE_LINK45"/>
      <w:bookmarkStart w:id="15" w:name="OLE_LINK46"/>
      <w:r w:rsidRPr="004E3939">
        <w:rPr>
          <w:rFonts w:cs="Arial"/>
          <w:b/>
          <w:sz w:val="22"/>
        </w:rPr>
        <w:t>Cc:</w:t>
      </w:r>
      <w:r w:rsidRPr="004E3939">
        <w:rPr>
          <w:rFonts w:cs="Arial"/>
          <w:b/>
          <w:bCs/>
          <w:sz w:val="22"/>
        </w:rPr>
        <w:tab/>
      </w:r>
      <w:r>
        <w:rPr>
          <w:rFonts w:cs="Arial"/>
          <w:b/>
          <w:bCs/>
          <w:sz w:val="22"/>
        </w:rPr>
        <w:t>-</w:t>
      </w:r>
    </w:p>
    <w:bookmarkEnd w:id="10"/>
    <w:bookmarkEnd w:id="14"/>
    <w:bookmarkEnd w:id="15"/>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lastRenderedPageBreak/>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6"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w:t>
            </w:r>
            <w:proofErr w:type="gramStart"/>
            <w:r w:rsidRPr="00CA5516">
              <w:rPr>
                <w:color w:val="000000"/>
              </w:rPr>
              <w:t xml:space="preserve">set </w:t>
            </w:r>
            <w:proofErr w:type="gramEnd"/>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sidRPr="00CA5516">
              <w:rPr>
                <w:color w:val="000000"/>
              </w:rPr>
              <w:t>MCSt</w:t>
            </w:r>
            <w:proofErr w:type="spellEnd"/>
            <w:r w:rsidRPr="00CA5516">
              <w:rPr>
                <w:color w:val="000000"/>
              </w:rPr>
              <w: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6"/>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lastRenderedPageBreak/>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f4"/>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f4"/>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f4"/>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f4"/>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91F4C" w14:textId="77777777" w:rsidR="008D3E66" w:rsidRDefault="008D3E66">
      <w:pPr>
        <w:spacing w:after="0"/>
      </w:pPr>
      <w:r>
        <w:separator/>
      </w:r>
    </w:p>
  </w:endnote>
  <w:endnote w:type="continuationSeparator" w:id="0">
    <w:p w14:paraId="529145D6" w14:textId="77777777" w:rsidR="008D3E66" w:rsidRDefault="008D3E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CD3A" w14:textId="65AB7CC8" w:rsidR="005A0B47" w:rsidRDefault="005A0B47">
    <w:pPr>
      <w:pStyle w:val="af8"/>
      <w:tabs>
        <w:tab w:val="center" w:pos="4820"/>
        <w:tab w:val="right" w:pos="9639"/>
      </w:tabs>
      <w:jc w:val="left"/>
    </w:pPr>
    <w:r>
      <w:tab/>
    </w:r>
    <w:r>
      <w:fldChar w:fldCharType="begin"/>
    </w:r>
    <w:r>
      <w:rPr>
        <w:rStyle w:val="af4"/>
      </w:rPr>
      <w:instrText xml:space="preserve"> PAGE </w:instrText>
    </w:r>
    <w:r>
      <w:fldChar w:fldCharType="separate"/>
    </w:r>
    <w:r w:rsidR="001A5915">
      <w:rPr>
        <w:rStyle w:val="af4"/>
        <w:noProof/>
      </w:rPr>
      <w:t>12</w:t>
    </w:r>
    <w:r>
      <w:fldChar w:fldCharType="end"/>
    </w:r>
    <w:r>
      <w:rPr>
        <w:rStyle w:val="af4"/>
      </w:rPr>
      <w:t>/</w:t>
    </w:r>
    <w:r>
      <w:fldChar w:fldCharType="begin"/>
    </w:r>
    <w:r>
      <w:rPr>
        <w:rStyle w:val="af4"/>
      </w:rPr>
      <w:instrText xml:space="preserve"> NUMPAGES </w:instrText>
    </w:r>
    <w:r>
      <w:fldChar w:fldCharType="separate"/>
    </w:r>
    <w:r w:rsidR="001A5915">
      <w:rPr>
        <w:rStyle w:val="af4"/>
        <w:noProof/>
      </w:rPr>
      <w:t>12</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99371" w14:textId="77777777" w:rsidR="008D3E66" w:rsidRDefault="008D3E66">
      <w:pPr>
        <w:spacing w:after="0"/>
      </w:pPr>
      <w:r>
        <w:separator/>
      </w:r>
    </w:p>
  </w:footnote>
  <w:footnote w:type="continuationSeparator" w:id="0">
    <w:p w14:paraId="7868FFDD" w14:textId="77777777" w:rsidR="008D3E66" w:rsidRDefault="008D3E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46DF9"/>
    <w:rsid w:val="0036118D"/>
    <w:rsid w:val="0036165C"/>
    <w:rsid w:val="00364096"/>
    <w:rsid w:val="00366D26"/>
    <w:rsid w:val="00391515"/>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79B"/>
    <w:rsid w:val="00564D32"/>
    <w:rsid w:val="005708E0"/>
    <w:rsid w:val="00571B58"/>
    <w:rsid w:val="0058683A"/>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34FB"/>
    <w:rsid w:val="00662067"/>
    <w:rsid w:val="00662EAD"/>
    <w:rsid w:val="00666863"/>
    <w:rsid w:val="006708F4"/>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50EBF"/>
    <w:rsid w:val="00951348"/>
    <w:rsid w:val="0095353E"/>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EC4"/>
    <w:rsid w:val="00A872A0"/>
    <w:rsid w:val="00AA14FA"/>
    <w:rsid w:val="00AC12AE"/>
    <w:rsid w:val="00AD2930"/>
    <w:rsid w:val="00AD4F97"/>
    <w:rsid w:val="00AE0464"/>
    <w:rsid w:val="00AE12E0"/>
    <w:rsid w:val="00AE1A6B"/>
    <w:rsid w:val="00AE6804"/>
    <w:rsid w:val="00AF074B"/>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91">
    <w:name w:val="toc 9"/>
    <w:basedOn w:val="81"/>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25">
    <w:name w:val="toc 2"/>
    <w:basedOn w:val="16"/>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1">
    <w:name w:val="toc 8"/>
    <w:basedOn w:val="16"/>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6">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7"/>
    <w:link w:val="B2Char"/>
    <w:qFormat/>
    <w:pPr>
      <w:spacing w:after="180"/>
      <w:jc w:val="left"/>
    </w:pPr>
    <w:rPr>
      <w:lang w:eastAsia="en-US"/>
    </w:rPr>
  </w:style>
  <w:style w:type="paragraph" w:styleId="aff4">
    <w:name w:val="List Paragraph"/>
    <w:aliases w:val="List,- Bullets,?? ??,?????,????,Lista1,中等深浅网格 1 - 着色 21,목록 단락,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45">
    <w:name w:val="toc 4"/>
    <w:basedOn w:val="36"/>
    <w:semiHidden/>
    <w:pPr>
      <w:ind w:left="1418" w:hanging="1418"/>
    </w:pPr>
  </w:style>
  <w:style w:type="paragraph" w:customStyle="1" w:styleId="B1">
    <w:name w:val="B1"/>
    <w:basedOn w:val="aff"/>
    <w:link w:val="B1Char"/>
    <w:qFormat/>
    <w:pPr>
      <w:spacing w:after="180"/>
      <w:jc w:val="left"/>
    </w:pPr>
    <w:rPr>
      <w:lang w:eastAsia="en-US"/>
    </w:rPr>
  </w:style>
  <w:style w:type="paragraph" w:styleId="73">
    <w:name w:val="toc 7"/>
    <w:basedOn w:val="63"/>
    <w:next w:val="a0"/>
    <w:semiHidden/>
    <w:pPr>
      <w:ind w:left="2268" w:hanging="2268"/>
    </w:pPr>
  </w:style>
  <w:style w:type="paragraph" w:styleId="27">
    <w:name w:val="List 2"/>
    <w:basedOn w:val="aff"/>
    <w:pPr>
      <w:ind w:left="851"/>
    </w:pPr>
  </w:style>
  <w:style w:type="paragraph" w:customStyle="1" w:styleId="EW">
    <w:name w:val="EW"/>
    <w:basedOn w:val="EX"/>
    <w:pPr>
      <w:spacing w:after="0"/>
    </w:pPr>
  </w:style>
  <w:style w:type="paragraph" w:styleId="35">
    <w:name w:val="List 3"/>
    <w:basedOn w:val="27"/>
    <w:pPr>
      <w:ind w:left="1135"/>
    </w:pPr>
  </w:style>
  <w:style w:type="paragraph" w:styleId="46">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6"/>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36">
    <w:name w:val="toc 3"/>
    <w:basedOn w:val="25"/>
    <w:semiHidden/>
    <w:pPr>
      <w:ind w:left="1134" w:hanging="1134"/>
    </w:pPr>
  </w:style>
  <w:style w:type="paragraph" w:customStyle="1" w:styleId="FP">
    <w:name w:val="FP"/>
    <w:basedOn w:val="a0"/>
    <w:pPr>
      <w:spacing w:after="0"/>
      <w:jc w:val="left"/>
    </w:pPr>
    <w:rPr>
      <w:lang w:eastAsia="en-US"/>
    </w:rPr>
  </w:style>
  <w:style w:type="paragraph" w:styleId="16">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8">
    <w:name w:val="index 2"/>
    <w:basedOn w:val="15"/>
    <w:semiHidden/>
    <w:pPr>
      <w:ind w:left="284"/>
    </w:pPr>
  </w:style>
  <w:style w:type="paragraph" w:styleId="56">
    <w:name w:val="toc 5"/>
    <w:basedOn w:val="45"/>
    <w:semiHidden/>
    <w:pPr>
      <w:tabs>
        <w:tab w:val="right" w:pos="1701"/>
      </w:tabs>
      <w:ind w:left="1701" w:hanging="1701"/>
    </w:pPr>
  </w:style>
  <w:style w:type="paragraph" w:styleId="63">
    <w:name w:val="toc 6"/>
    <w:basedOn w:val="56"/>
    <w:next w:val="a0"/>
    <w:semiHidden/>
    <w:pPr>
      <w:ind w:left="1985" w:hanging="1985"/>
    </w:pPr>
  </w:style>
  <w:style w:type="paragraph" w:customStyle="1" w:styleId="B4">
    <w:name w:val="B4"/>
    <w:basedOn w:val="46"/>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出段落 字符"/>
    <w:aliases w:val="List 字符,- Bullets 字符,?? ?? 字符,????? 字符,???? 字符,Lista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7">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53B9-0ABB-4359-A906-CEEEC1F3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12</Pages>
  <Words>3443</Words>
  <Characters>19628</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Xiaomi_Li Zhao</cp:lastModifiedBy>
  <cp:revision>17</cp:revision>
  <dcterms:created xsi:type="dcterms:W3CDTF">2023-09-12T10:31:00Z</dcterms:created>
  <dcterms:modified xsi:type="dcterms:W3CDTF">2023-09-13T02:33:00Z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